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04B14" w14:textId="3835ED07" w:rsidR="004529B2" w:rsidRDefault="00C7466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1B80521" wp14:editId="0A3F4490">
                <wp:simplePos x="0" y="0"/>
                <wp:positionH relativeFrom="column">
                  <wp:posOffset>0</wp:posOffset>
                </wp:positionH>
                <wp:positionV relativeFrom="paragraph">
                  <wp:posOffset>3905250</wp:posOffset>
                </wp:positionV>
                <wp:extent cx="3923030" cy="985520"/>
                <wp:effectExtent l="0" t="0" r="1270" b="0"/>
                <wp:wrapNone/>
                <wp:docPr id="12666407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3030" cy="985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861FD8" w14:textId="780B8870" w:rsidR="009E5D10" w:rsidRPr="009E5D10" w:rsidRDefault="009E5D10" w:rsidP="009E5D1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8"/>
                                <w:szCs w:val="18"/>
                              </w:rPr>
                            </w:pPr>
                            <w:r w:rsidRPr="009E5D10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Figure 2. Reconstructions of IPO. Reconstructions truncated to common period of overlap (1650-1996) and scaled to mean 0, standard deviation 1 over this period. Displayed as 11-year spline fit for display purposes. Methods described in Linsley et al., 2008; Buckley et al., 2019; Godkin et al., 2021; Porter et al., 2021; Vance et al., 2022.</w:t>
                            </w:r>
                          </w:p>
                          <w:p w14:paraId="6EE6234E" w14:textId="687F55CD" w:rsidR="009E5D10" w:rsidRDefault="009E5D1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B8052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07.5pt;width:308.9pt;height:77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" stroked="f">
                <v:textbox>
                  <w:txbxContent>
                    <w:p w14:paraId="0C861FD8" w14:textId="780B8870" w:rsidR="009E5D10" w:rsidRPr="009E5D10" w:rsidRDefault="009E5D10" w:rsidP="009E5D10">
                      <w:pPr>
                        <w:pStyle w:val="NormalWeb"/>
                        <w:spacing w:before="0" w:beforeAutospacing="0" w:after="0" w:afterAutospacing="0"/>
                        <w:rPr>
                          <w:sz w:val="18"/>
                          <w:szCs w:val="18"/>
                        </w:rPr>
                      </w:pPr>
                      <w:r w:rsidRPr="009E5D10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Figure 2. Reconstructions of IPO. Reconstructions truncated to common period of overlap (1650-1996) and scaled to mean 0, standard deviation 1 over this period. Displayed as 11-year spline fit for display purposes. Methods described in Linsley et al., 2008; Buckley et al., 2019; Godkin et al., 2021; Porter et al., 2021; Vance et al., 2022.</w:t>
                      </w:r>
                    </w:p>
                    <w:p w14:paraId="6EE6234E" w14:textId="687F55CD" w:rsidR="009E5D10" w:rsidRDefault="009E5D10"/>
                  </w:txbxContent>
                </v:textbox>
              </v:shape>
            </w:pict>
          </mc:Fallback>
        </mc:AlternateContent>
      </w:r>
      <w:r w:rsidR="009E5D10">
        <w:rPr>
          <w:noProof/>
        </w:rPr>
        <w:drawing>
          <wp:inline distT="0" distB="0" distL="0" distR="0" wp14:anchorId="4DA08D94" wp14:editId="04411C41">
            <wp:extent cx="3776870" cy="3962889"/>
            <wp:effectExtent l="0" t="0" r="0" b="0"/>
            <wp:docPr id="79108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83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6878" cy="397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01D4" w14:textId="77777777" w:rsidR="009E5D10" w:rsidRDefault="009E5D10"/>
    <w:p w14:paraId="754ED123" w14:textId="77777777" w:rsidR="009E5D10" w:rsidRDefault="009E5D10"/>
    <w:p w14:paraId="5E425E91" w14:textId="77777777" w:rsidR="009E5D10" w:rsidRDefault="009E5D10"/>
    <w:p w14:paraId="3BCE2FC4" w14:textId="77777777" w:rsidR="009E5D10" w:rsidRDefault="009E5D10"/>
    <w:p w14:paraId="7923F9B0" w14:textId="77777777" w:rsidR="009E5D10" w:rsidRDefault="009E5D10"/>
    <w:p w14:paraId="413B3447" w14:textId="77777777" w:rsidR="009E5D10" w:rsidRDefault="009E5D10"/>
    <w:sectPr w:rsidR="009E5D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D10"/>
    <w:rsid w:val="00025640"/>
    <w:rsid w:val="004529B2"/>
    <w:rsid w:val="009B3BCE"/>
    <w:rsid w:val="009E5D10"/>
    <w:rsid w:val="00C74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>
      <o:colormenu v:ext="edit" strokecolor="none"/>
    </o:shapedefaults>
    <o:shapelayout v:ext="edit">
      <o:idmap v:ext="edit" data="1"/>
    </o:shapelayout>
  </w:shapeDefaults>
  <w:decimalSymbol w:val="."/>
  <w:listSeparator w:val=","/>
  <w14:docId w14:val="0E5D11CE"/>
  <w15:chartTrackingRefBased/>
  <w15:docId w15:val="{43D7D462-FEBD-4054-A4A8-1D4E3E0D1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E5D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3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A8C772DC31A14A8C35DB23537F6C22" ma:contentTypeVersion="4" ma:contentTypeDescription="Create a new document." ma:contentTypeScope="" ma:versionID="5082e85a7036734d7d0f667293de6125">
  <xsd:schema xmlns:xsd="http://www.w3.org/2001/XMLSchema" xmlns:xs="http://www.w3.org/2001/XMLSchema" xmlns:p="http://schemas.microsoft.com/office/2006/metadata/properties" xmlns:ns3="4cbb9a4e-ab78-4637-92b1-f59db07e07a8" targetNamespace="http://schemas.microsoft.com/office/2006/metadata/properties" ma:root="true" ma:fieldsID="87ccc5ce0c7e34bf0f80d1e9cdc59c70" ns3:_="">
    <xsd:import namespace="4cbb9a4e-ab78-4637-92b1-f59db07e07a8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bb9a4e-ab78-4637-92b1-f59db07e07a8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cbb9a4e-ab78-4637-92b1-f59db07e07a8" xsi:nil="true"/>
  </documentManagement>
</p:properties>
</file>

<file path=customXml/itemProps1.xml><?xml version="1.0" encoding="utf-8"?>
<ds:datastoreItem xmlns:ds="http://schemas.openxmlformats.org/officeDocument/2006/customXml" ds:itemID="{B2E0B916-E2A8-4908-A651-3B4074FDEFC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CFA6DDF-7FBB-4929-8D2B-7D727A05DF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bb9a4e-ab78-4637-92b1-f59db07e07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17D3BA-98AF-45C8-BAFD-57A2F2C9449E}">
  <ds:schemaRefs>
    <ds:schemaRef ds:uri="http://www.w3.org/XML/1998/namespace"/>
    <ds:schemaRef ds:uri="http://schemas.microsoft.com/office/2006/documentManagement/types"/>
    <ds:schemaRef ds:uri="http://purl.org/dc/dcmitype/"/>
    <ds:schemaRef ds:uri="http://purl.org/dc/terms/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4cbb9a4e-ab78-4637-92b1-f59db07e07a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Charles Edge</dc:creator>
  <cp:keywords/>
  <dc:description/>
  <cp:lastModifiedBy>David Charles Edge</cp:lastModifiedBy>
  <cp:revision>2</cp:revision>
  <dcterms:created xsi:type="dcterms:W3CDTF">2023-10-06T16:21:00Z</dcterms:created>
  <dcterms:modified xsi:type="dcterms:W3CDTF">2023-10-06T16:21:00Z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0x01010091A8C772DC31A14A8C35DB23537F6C22</vt:lpwstr>
  </property>
</Properties>
</file>