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EA8" w:rsidRPr="00C12226" w:rsidRDefault="00C56EA8" w:rsidP="00F1615A">
      <w:pPr>
        <w:spacing w:before="240" w:after="240" w:line="240" w:lineRule="auto"/>
        <w:jc w:val="center"/>
        <w:rPr>
          <w:rFonts w:ascii="Times New Roman" w:hAnsi="Times New Roman"/>
          <w:b/>
          <w:sz w:val="24"/>
          <w:szCs w:val="24"/>
        </w:rPr>
      </w:pPr>
      <w:bookmarkStart w:id="0" w:name="_Toc420057254"/>
      <w:r w:rsidRPr="00C12226">
        <w:rPr>
          <w:rFonts w:ascii="Times New Roman" w:hAnsi="Times New Roman"/>
          <w:b/>
          <w:sz w:val="24"/>
          <w:szCs w:val="24"/>
        </w:rPr>
        <w:t xml:space="preserve">Attachment 001 to </w:t>
      </w:r>
      <w:r w:rsidR="00577865" w:rsidRPr="00C12226">
        <w:rPr>
          <w:rFonts w:ascii="Times New Roman" w:hAnsi="Times New Roman"/>
          <w:b/>
          <w:sz w:val="24"/>
          <w:szCs w:val="24"/>
        </w:rPr>
        <w:br/>
      </w:r>
      <w:r w:rsidR="00881099" w:rsidRPr="00C12226">
        <w:rPr>
          <w:rFonts w:ascii="Times New Roman" w:hAnsi="Times New Roman"/>
          <w:b/>
          <w:sz w:val="24"/>
          <w:szCs w:val="24"/>
        </w:rPr>
        <w:t xml:space="preserve">FMS Form </w:t>
      </w:r>
      <w:r w:rsidRPr="00C12226">
        <w:rPr>
          <w:rFonts w:ascii="Times New Roman" w:hAnsi="Times New Roman"/>
          <w:b/>
          <w:sz w:val="24"/>
          <w:szCs w:val="24"/>
        </w:rPr>
        <w:t>7600</w:t>
      </w:r>
      <w:r w:rsidR="00881099" w:rsidRPr="00C12226">
        <w:rPr>
          <w:rFonts w:ascii="Times New Roman" w:hAnsi="Times New Roman"/>
          <w:b/>
          <w:sz w:val="24"/>
          <w:szCs w:val="24"/>
        </w:rPr>
        <w:t>A</w:t>
      </w:r>
      <w:r w:rsidRPr="00C12226">
        <w:rPr>
          <w:rFonts w:ascii="Times New Roman" w:hAnsi="Times New Roman"/>
          <w:b/>
          <w:sz w:val="24"/>
          <w:szCs w:val="24"/>
        </w:rPr>
        <w:t xml:space="preserve"> Interagency Agreement #VA118-15-M-0057 between </w:t>
      </w:r>
      <w:r w:rsidR="00577865" w:rsidRPr="00C12226">
        <w:rPr>
          <w:rFonts w:ascii="Times New Roman" w:hAnsi="Times New Roman"/>
          <w:b/>
          <w:sz w:val="24"/>
          <w:szCs w:val="24"/>
        </w:rPr>
        <w:br/>
      </w:r>
      <w:r w:rsidRPr="00C12226">
        <w:rPr>
          <w:rFonts w:ascii="Times New Roman" w:hAnsi="Times New Roman"/>
          <w:b/>
          <w:sz w:val="24"/>
          <w:szCs w:val="24"/>
        </w:rPr>
        <w:t xml:space="preserve">Defense Health Agency and </w:t>
      </w:r>
      <w:r w:rsidR="00881099" w:rsidRPr="00C12226">
        <w:rPr>
          <w:rFonts w:ascii="Times New Roman" w:hAnsi="Times New Roman"/>
          <w:b/>
          <w:sz w:val="24"/>
          <w:szCs w:val="24"/>
        </w:rPr>
        <w:t xml:space="preserve">Department of </w:t>
      </w:r>
      <w:r w:rsidRPr="00C12226">
        <w:rPr>
          <w:rFonts w:ascii="Times New Roman" w:hAnsi="Times New Roman"/>
          <w:b/>
          <w:sz w:val="24"/>
          <w:szCs w:val="24"/>
        </w:rPr>
        <w:t xml:space="preserve">Veterans Affairs for </w:t>
      </w:r>
      <w:r w:rsidR="00577865" w:rsidRPr="00C12226">
        <w:rPr>
          <w:rFonts w:ascii="Times New Roman" w:hAnsi="Times New Roman"/>
          <w:b/>
          <w:sz w:val="24"/>
          <w:szCs w:val="24"/>
        </w:rPr>
        <w:br/>
      </w:r>
      <w:r w:rsidRPr="00C12226">
        <w:rPr>
          <w:rFonts w:ascii="Times New Roman" w:hAnsi="Times New Roman"/>
          <w:b/>
          <w:sz w:val="24"/>
          <w:szCs w:val="24"/>
        </w:rPr>
        <w:t>VISTA Metadata Research and Development</w:t>
      </w:r>
    </w:p>
    <w:bookmarkEnd w:id="0"/>
    <w:p w:rsidR="00932EB8" w:rsidRDefault="00EF3D96" w:rsidP="00F1615A">
      <w:pPr>
        <w:pStyle w:val="Default"/>
        <w:spacing w:before="240" w:after="240"/>
        <w:rPr>
          <w:bCs/>
        </w:rPr>
      </w:pPr>
      <w:r>
        <w:rPr>
          <w:bCs/>
        </w:rPr>
        <w:br/>
      </w:r>
      <w:r w:rsidR="00755DAB" w:rsidRPr="00C56EA8">
        <w:rPr>
          <w:bCs/>
        </w:rPr>
        <w:t xml:space="preserve">This </w:t>
      </w:r>
      <w:r w:rsidR="00881099">
        <w:rPr>
          <w:bCs/>
        </w:rPr>
        <w:t xml:space="preserve">is Attachment 001 to </w:t>
      </w:r>
      <w:r w:rsidR="00577865">
        <w:rPr>
          <w:bCs/>
        </w:rPr>
        <w:t xml:space="preserve">the </w:t>
      </w:r>
      <w:r w:rsidR="00B06A83">
        <w:rPr>
          <w:bCs/>
        </w:rPr>
        <w:t xml:space="preserve">above-referenced </w:t>
      </w:r>
      <w:r w:rsidR="00755DAB" w:rsidRPr="00C56EA8">
        <w:rPr>
          <w:bCs/>
        </w:rPr>
        <w:t>Interagency Agreement (IA</w:t>
      </w:r>
      <w:r w:rsidR="00C56EA8">
        <w:rPr>
          <w:bCs/>
        </w:rPr>
        <w:t>A</w:t>
      </w:r>
      <w:r w:rsidR="00755DAB" w:rsidRPr="00C56EA8">
        <w:rPr>
          <w:bCs/>
        </w:rPr>
        <w:t xml:space="preserve">) </w:t>
      </w:r>
      <w:r w:rsidR="00DD59DD">
        <w:rPr>
          <w:bCs/>
        </w:rPr>
        <w:t>Part A</w:t>
      </w:r>
      <w:r w:rsidR="00755DAB" w:rsidRPr="00C56EA8">
        <w:rPr>
          <w:bCs/>
        </w:rPr>
        <w:t xml:space="preserve"> </w:t>
      </w:r>
      <w:r w:rsidR="00DD59DD">
        <w:rPr>
          <w:bCs/>
        </w:rPr>
        <w:t>(</w:t>
      </w:r>
      <w:r w:rsidR="00BA171F">
        <w:rPr>
          <w:bCs/>
        </w:rPr>
        <w:t>IAA 7600</w:t>
      </w:r>
      <w:r w:rsidR="00E337C3">
        <w:rPr>
          <w:bCs/>
        </w:rPr>
        <w:t xml:space="preserve"> Part</w:t>
      </w:r>
      <w:r w:rsidR="00DD59DD">
        <w:rPr>
          <w:bCs/>
        </w:rPr>
        <w:t xml:space="preserve"> A) </w:t>
      </w:r>
      <w:r w:rsidR="00755DAB" w:rsidRPr="00C56EA8">
        <w:rPr>
          <w:bCs/>
        </w:rPr>
        <w:t>between Department of Veterans Affairs (VA</w:t>
      </w:r>
      <w:r>
        <w:rPr>
          <w:bCs/>
        </w:rPr>
        <w:t xml:space="preserve"> or </w:t>
      </w:r>
      <w:r w:rsidR="00755DAB" w:rsidRPr="00C56EA8">
        <w:rPr>
          <w:bCs/>
        </w:rPr>
        <w:t>Requesting Agency</w:t>
      </w:r>
      <w:r>
        <w:rPr>
          <w:bCs/>
        </w:rPr>
        <w:t>)</w:t>
      </w:r>
      <w:r w:rsidR="00755DAB" w:rsidRPr="00C56EA8">
        <w:rPr>
          <w:bCs/>
        </w:rPr>
        <w:t xml:space="preserve"> and Defense Health Agency (DHA</w:t>
      </w:r>
      <w:r>
        <w:rPr>
          <w:bCs/>
        </w:rPr>
        <w:t xml:space="preserve"> or </w:t>
      </w:r>
      <w:r w:rsidR="00755DAB" w:rsidRPr="00C56EA8">
        <w:rPr>
          <w:bCs/>
        </w:rPr>
        <w:t>Servicing Agency</w:t>
      </w:r>
      <w:r>
        <w:rPr>
          <w:bCs/>
        </w:rPr>
        <w:t>)</w:t>
      </w:r>
      <w:r w:rsidR="00AC66B8">
        <w:rPr>
          <w:bCs/>
        </w:rPr>
        <w:t xml:space="preserve">.  </w:t>
      </w:r>
      <w:r w:rsidR="00577865">
        <w:rPr>
          <w:bCs/>
        </w:rPr>
        <w:t>Collectively, VA and DHA are referred to as the “Parties</w:t>
      </w:r>
      <w:r w:rsidR="00AC66B8">
        <w:rPr>
          <w:bCs/>
        </w:rPr>
        <w:t xml:space="preserve">.”  </w:t>
      </w:r>
      <w:r w:rsidR="00577865">
        <w:rPr>
          <w:bCs/>
        </w:rPr>
        <w:t xml:space="preserve">Attachment 001 </w:t>
      </w:r>
      <w:r w:rsidR="00F1615A">
        <w:rPr>
          <w:bCs/>
        </w:rPr>
        <w:t>sets forth</w:t>
      </w:r>
      <w:r w:rsidR="00B06A83">
        <w:rPr>
          <w:bCs/>
        </w:rPr>
        <w:t xml:space="preserve"> the Parties’ agreement</w:t>
      </w:r>
      <w:r w:rsidR="00932EB8">
        <w:rPr>
          <w:bCs/>
        </w:rPr>
        <w:t>s</w:t>
      </w:r>
      <w:r w:rsidR="00B06A83">
        <w:rPr>
          <w:bCs/>
        </w:rPr>
        <w:t xml:space="preserve"> with respect to </w:t>
      </w:r>
      <w:r w:rsidR="00E22E08">
        <w:rPr>
          <w:bCs/>
        </w:rPr>
        <w:t xml:space="preserve">the following sections </w:t>
      </w:r>
      <w:r w:rsidR="00DD59DD">
        <w:rPr>
          <w:bCs/>
        </w:rPr>
        <w:t>of</w:t>
      </w:r>
      <w:r w:rsidR="00E22E08">
        <w:rPr>
          <w:bCs/>
        </w:rPr>
        <w:t xml:space="preserve"> </w:t>
      </w:r>
      <w:r w:rsidR="00BA171F">
        <w:rPr>
          <w:bCs/>
        </w:rPr>
        <w:t>IAA 7600</w:t>
      </w:r>
      <w:r w:rsidR="00E337C3">
        <w:rPr>
          <w:bCs/>
        </w:rPr>
        <w:t xml:space="preserve"> Part</w:t>
      </w:r>
      <w:r w:rsidR="00DD59DD">
        <w:rPr>
          <w:bCs/>
        </w:rPr>
        <w:t> A</w:t>
      </w:r>
      <w:r w:rsidR="00AC66B8">
        <w:rPr>
          <w:bCs/>
        </w:rPr>
        <w:t xml:space="preserve">:  </w:t>
      </w:r>
    </w:p>
    <w:p w:rsidR="00932EB8" w:rsidRDefault="00B06A83" w:rsidP="00F1615A">
      <w:pPr>
        <w:pStyle w:val="Default"/>
        <w:ind w:left="1728" w:hanging="1296"/>
        <w:rPr>
          <w:bCs/>
        </w:rPr>
      </w:pPr>
      <w:r>
        <w:rPr>
          <w:bCs/>
        </w:rPr>
        <w:t>Section 11</w:t>
      </w:r>
      <w:r w:rsidR="00932EB8">
        <w:rPr>
          <w:bCs/>
        </w:rPr>
        <w:tab/>
      </w:r>
      <w:r>
        <w:rPr>
          <w:bCs/>
        </w:rPr>
        <w:t>Requesting Agency’s Scope</w:t>
      </w:r>
    </w:p>
    <w:p w:rsidR="00932EB8" w:rsidRDefault="00B06A83" w:rsidP="00F1615A">
      <w:pPr>
        <w:pStyle w:val="Default"/>
        <w:ind w:left="1728" w:hanging="1296"/>
        <w:rPr>
          <w:bCs/>
        </w:rPr>
      </w:pPr>
      <w:r>
        <w:rPr>
          <w:bCs/>
        </w:rPr>
        <w:t>Section 12</w:t>
      </w:r>
      <w:r w:rsidR="00932EB8">
        <w:rPr>
          <w:bCs/>
        </w:rPr>
        <w:tab/>
      </w:r>
      <w:r w:rsidR="00577865">
        <w:rPr>
          <w:bCs/>
        </w:rPr>
        <w:t>Roles and Responsibilities for the Requesting Agency and Servi</w:t>
      </w:r>
      <w:r w:rsidR="00B56CBE">
        <w:rPr>
          <w:bCs/>
        </w:rPr>
        <w:t>ci</w:t>
      </w:r>
      <w:r w:rsidR="00577865">
        <w:rPr>
          <w:bCs/>
        </w:rPr>
        <w:t>ng Agency</w:t>
      </w:r>
    </w:p>
    <w:p w:rsidR="00932EB8" w:rsidRDefault="00C73104" w:rsidP="00F1615A">
      <w:pPr>
        <w:pStyle w:val="Default"/>
        <w:ind w:left="1728" w:hanging="1296"/>
        <w:rPr>
          <w:bCs/>
        </w:rPr>
      </w:pPr>
      <w:r>
        <w:rPr>
          <w:bCs/>
        </w:rPr>
        <w:t>Section 13</w:t>
      </w:r>
      <w:r w:rsidR="00932EB8">
        <w:rPr>
          <w:bCs/>
        </w:rPr>
        <w:tab/>
      </w:r>
      <w:r w:rsidR="00B06A83">
        <w:rPr>
          <w:bCs/>
        </w:rPr>
        <w:t>Restrictions</w:t>
      </w:r>
      <w:r w:rsidR="00431DD5">
        <w:rPr>
          <w:bCs/>
        </w:rPr>
        <w:t xml:space="preserve"> (</w:t>
      </w:r>
      <w:r w:rsidR="00857899">
        <w:rPr>
          <w:bCs/>
        </w:rPr>
        <w:t>Unique Requirements</w:t>
      </w:r>
      <w:r w:rsidR="00431DD5">
        <w:rPr>
          <w:bCs/>
        </w:rPr>
        <w:t>)</w:t>
      </w:r>
    </w:p>
    <w:p w:rsidR="00932EB8" w:rsidRDefault="00E22E08" w:rsidP="00F1615A">
      <w:pPr>
        <w:pStyle w:val="Default"/>
        <w:ind w:left="1728" w:hanging="1296"/>
        <w:rPr>
          <w:bCs/>
        </w:rPr>
      </w:pPr>
      <w:r>
        <w:rPr>
          <w:bCs/>
        </w:rPr>
        <w:t>Section 15</w:t>
      </w:r>
      <w:r w:rsidR="00932EB8">
        <w:rPr>
          <w:bCs/>
        </w:rPr>
        <w:tab/>
      </w:r>
      <w:r>
        <w:rPr>
          <w:bCs/>
        </w:rPr>
        <w:t>Disputes</w:t>
      </w:r>
    </w:p>
    <w:p w:rsidR="00932EB8" w:rsidRDefault="00E22E08" w:rsidP="00F1615A">
      <w:pPr>
        <w:pStyle w:val="Default"/>
        <w:ind w:left="1728" w:hanging="1296"/>
        <w:rPr>
          <w:bCs/>
        </w:rPr>
      </w:pPr>
      <w:r>
        <w:rPr>
          <w:bCs/>
        </w:rPr>
        <w:t>Section 16</w:t>
      </w:r>
      <w:r w:rsidR="00932EB8">
        <w:rPr>
          <w:bCs/>
        </w:rPr>
        <w:tab/>
      </w:r>
      <w:r>
        <w:rPr>
          <w:bCs/>
        </w:rPr>
        <w:t>Termination</w:t>
      </w:r>
    </w:p>
    <w:p w:rsidR="00932EB8" w:rsidRDefault="00E22E08" w:rsidP="00F1615A">
      <w:pPr>
        <w:pStyle w:val="Default"/>
        <w:ind w:left="1728" w:hanging="1296"/>
        <w:rPr>
          <w:bCs/>
        </w:rPr>
      </w:pPr>
      <w:r>
        <w:rPr>
          <w:bCs/>
        </w:rPr>
        <w:t>Section 21</w:t>
      </w:r>
      <w:r w:rsidR="00932EB8">
        <w:rPr>
          <w:bCs/>
        </w:rPr>
        <w:tab/>
      </w:r>
      <w:r>
        <w:rPr>
          <w:bCs/>
        </w:rPr>
        <w:t>Additional Requesting Agency and /or Servicing Agency Attachments (Terms</w:t>
      </w:r>
      <w:r w:rsidR="00EF3D96">
        <w:rPr>
          <w:bCs/>
        </w:rPr>
        <w:t> </w:t>
      </w:r>
      <w:r>
        <w:rPr>
          <w:bCs/>
        </w:rPr>
        <w:t>and Conditions)</w:t>
      </w:r>
    </w:p>
    <w:p w:rsidR="002C4C96" w:rsidRPr="00C56EA8" w:rsidRDefault="00E22E08" w:rsidP="00F1615A">
      <w:pPr>
        <w:pStyle w:val="Default"/>
        <w:ind w:left="1728" w:hanging="1296"/>
        <w:rPr>
          <w:bCs/>
        </w:rPr>
      </w:pPr>
      <w:r>
        <w:rPr>
          <w:bCs/>
        </w:rPr>
        <w:t>Section 22</w:t>
      </w:r>
      <w:r w:rsidR="00932EB8">
        <w:rPr>
          <w:bCs/>
        </w:rPr>
        <w:tab/>
      </w:r>
      <w:r>
        <w:rPr>
          <w:bCs/>
        </w:rPr>
        <w:t xml:space="preserve">Annual </w:t>
      </w:r>
      <w:proofErr w:type="gramStart"/>
      <w:r>
        <w:rPr>
          <w:bCs/>
        </w:rPr>
        <w:t>Review</w:t>
      </w:r>
      <w:proofErr w:type="gramEnd"/>
      <w:r w:rsidR="00AC66B8">
        <w:rPr>
          <w:bCs/>
        </w:rPr>
        <w:t xml:space="preserve"> </w:t>
      </w:r>
    </w:p>
    <w:p w:rsidR="00DD59DD" w:rsidRDefault="00755DAB" w:rsidP="00F1615A">
      <w:pPr>
        <w:pStyle w:val="Default"/>
        <w:spacing w:before="240" w:after="240"/>
        <w:rPr>
          <w:bCs/>
        </w:rPr>
      </w:pPr>
      <w:r w:rsidRPr="00C56EA8">
        <w:rPr>
          <w:bCs/>
        </w:rPr>
        <w:t xml:space="preserve">No fiscal obligations are created through the execution of </w:t>
      </w:r>
      <w:r w:rsidR="00BA171F">
        <w:rPr>
          <w:bCs/>
        </w:rPr>
        <w:t>IAA 7600</w:t>
      </w:r>
      <w:r w:rsidR="00E337C3">
        <w:rPr>
          <w:bCs/>
        </w:rPr>
        <w:t xml:space="preserve"> Part</w:t>
      </w:r>
      <w:r w:rsidR="00DD59DD">
        <w:rPr>
          <w:bCs/>
        </w:rPr>
        <w:t> A</w:t>
      </w:r>
      <w:r w:rsidR="00AC66B8">
        <w:rPr>
          <w:bCs/>
        </w:rPr>
        <w:t xml:space="preserve">.  </w:t>
      </w:r>
      <w:r w:rsidR="00577865">
        <w:rPr>
          <w:bCs/>
        </w:rPr>
        <w:t>Th</w:t>
      </w:r>
      <w:r w:rsidR="002C4C96">
        <w:rPr>
          <w:bCs/>
        </w:rPr>
        <w:t>e</w:t>
      </w:r>
      <w:r w:rsidR="00577865">
        <w:rPr>
          <w:bCs/>
        </w:rPr>
        <w:t xml:space="preserve"> Parties understand that a</w:t>
      </w:r>
      <w:r w:rsidRPr="00C56EA8">
        <w:rPr>
          <w:bCs/>
        </w:rPr>
        <w:t xml:space="preserve"> fiscal obligation arises </w:t>
      </w:r>
      <w:r w:rsidR="00814965">
        <w:rPr>
          <w:bCs/>
        </w:rPr>
        <w:t xml:space="preserve">only </w:t>
      </w:r>
      <w:r w:rsidRPr="00C56EA8">
        <w:rPr>
          <w:bCs/>
        </w:rPr>
        <w:t>when the Requesting Agency demonstrates a bona fide need</w:t>
      </w:r>
      <w:r w:rsidR="00DD59DD">
        <w:rPr>
          <w:bCs/>
        </w:rPr>
        <w:t xml:space="preserve"> </w:t>
      </w:r>
      <w:r w:rsidR="004D42FD">
        <w:rPr>
          <w:bCs/>
        </w:rPr>
        <w:t xml:space="preserve">for support services covered by IAA 7600 Part A </w:t>
      </w:r>
      <w:r w:rsidR="00DD59DD">
        <w:rPr>
          <w:bCs/>
        </w:rPr>
        <w:t>and</w:t>
      </w:r>
      <w:r w:rsidRPr="00C56EA8">
        <w:rPr>
          <w:bCs/>
        </w:rPr>
        <w:t xml:space="preserve"> provides necessary requirements and funding information to</w:t>
      </w:r>
      <w:r w:rsidR="00577865">
        <w:rPr>
          <w:bCs/>
        </w:rPr>
        <w:t xml:space="preserve"> the Servicing Agency</w:t>
      </w:r>
      <w:r w:rsidR="00C12226">
        <w:rPr>
          <w:bCs/>
        </w:rPr>
        <w:t>,</w:t>
      </w:r>
      <w:r w:rsidR="00577865">
        <w:rPr>
          <w:bCs/>
        </w:rPr>
        <w:t xml:space="preserve"> and </w:t>
      </w:r>
      <w:r w:rsidR="00E22E08">
        <w:rPr>
          <w:bCs/>
        </w:rPr>
        <w:t>the</w:t>
      </w:r>
      <w:r w:rsidR="00577865">
        <w:rPr>
          <w:bCs/>
        </w:rPr>
        <w:t xml:space="preserve"> P</w:t>
      </w:r>
      <w:r w:rsidRPr="00C56EA8">
        <w:rPr>
          <w:bCs/>
        </w:rPr>
        <w:t xml:space="preserve">arties execute a funding document using </w:t>
      </w:r>
      <w:r w:rsidR="00BA171F">
        <w:rPr>
          <w:bCs/>
        </w:rPr>
        <w:t>IAA 7600</w:t>
      </w:r>
      <w:r w:rsidR="00AC66B8">
        <w:rPr>
          <w:bCs/>
        </w:rPr>
        <w:t xml:space="preserve"> </w:t>
      </w:r>
      <w:r w:rsidR="00BA171F">
        <w:rPr>
          <w:bCs/>
        </w:rPr>
        <w:t>Part B</w:t>
      </w:r>
      <w:r w:rsidRPr="00C56EA8">
        <w:rPr>
          <w:bCs/>
        </w:rPr>
        <w:t>.</w:t>
      </w:r>
    </w:p>
    <w:p w:rsidR="009812CA" w:rsidRPr="00C56EA8" w:rsidRDefault="009812CA" w:rsidP="0040547E">
      <w:pPr>
        <w:pStyle w:val="Heading1"/>
        <w:spacing w:after="240" w:line="240" w:lineRule="auto"/>
        <w:rPr>
          <w:rFonts w:ascii="Times New Roman" w:hAnsi="Times New Roman"/>
          <w:sz w:val="24"/>
          <w:szCs w:val="24"/>
        </w:rPr>
      </w:pPr>
      <w:bookmarkStart w:id="1" w:name="_Toc420057255"/>
      <w:r w:rsidRPr="00C56EA8">
        <w:rPr>
          <w:rFonts w:ascii="Times New Roman" w:hAnsi="Times New Roman"/>
          <w:sz w:val="24"/>
          <w:szCs w:val="24"/>
        </w:rPr>
        <w:t>11.</w:t>
      </w:r>
      <w:r w:rsidR="00AC66B8">
        <w:rPr>
          <w:rFonts w:ascii="Times New Roman" w:hAnsi="Times New Roman"/>
          <w:sz w:val="24"/>
          <w:szCs w:val="24"/>
        </w:rPr>
        <w:tab/>
      </w:r>
      <w:r w:rsidRPr="00C56EA8">
        <w:rPr>
          <w:rFonts w:ascii="Times New Roman" w:hAnsi="Times New Roman"/>
          <w:sz w:val="24"/>
          <w:szCs w:val="24"/>
        </w:rPr>
        <w:t>Requesting Agency</w:t>
      </w:r>
      <w:r w:rsidR="00577865">
        <w:rPr>
          <w:rFonts w:ascii="Times New Roman" w:hAnsi="Times New Roman"/>
          <w:sz w:val="24"/>
          <w:szCs w:val="24"/>
        </w:rPr>
        <w:t>’</w:t>
      </w:r>
      <w:r w:rsidRPr="00C56EA8">
        <w:rPr>
          <w:rFonts w:ascii="Times New Roman" w:hAnsi="Times New Roman"/>
          <w:sz w:val="24"/>
          <w:szCs w:val="24"/>
        </w:rPr>
        <w:t>s Scope</w:t>
      </w:r>
      <w:bookmarkEnd w:id="1"/>
    </w:p>
    <w:p w:rsidR="004D42FD" w:rsidRPr="004D42FD" w:rsidRDefault="004D42FD" w:rsidP="004D42FD">
      <w:pPr>
        <w:pStyle w:val="Default"/>
        <w:keepNext/>
        <w:spacing w:before="240" w:after="240"/>
        <w:ind w:left="1260" w:hanging="720"/>
        <w:rPr>
          <w:b/>
          <w:bCs/>
        </w:rPr>
      </w:pPr>
      <w:r w:rsidRPr="004D42FD">
        <w:rPr>
          <w:b/>
          <w:bCs/>
        </w:rPr>
        <w:t>11.</w:t>
      </w:r>
      <w:r>
        <w:rPr>
          <w:b/>
          <w:bCs/>
        </w:rPr>
        <w:t>1</w:t>
      </w:r>
      <w:r w:rsidRPr="004D42FD">
        <w:rPr>
          <w:b/>
          <w:bCs/>
        </w:rPr>
        <w:tab/>
        <w:t>Organizations authorized to request support:</w:t>
      </w:r>
    </w:p>
    <w:p w:rsidR="00C12226" w:rsidRDefault="009812CA" w:rsidP="00F1615A">
      <w:pPr>
        <w:pStyle w:val="Default"/>
        <w:spacing w:before="240" w:after="240"/>
        <w:rPr>
          <w:bCs/>
        </w:rPr>
      </w:pPr>
      <w:r w:rsidRPr="00C56EA8">
        <w:rPr>
          <w:bCs/>
        </w:rPr>
        <w:t>VA, Office of Information and Technology</w:t>
      </w:r>
      <w:r w:rsidR="00C56EA8">
        <w:rPr>
          <w:bCs/>
        </w:rPr>
        <w:t xml:space="preserve">, is hereby authorized to </w:t>
      </w:r>
      <w:r w:rsidR="00B56CBE">
        <w:rPr>
          <w:bCs/>
        </w:rPr>
        <w:t>request support services</w:t>
      </w:r>
      <w:r w:rsidR="00C56EA8">
        <w:rPr>
          <w:bCs/>
        </w:rPr>
        <w:t xml:space="preserve"> </w:t>
      </w:r>
      <w:r w:rsidR="00B077E8">
        <w:rPr>
          <w:bCs/>
        </w:rPr>
        <w:t xml:space="preserve">identified in this Attachment 001, Section 11.3 </w:t>
      </w:r>
      <w:r w:rsidR="00C56EA8">
        <w:rPr>
          <w:bCs/>
        </w:rPr>
        <w:t>from the Servicing Agency</w:t>
      </w:r>
      <w:r w:rsidR="00AC66B8">
        <w:rPr>
          <w:bCs/>
        </w:rPr>
        <w:t xml:space="preserve">.  </w:t>
      </w:r>
      <w:r w:rsidRPr="00C56EA8">
        <w:rPr>
          <w:bCs/>
        </w:rPr>
        <w:t>This</w:t>
      </w:r>
      <w:r w:rsidR="00C56EA8">
        <w:rPr>
          <w:bCs/>
        </w:rPr>
        <w:t xml:space="preserve"> authorization</w:t>
      </w:r>
      <w:r w:rsidRPr="00C56EA8">
        <w:rPr>
          <w:bCs/>
        </w:rPr>
        <w:t xml:space="preserve"> </w:t>
      </w:r>
      <w:r w:rsidR="002C4C96">
        <w:rPr>
          <w:bCs/>
        </w:rPr>
        <w:t xml:space="preserve">extends to </w:t>
      </w:r>
      <w:r w:rsidRPr="00C56EA8">
        <w:rPr>
          <w:bCs/>
        </w:rPr>
        <w:t>the Office of the Chief Information Officer</w:t>
      </w:r>
      <w:r w:rsidR="002C4C96">
        <w:rPr>
          <w:bCs/>
        </w:rPr>
        <w:t>;</w:t>
      </w:r>
      <w:r w:rsidRPr="00C56EA8">
        <w:rPr>
          <w:bCs/>
        </w:rPr>
        <w:t xml:space="preserve"> Office of Quality, Performance &amp; Oversight</w:t>
      </w:r>
      <w:r w:rsidR="002C4C96">
        <w:rPr>
          <w:bCs/>
        </w:rPr>
        <w:t>;</w:t>
      </w:r>
      <w:r w:rsidRPr="00C56EA8">
        <w:rPr>
          <w:bCs/>
        </w:rPr>
        <w:t xml:space="preserve"> Office of Information Protection and Risk Management</w:t>
      </w:r>
      <w:r w:rsidR="002C4C96">
        <w:rPr>
          <w:bCs/>
        </w:rPr>
        <w:t>;</w:t>
      </w:r>
      <w:r w:rsidRPr="00C56EA8">
        <w:rPr>
          <w:bCs/>
        </w:rPr>
        <w:t xml:space="preserve"> Office of Information Technology (IT) Enterprise Strategy, Policy, Plans &amp; Programs</w:t>
      </w:r>
      <w:r w:rsidR="002C4C96">
        <w:rPr>
          <w:bCs/>
        </w:rPr>
        <w:t>;</w:t>
      </w:r>
      <w:r w:rsidRPr="00C56EA8">
        <w:rPr>
          <w:bCs/>
        </w:rPr>
        <w:t xml:space="preserve"> Office of IT Resource Management</w:t>
      </w:r>
      <w:r w:rsidR="002C4C96">
        <w:rPr>
          <w:bCs/>
        </w:rPr>
        <w:t>;</w:t>
      </w:r>
      <w:r w:rsidRPr="00C56EA8">
        <w:rPr>
          <w:bCs/>
        </w:rPr>
        <w:t xml:space="preserve"> Office of Enterprise Development</w:t>
      </w:r>
      <w:r w:rsidR="002C4C96">
        <w:rPr>
          <w:bCs/>
        </w:rPr>
        <w:t>;</w:t>
      </w:r>
      <w:r w:rsidRPr="00C56EA8">
        <w:rPr>
          <w:bCs/>
        </w:rPr>
        <w:t xml:space="preserve"> Office of Enterprise Operations and Field Development</w:t>
      </w:r>
      <w:r w:rsidR="002C4C96">
        <w:rPr>
          <w:bCs/>
        </w:rPr>
        <w:t>;</w:t>
      </w:r>
      <w:r w:rsidRPr="00C56EA8">
        <w:rPr>
          <w:bCs/>
        </w:rPr>
        <w:t xml:space="preserve"> Financial Service Center</w:t>
      </w:r>
      <w:r w:rsidR="002C4C96">
        <w:rPr>
          <w:bCs/>
        </w:rPr>
        <w:t>;</w:t>
      </w:r>
      <w:r w:rsidRPr="00C56EA8">
        <w:rPr>
          <w:bCs/>
        </w:rPr>
        <w:t xml:space="preserve"> and any other VA office that </w:t>
      </w:r>
      <w:r w:rsidR="0040547E">
        <w:rPr>
          <w:bCs/>
        </w:rPr>
        <w:t>has a bona fide need for</w:t>
      </w:r>
      <w:r w:rsidRPr="00C56EA8">
        <w:rPr>
          <w:bCs/>
        </w:rPr>
        <w:t xml:space="preserve"> support</w:t>
      </w:r>
      <w:r w:rsidR="002C4C96">
        <w:rPr>
          <w:bCs/>
        </w:rPr>
        <w:t xml:space="preserve"> </w:t>
      </w:r>
      <w:r w:rsidR="00B077E8">
        <w:rPr>
          <w:bCs/>
        </w:rPr>
        <w:t xml:space="preserve">service </w:t>
      </w:r>
      <w:r w:rsidR="00D34814">
        <w:rPr>
          <w:bCs/>
        </w:rPr>
        <w:t xml:space="preserve">of the type and </w:t>
      </w:r>
      <w:r w:rsidR="002C4C96">
        <w:rPr>
          <w:bCs/>
        </w:rPr>
        <w:t xml:space="preserve">during the period covered by </w:t>
      </w:r>
      <w:r w:rsidR="00BA171F">
        <w:rPr>
          <w:bCs/>
        </w:rPr>
        <w:t>IAA 7600</w:t>
      </w:r>
      <w:r w:rsidR="00E337C3">
        <w:rPr>
          <w:bCs/>
        </w:rPr>
        <w:t xml:space="preserve"> Part</w:t>
      </w:r>
      <w:r w:rsidR="00DD59DD">
        <w:rPr>
          <w:bCs/>
        </w:rPr>
        <w:t> A</w:t>
      </w:r>
      <w:r w:rsidR="0040547E">
        <w:rPr>
          <w:bCs/>
        </w:rPr>
        <w:t xml:space="preserve">, provided that such </w:t>
      </w:r>
      <w:r w:rsidR="00B077E8">
        <w:rPr>
          <w:bCs/>
        </w:rPr>
        <w:t xml:space="preserve">support </w:t>
      </w:r>
      <w:r w:rsidR="00814965">
        <w:rPr>
          <w:bCs/>
        </w:rPr>
        <w:t xml:space="preserve">service </w:t>
      </w:r>
      <w:r w:rsidR="0040547E">
        <w:rPr>
          <w:bCs/>
        </w:rPr>
        <w:t xml:space="preserve">is covered by a duly-executed </w:t>
      </w:r>
      <w:r w:rsidR="00BA171F">
        <w:rPr>
          <w:bCs/>
        </w:rPr>
        <w:t>IAA 7600</w:t>
      </w:r>
      <w:r w:rsidR="0040547E">
        <w:rPr>
          <w:bCs/>
        </w:rPr>
        <w:t xml:space="preserve"> </w:t>
      </w:r>
      <w:r w:rsidR="00BA171F">
        <w:rPr>
          <w:bCs/>
        </w:rPr>
        <w:t>Part B</w:t>
      </w:r>
      <w:r w:rsidR="00AC66B8">
        <w:rPr>
          <w:bCs/>
        </w:rPr>
        <w:t xml:space="preserve">.  </w:t>
      </w:r>
    </w:p>
    <w:p w:rsidR="009812CA" w:rsidRPr="00C56EA8" w:rsidRDefault="002C4C96" w:rsidP="0040547E">
      <w:pPr>
        <w:pStyle w:val="Default"/>
        <w:keepNext/>
        <w:spacing w:before="240" w:after="240"/>
        <w:ind w:left="1260" w:hanging="720"/>
        <w:rPr>
          <w:b/>
          <w:bCs/>
        </w:rPr>
      </w:pPr>
      <w:r>
        <w:rPr>
          <w:b/>
          <w:bCs/>
        </w:rPr>
        <w:t>11.2</w:t>
      </w:r>
      <w:r w:rsidR="001B6864">
        <w:rPr>
          <w:b/>
          <w:bCs/>
        </w:rPr>
        <w:tab/>
      </w:r>
      <w:r w:rsidR="009812CA" w:rsidRPr="00C56EA8">
        <w:rPr>
          <w:b/>
          <w:bCs/>
        </w:rPr>
        <w:t>Organization</w:t>
      </w:r>
      <w:r w:rsidR="00454B81">
        <w:rPr>
          <w:b/>
          <w:bCs/>
        </w:rPr>
        <w:t>s</w:t>
      </w:r>
      <w:r w:rsidR="009812CA" w:rsidRPr="00C56EA8">
        <w:rPr>
          <w:b/>
          <w:bCs/>
        </w:rPr>
        <w:t xml:space="preserve"> authorized to provide </w:t>
      </w:r>
      <w:r w:rsidR="00E53D36">
        <w:rPr>
          <w:b/>
          <w:bCs/>
        </w:rPr>
        <w:t>support</w:t>
      </w:r>
      <w:r w:rsidR="009812CA" w:rsidRPr="00C56EA8">
        <w:rPr>
          <w:b/>
          <w:bCs/>
        </w:rPr>
        <w:t>:</w:t>
      </w:r>
    </w:p>
    <w:p w:rsidR="009812CA" w:rsidRPr="00C56EA8" w:rsidRDefault="00454B81" w:rsidP="00F1615A">
      <w:pPr>
        <w:pStyle w:val="Default"/>
        <w:spacing w:before="240" w:after="240"/>
        <w:rPr>
          <w:bCs/>
        </w:rPr>
      </w:pPr>
      <w:r>
        <w:rPr>
          <w:bCs/>
        </w:rPr>
        <w:t xml:space="preserve">The Servicing Agency shall act through the </w:t>
      </w:r>
      <w:r w:rsidR="003B4E1F">
        <w:rPr>
          <w:bCs/>
        </w:rPr>
        <w:t xml:space="preserve">DHA Health Information Technology Directorate, Contract Operations Division, and Chief Acquisitions Executive </w:t>
      </w:r>
      <w:r>
        <w:rPr>
          <w:bCs/>
        </w:rPr>
        <w:t xml:space="preserve">in providing support </w:t>
      </w:r>
      <w:r w:rsidR="00B077E8">
        <w:rPr>
          <w:bCs/>
        </w:rPr>
        <w:t xml:space="preserve">services </w:t>
      </w:r>
      <w:r>
        <w:rPr>
          <w:bCs/>
        </w:rPr>
        <w:t>to the Receiving Agency</w:t>
      </w:r>
      <w:r w:rsidR="00AC66B8">
        <w:rPr>
          <w:bCs/>
        </w:rPr>
        <w:t xml:space="preserve">.  </w:t>
      </w:r>
    </w:p>
    <w:p w:rsidR="009812CA" w:rsidRPr="00C56EA8" w:rsidRDefault="002C4C96" w:rsidP="0040547E">
      <w:pPr>
        <w:pStyle w:val="Default"/>
        <w:keepNext/>
        <w:spacing w:before="240" w:after="240"/>
        <w:ind w:left="1260" w:hanging="720"/>
        <w:rPr>
          <w:b/>
          <w:bCs/>
        </w:rPr>
      </w:pPr>
      <w:r>
        <w:rPr>
          <w:b/>
          <w:bCs/>
        </w:rPr>
        <w:lastRenderedPageBreak/>
        <w:t>11.3</w:t>
      </w:r>
      <w:r w:rsidR="00C12226">
        <w:rPr>
          <w:b/>
          <w:bCs/>
        </w:rPr>
        <w:tab/>
      </w:r>
      <w:r w:rsidR="009812CA" w:rsidRPr="00C56EA8">
        <w:rPr>
          <w:b/>
          <w:bCs/>
        </w:rPr>
        <w:t>Types of</w:t>
      </w:r>
      <w:r w:rsidR="00E53D36">
        <w:rPr>
          <w:b/>
          <w:bCs/>
        </w:rPr>
        <w:t xml:space="preserve"> support</w:t>
      </w:r>
      <w:r w:rsidR="009812CA" w:rsidRPr="00C56EA8">
        <w:rPr>
          <w:b/>
          <w:bCs/>
        </w:rPr>
        <w:t>:</w:t>
      </w:r>
    </w:p>
    <w:p w:rsidR="00857899" w:rsidRDefault="004D42FD" w:rsidP="004D42FD">
      <w:pPr>
        <w:pStyle w:val="Default"/>
        <w:spacing w:before="240" w:after="240"/>
        <w:rPr>
          <w:bCs/>
        </w:rPr>
      </w:pPr>
      <w:r>
        <w:rPr>
          <w:bCs/>
        </w:rPr>
        <w:t>As stated in IAA 7600 Part A, Section 11, the Parties c</w:t>
      </w:r>
      <w:r w:rsidRPr="00C12226">
        <w:rPr>
          <w:bCs/>
        </w:rPr>
        <w:t xml:space="preserve">onduct joint </w:t>
      </w:r>
      <w:r>
        <w:rPr>
          <w:bCs/>
        </w:rPr>
        <w:t>VA/DHA</w:t>
      </w:r>
      <w:r w:rsidRPr="00C12226">
        <w:rPr>
          <w:bCs/>
        </w:rPr>
        <w:t xml:space="preserve"> research</w:t>
      </w:r>
      <w:r>
        <w:rPr>
          <w:bCs/>
        </w:rPr>
        <w:t>;</w:t>
      </w:r>
      <w:r w:rsidRPr="00C12226">
        <w:rPr>
          <w:bCs/>
        </w:rPr>
        <w:t xml:space="preserve"> develop prototypes</w:t>
      </w:r>
      <w:r>
        <w:rPr>
          <w:bCs/>
        </w:rPr>
        <w:t>;</w:t>
      </w:r>
      <w:r w:rsidRPr="00C12226">
        <w:rPr>
          <w:bCs/>
        </w:rPr>
        <w:t xml:space="preserve"> </w:t>
      </w:r>
      <w:r>
        <w:rPr>
          <w:bCs/>
        </w:rPr>
        <w:t xml:space="preserve">and </w:t>
      </w:r>
      <w:r w:rsidRPr="00C12226">
        <w:rPr>
          <w:bCs/>
        </w:rPr>
        <w:t>demonstrat</w:t>
      </w:r>
      <w:r>
        <w:rPr>
          <w:bCs/>
        </w:rPr>
        <w:t>e</w:t>
      </w:r>
      <w:r w:rsidRPr="00C12226">
        <w:rPr>
          <w:bCs/>
        </w:rPr>
        <w:t>, test, evaluat</w:t>
      </w:r>
      <w:r>
        <w:rPr>
          <w:bCs/>
        </w:rPr>
        <w:t>e</w:t>
      </w:r>
      <w:r w:rsidRPr="00C12226">
        <w:rPr>
          <w:bCs/>
        </w:rPr>
        <w:t>, validat</w:t>
      </w:r>
      <w:r>
        <w:rPr>
          <w:bCs/>
        </w:rPr>
        <w:t>e</w:t>
      </w:r>
      <w:r w:rsidRPr="00C12226">
        <w:rPr>
          <w:bCs/>
        </w:rPr>
        <w:t>, disseminat</w:t>
      </w:r>
      <w:r>
        <w:rPr>
          <w:bCs/>
        </w:rPr>
        <w:t xml:space="preserve">e </w:t>
      </w:r>
      <w:r w:rsidRPr="00C12226">
        <w:rPr>
          <w:bCs/>
        </w:rPr>
        <w:t xml:space="preserve">and </w:t>
      </w:r>
      <w:r>
        <w:rPr>
          <w:bCs/>
        </w:rPr>
        <w:t>install</w:t>
      </w:r>
      <w:r w:rsidRPr="00C12226">
        <w:rPr>
          <w:bCs/>
        </w:rPr>
        <w:t xml:space="preserve"> applications in support of innovative healthcare processes in the area of </w:t>
      </w:r>
      <w:proofErr w:type="spellStart"/>
      <w:r w:rsidRPr="00C12226">
        <w:rPr>
          <w:bCs/>
        </w:rPr>
        <w:t>telehealth</w:t>
      </w:r>
      <w:proofErr w:type="spellEnd"/>
      <w:r w:rsidRPr="00C12226">
        <w:rPr>
          <w:bCs/>
        </w:rPr>
        <w:t xml:space="preserve"> and advanced</w:t>
      </w:r>
      <w:r>
        <w:rPr>
          <w:bCs/>
        </w:rPr>
        <w:t xml:space="preserve"> </w:t>
      </w:r>
      <w:r w:rsidRPr="00C12226">
        <w:rPr>
          <w:bCs/>
        </w:rPr>
        <w:t>technologies for the warfighter and across the continuum of care.</w:t>
      </w:r>
      <w:r>
        <w:rPr>
          <w:bCs/>
        </w:rPr>
        <w:t xml:space="preserve">  </w:t>
      </w:r>
      <w:r w:rsidR="00B077E8">
        <w:rPr>
          <w:bCs/>
        </w:rPr>
        <w:t xml:space="preserve">The location of work is </w:t>
      </w:r>
      <w:r w:rsidR="007848FD">
        <w:rPr>
          <w:bCs/>
        </w:rPr>
        <w:t xml:space="preserve">usually, but not limited to, </w:t>
      </w:r>
      <w:r w:rsidR="00B077E8" w:rsidRPr="00B077E8">
        <w:rPr>
          <w:bCs/>
        </w:rPr>
        <w:t>Pacific Joint Information Technology Center (JITC)</w:t>
      </w:r>
      <w:r w:rsidR="00B077E8">
        <w:rPr>
          <w:bCs/>
        </w:rPr>
        <w:t xml:space="preserve">.  </w:t>
      </w:r>
      <w:r w:rsidR="00857899">
        <w:rPr>
          <w:bCs/>
        </w:rPr>
        <w:t xml:space="preserve">Support services performed by the Servicing Agency shall be in </w:t>
      </w:r>
      <w:r w:rsidR="00B077E8">
        <w:rPr>
          <w:bCs/>
        </w:rPr>
        <w:t xml:space="preserve">support of this joint research and development; shall be in </w:t>
      </w:r>
      <w:r w:rsidR="00857899">
        <w:rPr>
          <w:bCs/>
        </w:rPr>
        <w:t xml:space="preserve">the area of </w:t>
      </w:r>
      <w:r w:rsidRPr="004D42FD">
        <w:rPr>
          <w:bCs/>
        </w:rPr>
        <w:t>medical information management/information technology (IM/IT)</w:t>
      </w:r>
      <w:r w:rsidR="00B077E8">
        <w:rPr>
          <w:bCs/>
        </w:rPr>
        <w:t>;</w:t>
      </w:r>
      <w:r w:rsidRPr="004D42FD">
        <w:rPr>
          <w:bCs/>
        </w:rPr>
        <w:t xml:space="preserve"> </w:t>
      </w:r>
      <w:r w:rsidR="00857899">
        <w:rPr>
          <w:bCs/>
        </w:rPr>
        <w:t xml:space="preserve">and shall be subject to the terms and conditions of a duly-executed IAA 7600 Part B.  </w:t>
      </w:r>
      <w:r w:rsidR="007848FD">
        <w:rPr>
          <w:bCs/>
        </w:rPr>
        <w:t>The Servicing Agency may</w:t>
      </w:r>
      <w:r w:rsidR="00431DD5">
        <w:rPr>
          <w:bCs/>
        </w:rPr>
        <w:t>, for example</w:t>
      </w:r>
      <w:r w:rsidR="00857899">
        <w:rPr>
          <w:bCs/>
        </w:rPr>
        <w:t>:</w:t>
      </w:r>
    </w:p>
    <w:p w:rsidR="00857899" w:rsidRDefault="00D2614A" w:rsidP="00B077E8">
      <w:pPr>
        <w:pStyle w:val="Default"/>
        <w:spacing w:before="240" w:after="240"/>
        <w:ind w:left="2160" w:hanging="900"/>
        <w:rPr>
          <w:bCs/>
        </w:rPr>
      </w:pPr>
      <w:r>
        <w:rPr>
          <w:bCs/>
        </w:rPr>
        <w:t>11.3.</w:t>
      </w:r>
      <w:r w:rsidR="00E53D36">
        <w:rPr>
          <w:bCs/>
        </w:rPr>
        <w:t>1</w:t>
      </w:r>
      <w:r>
        <w:rPr>
          <w:bCs/>
        </w:rPr>
        <w:tab/>
      </w:r>
      <w:r w:rsidR="00032D6A">
        <w:rPr>
          <w:bCs/>
        </w:rPr>
        <w:t>P</w:t>
      </w:r>
      <w:r w:rsidR="007848FD">
        <w:rPr>
          <w:bCs/>
        </w:rPr>
        <w:t>rovide p</w:t>
      </w:r>
      <w:r w:rsidR="00857F7D" w:rsidRPr="00C56EA8">
        <w:rPr>
          <w:bCs/>
        </w:rPr>
        <w:t>ersonnel, program management, materials, administrative support, travel, and technical services required to meet the performance objectives</w:t>
      </w:r>
      <w:r w:rsidR="00032D6A">
        <w:rPr>
          <w:bCs/>
        </w:rPr>
        <w:t>,</w:t>
      </w:r>
      <w:r w:rsidR="00857F7D" w:rsidRPr="00C56EA8">
        <w:rPr>
          <w:bCs/>
        </w:rPr>
        <w:t xml:space="preserve"> with primary emphasis in the areas of Program Management, Software Architecture and Technology Support, Application Development Assessment</w:t>
      </w:r>
      <w:r w:rsidR="00AC66B8">
        <w:rPr>
          <w:bCs/>
        </w:rPr>
        <w:t xml:space="preserve"> </w:t>
      </w:r>
      <w:r w:rsidR="00C11F8B" w:rsidRPr="00C56EA8">
        <w:rPr>
          <w:bCs/>
        </w:rPr>
        <w:t>and Information Technology Services</w:t>
      </w:r>
      <w:r w:rsidR="007848FD">
        <w:rPr>
          <w:bCs/>
        </w:rPr>
        <w:t>;</w:t>
      </w:r>
      <w:r w:rsidR="00AC66B8">
        <w:rPr>
          <w:bCs/>
        </w:rPr>
        <w:t xml:space="preserve">  </w:t>
      </w:r>
    </w:p>
    <w:p w:rsidR="006E06F0" w:rsidRPr="00C73104" w:rsidRDefault="00712B7B" w:rsidP="006E06F0">
      <w:pPr>
        <w:pStyle w:val="Default"/>
        <w:spacing w:before="240" w:after="240"/>
        <w:ind w:left="2160" w:hanging="900"/>
        <w:rPr>
          <w:bCs/>
        </w:rPr>
      </w:pPr>
      <w:r>
        <w:rPr>
          <w:bCs/>
        </w:rPr>
        <w:t>11.3.</w:t>
      </w:r>
      <w:r w:rsidR="00431DD5">
        <w:rPr>
          <w:bCs/>
        </w:rPr>
        <w:t>2</w:t>
      </w:r>
      <w:r>
        <w:rPr>
          <w:bCs/>
        </w:rPr>
        <w:tab/>
      </w:r>
      <w:r w:rsidR="006E06F0" w:rsidRPr="00C73104">
        <w:rPr>
          <w:bCs/>
        </w:rPr>
        <w:t xml:space="preserve">Provide a collaborative demonstration and development environment to identify and gather emerging VA requirements to plan, prototype, </w:t>
      </w:r>
      <w:proofErr w:type="gramStart"/>
      <w:r w:rsidR="006E06F0" w:rsidRPr="00C73104">
        <w:rPr>
          <w:bCs/>
        </w:rPr>
        <w:t>test</w:t>
      </w:r>
      <w:proofErr w:type="gramEnd"/>
      <w:r w:rsidR="006E06F0" w:rsidRPr="00C73104">
        <w:rPr>
          <w:bCs/>
        </w:rPr>
        <w:t xml:space="preserve">, evaluate and deploy projects and applications of joint interest to the </w:t>
      </w:r>
      <w:r w:rsidR="006E06F0">
        <w:rPr>
          <w:bCs/>
        </w:rPr>
        <w:t>Parties,</w:t>
      </w:r>
      <w:r w:rsidR="006E06F0" w:rsidRPr="00C73104">
        <w:rPr>
          <w:bCs/>
        </w:rPr>
        <w:t xml:space="preserve"> as available;</w:t>
      </w:r>
    </w:p>
    <w:p w:rsidR="00712B7B" w:rsidRDefault="008B77AA" w:rsidP="00712B7B">
      <w:pPr>
        <w:pStyle w:val="Default"/>
        <w:spacing w:before="240" w:after="240"/>
        <w:ind w:left="2160" w:hanging="900"/>
        <w:rPr>
          <w:bCs/>
        </w:rPr>
      </w:pPr>
      <w:r>
        <w:rPr>
          <w:bCs/>
        </w:rPr>
        <w:t>11.3.3</w:t>
      </w:r>
      <w:r>
        <w:rPr>
          <w:bCs/>
        </w:rPr>
        <w:tab/>
      </w:r>
      <w:r w:rsidR="007848FD">
        <w:rPr>
          <w:bCs/>
        </w:rPr>
        <w:t>Conduct r</w:t>
      </w:r>
      <w:r w:rsidR="00857899" w:rsidRPr="004D42FD">
        <w:rPr>
          <w:bCs/>
        </w:rPr>
        <w:t>esearch studies, proof of concept demonstrations and prototyping of IM/IT products and creating related Advanced Concept Technology Demonstrations (ACTDs) and work with other programs of record to transition successful ACTDs to acquisition programs</w:t>
      </w:r>
      <w:r w:rsidR="007848FD">
        <w:rPr>
          <w:bCs/>
        </w:rPr>
        <w:t>;</w:t>
      </w:r>
      <w:r w:rsidR="00857899" w:rsidRPr="004D42FD">
        <w:rPr>
          <w:bCs/>
        </w:rPr>
        <w:t xml:space="preserve">  </w:t>
      </w:r>
    </w:p>
    <w:p w:rsidR="00857899" w:rsidRDefault="00712B7B" w:rsidP="00712B7B">
      <w:pPr>
        <w:pStyle w:val="Default"/>
        <w:spacing w:before="240" w:after="240"/>
        <w:ind w:left="2160" w:hanging="900"/>
        <w:rPr>
          <w:bCs/>
        </w:rPr>
      </w:pPr>
      <w:r>
        <w:rPr>
          <w:bCs/>
        </w:rPr>
        <w:t>11.3.</w:t>
      </w:r>
      <w:r w:rsidR="008B77AA">
        <w:rPr>
          <w:bCs/>
        </w:rPr>
        <w:t>4</w:t>
      </w:r>
      <w:r>
        <w:rPr>
          <w:bCs/>
        </w:rPr>
        <w:tab/>
      </w:r>
      <w:r w:rsidR="007848FD">
        <w:rPr>
          <w:bCs/>
        </w:rPr>
        <w:t>Conduct p</w:t>
      </w:r>
      <w:r w:rsidR="00857899" w:rsidRPr="00857899">
        <w:rPr>
          <w:bCs/>
        </w:rPr>
        <w:t xml:space="preserve">roject planning, </w:t>
      </w:r>
      <w:r>
        <w:rPr>
          <w:bCs/>
        </w:rPr>
        <w:t>project plan development</w:t>
      </w:r>
      <w:r w:rsidR="00857899" w:rsidRPr="00857899">
        <w:rPr>
          <w:bCs/>
        </w:rPr>
        <w:t>, and project execution to accomplishment of defined objectives</w:t>
      </w:r>
      <w:r w:rsidR="007848FD">
        <w:rPr>
          <w:bCs/>
        </w:rPr>
        <w:t>;</w:t>
      </w:r>
      <w:r w:rsidR="00857899" w:rsidRPr="00857899">
        <w:rPr>
          <w:bCs/>
        </w:rPr>
        <w:t xml:space="preserve"> </w:t>
      </w:r>
    </w:p>
    <w:p w:rsidR="00712B7B" w:rsidRPr="00D2614A" w:rsidRDefault="00712B7B" w:rsidP="00712B7B">
      <w:pPr>
        <w:pStyle w:val="Default"/>
        <w:spacing w:before="240" w:after="240"/>
        <w:ind w:left="2160" w:hanging="900"/>
        <w:rPr>
          <w:bCs/>
        </w:rPr>
      </w:pPr>
      <w:r>
        <w:rPr>
          <w:bCs/>
        </w:rPr>
        <w:t>1</w:t>
      </w:r>
      <w:r w:rsidR="00B077E8">
        <w:rPr>
          <w:bCs/>
        </w:rPr>
        <w:t>1</w:t>
      </w:r>
      <w:r>
        <w:rPr>
          <w:bCs/>
        </w:rPr>
        <w:t>.</w:t>
      </w:r>
      <w:r w:rsidR="00B077E8">
        <w:rPr>
          <w:bCs/>
        </w:rPr>
        <w:t>3</w:t>
      </w:r>
      <w:r>
        <w:rPr>
          <w:bCs/>
        </w:rPr>
        <w:t>.</w:t>
      </w:r>
      <w:r w:rsidR="005806B0">
        <w:rPr>
          <w:bCs/>
        </w:rPr>
        <w:t>5</w:t>
      </w:r>
      <w:r>
        <w:rPr>
          <w:bCs/>
        </w:rPr>
        <w:tab/>
      </w:r>
      <w:r w:rsidRPr="00D2614A">
        <w:rPr>
          <w:bCs/>
        </w:rPr>
        <w:t>Conduct research</w:t>
      </w:r>
      <w:r>
        <w:rPr>
          <w:bCs/>
        </w:rPr>
        <w:t xml:space="preserve"> and</w:t>
      </w:r>
      <w:r w:rsidRPr="00D2614A">
        <w:rPr>
          <w:bCs/>
        </w:rPr>
        <w:t xml:space="preserve"> develop prototypes, pilots and proofs-of-concept; </w:t>
      </w:r>
    </w:p>
    <w:p w:rsidR="00712B7B" w:rsidRPr="00D2614A" w:rsidRDefault="00712B7B" w:rsidP="00712B7B">
      <w:pPr>
        <w:pStyle w:val="Default"/>
        <w:spacing w:before="240" w:after="240"/>
        <w:ind w:left="2160" w:hanging="900"/>
        <w:rPr>
          <w:bCs/>
        </w:rPr>
      </w:pPr>
      <w:r>
        <w:rPr>
          <w:bCs/>
        </w:rPr>
        <w:t>1</w:t>
      </w:r>
      <w:r w:rsidR="00B077E8">
        <w:rPr>
          <w:bCs/>
        </w:rPr>
        <w:t>1</w:t>
      </w:r>
      <w:r>
        <w:rPr>
          <w:bCs/>
        </w:rPr>
        <w:t>.</w:t>
      </w:r>
      <w:r w:rsidR="00B077E8">
        <w:rPr>
          <w:bCs/>
        </w:rPr>
        <w:t>3.</w:t>
      </w:r>
      <w:r w:rsidR="005806B0">
        <w:rPr>
          <w:bCs/>
        </w:rPr>
        <w:t>6</w:t>
      </w:r>
      <w:r>
        <w:rPr>
          <w:bCs/>
        </w:rPr>
        <w:tab/>
      </w:r>
      <w:r w:rsidRPr="00D2614A">
        <w:rPr>
          <w:bCs/>
        </w:rPr>
        <w:t>Demonstrate, test, evaluate, validate, and disseminate the results of health information technology (HIT) innovation via jointly agreed contract deliverables;</w:t>
      </w:r>
    </w:p>
    <w:p w:rsidR="00712B7B" w:rsidRPr="00D2614A" w:rsidRDefault="00712B7B" w:rsidP="00712B7B">
      <w:pPr>
        <w:pStyle w:val="Default"/>
        <w:spacing w:before="240" w:after="240"/>
        <w:ind w:left="2160" w:hanging="900"/>
        <w:rPr>
          <w:bCs/>
        </w:rPr>
      </w:pPr>
      <w:r>
        <w:rPr>
          <w:bCs/>
        </w:rPr>
        <w:t>1</w:t>
      </w:r>
      <w:r w:rsidR="00B077E8">
        <w:rPr>
          <w:bCs/>
        </w:rPr>
        <w:t>1</w:t>
      </w:r>
      <w:r>
        <w:rPr>
          <w:bCs/>
        </w:rPr>
        <w:t>.</w:t>
      </w:r>
      <w:r w:rsidR="00B077E8">
        <w:rPr>
          <w:bCs/>
        </w:rPr>
        <w:t>3</w:t>
      </w:r>
      <w:r>
        <w:rPr>
          <w:bCs/>
        </w:rPr>
        <w:t>.</w:t>
      </w:r>
      <w:r w:rsidR="005806B0">
        <w:rPr>
          <w:bCs/>
        </w:rPr>
        <w:t>7</w:t>
      </w:r>
      <w:r>
        <w:rPr>
          <w:bCs/>
        </w:rPr>
        <w:tab/>
      </w:r>
      <w:r w:rsidRPr="00D2614A">
        <w:rPr>
          <w:bCs/>
        </w:rPr>
        <w:t xml:space="preserve">On acceptance by both Parties, install the applications in support of innovative healthcare processes in the area of </w:t>
      </w:r>
      <w:proofErr w:type="spellStart"/>
      <w:r w:rsidRPr="00D2614A">
        <w:rPr>
          <w:bCs/>
        </w:rPr>
        <w:t>telehealth</w:t>
      </w:r>
      <w:proofErr w:type="spellEnd"/>
      <w:r w:rsidRPr="00D2614A">
        <w:rPr>
          <w:bCs/>
        </w:rPr>
        <w:t xml:space="preserve"> and advanced information technologies for the warfighter; </w:t>
      </w:r>
    </w:p>
    <w:p w:rsidR="00712B7B" w:rsidRPr="00D2614A" w:rsidRDefault="00712B7B" w:rsidP="00712B7B">
      <w:pPr>
        <w:pStyle w:val="Default"/>
        <w:spacing w:before="240" w:after="240"/>
        <w:ind w:left="2160" w:hanging="900"/>
        <w:rPr>
          <w:bCs/>
        </w:rPr>
      </w:pPr>
      <w:r>
        <w:rPr>
          <w:bCs/>
        </w:rPr>
        <w:t>1</w:t>
      </w:r>
      <w:r w:rsidR="00B077E8">
        <w:rPr>
          <w:bCs/>
        </w:rPr>
        <w:t>1</w:t>
      </w:r>
      <w:r>
        <w:rPr>
          <w:bCs/>
        </w:rPr>
        <w:t>.</w:t>
      </w:r>
      <w:r w:rsidR="00B077E8">
        <w:rPr>
          <w:bCs/>
        </w:rPr>
        <w:t>3</w:t>
      </w:r>
      <w:r>
        <w:rPr>
          <w:bCs/>
        </w:rPr>
        <w:t>.</w:t>
      </w:r>
      <w:r w:rsidR="005806B0">
        <w:rPr>
          <w:bCs/>
        </w:rPr>
        <w:t>8</w:t>
      </w:r>
      <w:r>
        <w:rPr>
          <w:bCs/>
        </w:rPr>
        <w:tab/>
      </w:r>
      <w:r w:rsidRPr="00D2614A">
        <w:rPr>
          <w:bCs/>
        </w:rPr>
        <w:t xml:space="preserve">Work collaboratively with VA to identify and develop joint HIT and tele-health interoperability projects between </w:t>
      </w:r>
      <w:r>
        <w:rPr>
          <w:bCs/>
        </w:rPr>
        <w:t xml:space="preserve">the Parties.  </w:t>
      </w:r>
      <w:r w:rsidRPr="00D2614A">
        <w:rPr>
          <w:bCs/>
        </w:rPr>
        <w:t xml:space="preserve">Partners may include Tripler Army Medical Center, VA Pacific Islands Health Care System, Military Health Systems, VA’s Office of Information and Technology, and </w:t>
      </w:r>
      <w:r w:rsidRPr="00C56EA8">
        <w:rPr>
          <w:bCs/>
        </w:rPr>
        <w:t>Telemedicine &amp; Advanced Technology Research Center</w:t>
      </w:r>
      <w:r w:rsidRPr="00D2614A">
        <w:rPr>
          <w:bCs/>
        </w:rPr>
        <w:t xml:space="preserve"> Advanced Information Technology Group, the </w:t>
      </w:r>
      <w:r>
        <w:rPr>
          <w:bCs/>
        </w:rPr>
        <w:t xml:space="preserve">DoD/VA </w:t>
      </w:r>
      <w:r w:rsidRPr="00D2614A">
        <w:rPr>
          <w:bCs/>
        </w:rPr>
        <w:t xml:space="preserve">Interagency Program Office, </w:t>
      </w:r>
      <w:r w:rsidRPr="00D2614A">
        <w:rPr>
          <w:bCs/>
        </w:rPr>
        <w:lastRenderedPageBreak/>
        <w:t xml:space="preserve">DHA Program Offices, and other </w:t>
      </w:r>
      <w:r w:rsidR="001A0AFE">
        <w:rPr>
          <w:bCs/>
        </w:rPr>
        <w:t>DHA</w:t>
      </w:r>
      <w:r>
        <w:rPr>
          <w:bCs/>
        </w:rPr>
        <w:t xml:space="preserve"> or VA </w:t>
      </w:r>
      <w:r w:rsidRPr="00D2614A">
        <w:rPr>
          <w:bCs/>
        </w:rPr>
        <w:t xml:space="preserve">program offices as </w:t>
      </w:r>
      <w:r>
        <w:rPr>
          <w:bCs/>
        </w:rPr>
        <w:t xml:space="preserve">may be </w:t>
      </w:r>
      <w:r w:rsidRPr="00D2614A">
        <w:rPr>
          <w:bCs/>
        </w:rPr>
        <w:t>identified</w:t>
      </w:r>
      <w:r>
        <w:rPr>
          <w:bCs/>
        </w:rPr>
        <w:t xml:space="preserve"> by the Parties</w:t>
      </w:r>
      <w:r w:rsidRPr="00D2614A">
        <w:rPr>
          <w:bCs/>
        </w:rPr>
        <w:t>;</w:t>
      </w:r>
    </w:p>
    <w:p w:rsidR="00712B7B" w:rsidRDefault="00712B7B" w:rsidP="00712B7B">
      <w:pPr>
        <w:pStyle w:val="Default"/>
        <w:spacing w:before="240" w:after="240"/>
        <w:ind w:left="2160" w:hanging="900"/>
        <w:rPr>
          <w:bCs/>
        </w:rPr>
      </w:pPr>
      <w:r>
        <w:rPr>
          <w:bCs/>
        </w:rPr>
        <w:t>1</w:t>
      </w:r>
      <w:r w:rsidR="00B077E8">
        <w:rPr>
          <w:bCs/>
        </w:rPr>
        <w:t>1</w:t>
      </w:r>
      <w:r>
        <w:rPr>
          <w:bCs/>
        </w:rPr>
        <w:t>.</w:t>
      </w:r>
      <w:r w:rsidR="00B077E8">
        <w:rPr>
          <w:bCs/>
        </w:rPr>
        <w:t>3</w:t>
      </w:r>
      <w:r>
        <w:rPr>
          <w:bCs/>
        </w:rPr>
        <w:t>.</w:t>
      </w:r>
      <w:r w:rsidR="005806B0">
        <w:rPr>
          <w:bCs/>
        </w:rPr>
        <w:t>9</w:t>
      </w:r>
      <w:r>
        <w:rPr>
          <w:bCs/>
        </w:rPr>
        <w:tab/>
      </w:r>
      <w:r w:rsidRPr="00D2614A">
        <w:rPr>
          <w:bCs/>
        </w:rPr>
        <w:t>Provide resource</w:t>
      </w:r>
      <w:r w:rsidR="007848FD">
        <w:rPr>
          <w:bCs/>
        </w:rPr>
        <w:t>s</w:t>
      </w:r>
      <w:r w:rsidRPr="00D2614A">
        <w:rPr>
          <w:bCs/>
        </w:rPr>
        <w:t xml:space="preserve"> to support activities related to joint projects at the Pacific JITC and other agreed upon locations, including travel to meetings and briefings on the mainland</w:t>
      </w:r>
      <w:r>
        <w:rPr>
          <w:bCs/>
        </w:rPr>
        <w:t xml:space="preserve">.  </w:t>
      </w:r>
      <w:r w:rsidRPr="00D2614A">
        <w:rPr>
          <w:bCs/>
        </w:rPr>
        <w:t>This includes participation in VA operational activities that engenders comprehensive knowledge exchange useful in the development of VA/D</w:t>
      </w:r>
      <w:r w:rsidR="001A0AFE">
        <w:rPr>
          <w:bCs/>
        </w:rPr>
        <w:t>HA</w:t>
      </w:r>
      <w:r w:rsidRPr="00D2614A">
        <w:rPr>
          <w:bCs/>
        </w:rPr>
        <w:t xml:space="preserve"> interoperability, biotechnology projects and other related research projects;</w:t>
      </w:r>
    </w:p>
    <w:p w:rsidR="00712B7B" w:rsidRPr="00D2614A" w:rsidRDefault="00712B7B" w:rsidP="00712B7B">
      <w:pPr>
        <w:pStyle w:val="Default"/>
        <w:spacing w:before="240" w:after="240"/>
        <w:ind w:left="2160" w:hanging="900"/>
        <w:rPr>
          <w:bCs/>
        </w:rPr>
      </w:pPr>
      <w:r>
        <w:rPr>
          <w:bCs/>
        </w:rPr>
        <w:t>1</w:t>
      </w:r>
      <w:r w:rsidR="00B077E8">
        <w:rPr>
          <w:bCs/>
        </w:rPr>
        <w:t>1</w:t>
      </w:r>
      <w:r>
        <w:rPr>
          <w:bCs/>
        </w:rPr>
        <w:t>.</w:t>
      </w:r>
      <w:r w:rsidR="00B077E8">
        <w:rPr>
          <w:bCs/>
        </w:rPr>
        <w:t>3</w:t>
      </w:r>
      <w:r>
        <w:rPr>
          <w:bCs/>
        </w:rPr>
        <w:t>.</w:t>
      </w:r>
      <w:r w:rsidR="005806B0">
        <w:rPr>
          <w:bCs/>
        </w:rPr>
        <w:t>10</w:t>
      </w:r>
      <w:r>
        <w:rPr>
          <w:bCs/>
        </w:rPr>
        <w:tab/>
      </w:r>
      <w:r w:rsidRPr="00D2614A">
        <w:rPr>
          <w:bCs/>
        </w:rPr>
        <w:t>Provide facility resources including infrastructure, space, parking, security, communications and network access as available</w:t>
      </w:r>
      <w:r w:rsidR="007848FD">
        <w:rPr>
          <w:bCs/>
        </w:rPr>
        <w:t>.</w:t>
      </w:r>
    </w:p>
    <w:p w:rsidR="007026D8" w:rsidRPr="00C56EA8" w:rsidRDefault="009A3D03" w:rsidP="0040547E">
      <w:pPr>
        <w:pStyle w:val="Heading1"/>
        <w:spacing w:after="240" w:line="240" w:lineRule="auto"/>
        <w:rPr>
          <w:rFonts w:ascii="Times New Roman" w:hAnsi="Times New Roman"/>
          <w:sz w:val="24"/>
          <w:szCs w:val="24"/>
        </w:rPr>
      </w:pPr>
      <w:bookmarkStart w:id="2" w:name="_Toc420057256"/>
      <w:r w:rsidRPr="00C56EA8">
        <w:rPr>
          <w:rFonts w:ascii="Times New Roman" w:hAnsi="Times New Roman"/>
          <w:sz w:val="24"/>
          <w:szCs w:val="24"/>
        </w:rPr>
        <w:t>12.</w:t>
      </w:r>
      <w:r w:rsidR="00D2614A">
        <w:rPr>
          <w:rFonts w:ascii="Times New Roman" w:hAnsi="Times New Roman"/>
          <w:sz w:val="24"/>
          <w:szCs w:val="24"/>
        </w:rPr>
        <w:tab/>
      </w:r>
      <w:r w:rsidR="007026D8" w:rsidRPr="00C56EA8">
        <w:rPr>
          <w:rFonts w:ascii="Times New Roman" w:hAnsi="Times New Roman"/>
          <w:sz w:val="24"/>
          <w:szCs w:val="24"/>
        </w:rPr>
        <w:t xml:space="preserve">Roles </w:t>
      </w:r>
      <w:r w:rsidR="00032D6A">
        <w:rPr>
          <w:rFonts w:ascii="Times New Roman" w:hAnsi="Times New Roman"/>
          <w:sz w:val="24"/>
          <w:szCs w:val="24"/>
        </w:rPr>
        <w:t>and</w:t>
      </w:r>
      <w:r w:rsidR="007026D8" w:rsidRPr="00C56EA8">
        <w:rPr>
          <w:rFonts w:ascii="Times New Roman" w:hAnsi="Times New Roman"/>
          <w:sz w:val="24"/>
          <w:szCs w:val="24"/>
        </w:rPr>
        <w:t xml:space="preserve"> Responsibilities for the Requesting Agency and Servicing Agency </w:t>
      </w:r>
      <w:bookmarkEnd w:id="2"/>
    </w:p>
    <w:p w:rsidR="00B06A83" w:rsidRPr="00B06A83" w:rsidRDefault="00B06A83" w:rsidP="0040547E">
      <w:pPr>
        <w:pStyle w:val="Default"/>
        <w:keepNext/>
        <w:spacing w:before="240" w:after="240"/>
        <w:ind w:left="1260" w:hanging="720"/>
        <w:rPr>
          <w:b/>
          <w:bCs/>
        </w:rPr>
      </w:pPr>
      <w:r w:rsidRPr="00B06A83">
        <w:rPr>
          <w:b/>
          <w:bCs/>
        </w:rPr>
        <w:t>12.1</w:t>
      </w:r>
      <w:r w:rsidRPr="00B06A83">
        <w:rPr>
          <w:b/>
          <w:bCs/>
        </w:rPr>
        <w:tab/>
        <w:t>General</w:t>
      </w:r>
    </w:p>
    <w:p w:rsidR="00B06A83" w:rsidRDefault="00B06A83" w:rsidP="0040547E">
      <w:pPr>
        <w:pStyle w:val="Default"/>
        <w:spacing w:before="240" w:after="240"/>
        <w:ind w:left="2340" w:hanging="1080"/>
        <w:rPr>
          <w:bCs/>
        </w:rPr>
      </w:pPr>
      <w:r>
        <w:rPr>
          <w:bCs/>
        </w:rPr>
        <w:t>12.1.1</w:t>
      </w:r>
      <w:r>
        <w:rPr>
          <w:bCs/>
        </w:rPr>
        <w:tab/>
      </w:r>
      <w:r w:rsidR="00A9752E" w:rsidRPr="00B06A83">
        <w:rPr>
          <w:bCs/>
        </w:rPr>
        <w:t xml:space="preserve">The effective management and use of </w:t>
      </w:r>
      <w:r w:rsidR="00BA171F">
        <w:rPr>
          <w:bCs/>
        </w:rPr>
        <w:t>IAA 7600</w:t>
      </w:r>
      <w:r w:rsidR="00E53D36">
        <w:rPr>
          <w:bCs/>
        </w:rPr>
        <w:t xml:space="preserve"> </w:t>
      </w:r>
      <w:r w:rsidR="00BA171F">
        <w:rPr>
          <w:bCs/>
        </w:rPr>
        <w:t>Part </w:t>
      </w:r>
      <w:proofErr w:type="spellStart"/>
      <w:r w:rsidR="00BA171F">
        <w:rPr>
          <w:bCs/>
        </w:rPr>
        <w:t>B</w:t>
      </w:r>
      <w:r w:rsidR="00E53D36">
        <w:rPr>
          <w:bCs/>
        </w:rPr>
        <w:t>s</w:t>
      </w:r>
      <w:proofErr w:type="spellEnd"/>
      <w:r w:rsidR="00A9752E" w:rsidRPr="00B06A83">
        <w:rPr>
          <w:bCs/>
        </w:rPr>
        <w:t xml:space="preserve"> is a shared responsibility of the </w:t>
      </w:r>
      <w:r>
        <w:rPr>
          <w:bCs/>
        </w:rPr>
        <w:t>Parties</w:t>
      </w:r>
      <w:r w:rsidR="00AC66B8">
        <w:rPr>
          <w:bCs/>
        </w:rPr>
        <w:t xml:space="preserve">.  </w:t>
      </w:r>
    </w:p>
    <w:p w:rsidR="00A9752E" w:rsidRPr="00B06A83" w:rsidRDefault="00B06A83" w:rsidP="0040547E">
      <w:pPr>
        <w:pStyle w:val="Default"/>
        <w:spacing w:before="240" w:after="240"/>
        <w:ind w:left="2340" w:hanging="1080"/>
        <w:rPr>
          <w:bCs/>
        </w:rPr>
      </w:pPr>
      <w:r>
        <w:rPr>
          <w:bCs/>
        </w:rPr>
        <w:t>12.1.</w:t>
      </w:r>
      <w:r w:rsidR="00E53D36">
        <w:rPr>
          <w:bCs/>
        </w:rPr>
        <w:t>2</w:t>
      </w:r>
      <w:r>
        <w:rPr>
          <w:bCs/>
        </w:rPr>
        <w:tab/>
      </w:r>
      <w:r w:rsidR="008D0C37">
        <w:rPr>
          <w:bCs/>
        </w:rPr>
        <w:t xml:space="preserve">Each Party </w:t>
      </w:r>
      <w:r w:rsidR="00B56CBE">
        <w:rPr>
          <w:bCs/>
        </w:rPr>
        <w:t>shall ensure that</w:t>
      </w:r>
      <w:r w:rsidR="008D0C37">
        <w:rPr>
          <w:bCs/>
        </w:rPr>
        <w:t xml:space="preserve"> appropriate security controls are in place with respect to its employees</w:t>
      </w:r>
      <w:r w:rsidR="00BA171F">
        <w:rPr>
          <w:bCs/>
        </w:rPr>
        <w:t xml:space="preserve"> and</w:t>
      </w:r>
      <w:r w:rsidR="008D0C37">
        <w:rPr>
          <w:bCs/>
        </w:rPr>
        <w:t xml:space="preserve"> agents</w:t>
      </w:r>
      <w:r w:rsidR="00BA171F">
        <w:rPr>
          <w:bCs/>
        </w:rPr>
        <w:t xml:space="preserve"> performing support services hereunder</w:t>
      </w:r>
      <w:r w:rsidR="008D0C37">
        <w:rPr>
          <w:bCs/>
        </w:rPr>
        <w:t xml:space="preserve">.  </w:t>
      </w:r>
    </w:p>
    <w:p w:rsidR="007026D8" w:rsidRPr="00032D6A" w:rsidRDefault="00C56EA8" w:rsidP="00032D6A">
      <w:pPr>
        <w:pStyle w:val="Default"/>
        <w:keepNext/>
        <w:spacing w:before="240" w:after="240"/>
        <w:ind w:left="1260" w:hanging="720"/>
        <w:rPr>
          <w:b/>
          <w:bCs/>
        </w:rPr>
      </w:pPr>
      <w:r w:rsidRPr="00032D6A">
        <w:rPr>
          <w:b/>
          <w:bCs/>
        </w:rPr>
        <w:t>12.</w:t>
      </w:r>
      <w:r w:rsidR="00032D6A">
        <w:rPr>
          <w:b/>
          <w:bCs/>
        </w:rPr>
        <w:t>2</w:t>
      </w:r>
      <w:r w:rsidR="00D2614A" w:rsidRPr="00032D6A">
        <w:rPr>
          <w:b/>
          <w:bCs/>
        </w:rPr>
        <w:tab/>
      </w:r>
      <w:r w:rsidR="00046E83" w:rsidRPr="00032D6A">
        <w:rPr>
          <w:b/>
          <w:bCs/>
        </w:rPr>
        <w:t xml:space="preserve">Servicing Agency Roles and Responsibilities - </w:t>
      </w:r>
      <w:r w:rsidR="007026D8" w:rsidRPr="00032D6A">
        <w:rPr>
          <w:b/>
          <w:bCs/>
        </w:rPr>
        <w:t>DHA shall:</w:t>
      </w:r>
    </w:p>
    <w:p w:rsidR="00046E83" w:rsidRPr="00D2614A" w:rsidRDefault="00D2614A" w:rsidP="00302E5D">
      <w:pPr>
        <w:pStyle w:val="Default"/>
        <w:spacing w:before="240" w:after="240"/>
        <w:ind w:left="2160" w:hanging="900"/>
        <w:rPr>
          <w:bCs/>
        </w:rPr>
      </w:pPr>
      <w:r>
        <w:rPr>
          <w:bCs/>
        </w:rPr>
        <w:t>12.</w:t>
      </w:r>
      <w:r w:rsidR="00032D6A">
        <w:rPr>
          <w:bCs/>
        </w:rPr>
        <w:t>2</w:t>
      </w:r>
      <w:r>
        <w:rPr>
          <w:bCs/>
        </w:rPr>
        <w:t>.</w:t>
      </w:r>
      <w:r w:rsidR="007848FD">
        <w:rPr>
          <w:bCs/>
        </w:rPr>
        <w:t>1</w:t>
      </w:r>
      <w:r>
        <w:rPr>
          <w:bCs/>
        </w:rPr>
        <w:tab/>
      </w:r>
      <w:r w:rsidR="00046E83" w:rsidRPr="00D2614A">
        <w:rPr>
          <w:bCs/>
        </w:rPr>
        <w:t xml:space="preserve">Perform </w:t>
      </w:r>
      <w:r w:rsidR="007848FD">
        <w:rPr>
          <w:bCs/>
        </w:rPr>
        <w:t>support services in accordance with the terms and conditions of IAA 7600 Part </w:t>
      </w:r>
      <w:proofErr w:type="spellStart"/>
      <w:r w:rsidR="007848FD">
        <w:rPr>
          <w:bCs/>
        </w:rPr>
        <w:t>Bs</w:t>
      </w:r>
      <w:proofErr w:type="spellEnd"/>
      <w:r w:rsidR="00046E83" w:rsidRPr="00D2614A">
        <w:rPr>
          <w:bCs/>
        </w:rPr>
        <w:t>;</w:t>
      </w:r>
    </w:p>
    <w:p w:rsidR="007848FD" w:rsidRPr="00D2614A" w:rsidRDefault="007848FD" w:rsidP="007848FD">
      <w:pPr>
        <w:pStyle w:val="Default"/>
        <w:spacing w:before="240" w:after="240"/>
        <w:ind w:left="2160" w:hanging="900"/>
        <w:rPr>
          <w:bCs/>
        </w:rPr>
      </w:pPr>
      <w:r>
        <w:rPr>
          <w:bCs/>
        </w:rPr>
        <w:t>12.2.2</w:t>
      </w:r>
      <w:r>
        <w:rPr>
          <w:bCs/>
        </w:rPr>
        <w:tab/>
      </w:r>
      <w:r w:rsidRPr="00D2614A">
        <w:rPr>
          <w:bCs/>
        </w:rPr>
        <w:t xml:space="preserve">Track and report quality of </w:t>
      </w:r>
      <w:r>
        <w:rPr>
          <w:bCs/>
        </w:rPr>
        <w:t>support services</w:t>
      </w:r>
      <w:r w:rsidRPr="00D2614A">
        <w:rPr>
          <w:bCs/>
        </w:rPr>
        <w:t>;</w:t>
      </w:r>
    </w:p>
    <w:p w:rsidR="00046E83" w:rsidRPr="00D2614A" w:rsidRDefault="00D2614A" w:rsidP="00302E5D">
      <w:pPr>
        <w:pStyle w:val="Default"/>
        <w:spacing w:before="240" w:after="240"/>
        <w:ind w:left="2160" w:hanging="900"/>
        <w:rPr>
          <w:bCs/>
        </w:rPr>
      </w:pPr>
      <w:r>
        <w:rPr>
          <w:bCs/>
        </w:rPr>
        <w:t>12.</w:t>
      </w:r>
      <w:r w:rsidR="00032D6A">
        <w:rPr>
          <w:bCs/>
        </w:rPr>
        <w:t>2</w:t>
      </w:r>
      <w:r>
        <w:rPr>
          <w:bCs/>
        </w:rPr>
        <w:t>.</w:t>
      </w:r>
      <w:r w:rsidR="007848FD">
        <w:rPr>
          <w:bCs/>
        </w:rPr>
        <w:t>3</w:t>
      </w:r>
      <w:r>
        <w:rPr>
          <w:bCs/>
        </w:rPr>
        <w:tab/>
      </w:r>
      <w:r w:rsidR="00712B7B">
        <w:rPr>
          <w:bCs/>
        </w:rPr>
        <w:t>B</w:t>
      </w:r>
      <w:r w:rsidR="00046E83" w:rsidRPr="00D2614A">
        <w:rPr>
          <w:bCs/>
        </w:rPr>
        <w:t>ill the Requesting Agency for reimbursable services;</w:t>
      </w:r>
    </w:p>
    <w:p w:rsidR="00A43E08" w:rsidRDefault="00D2614A" w:rsidP="00302E5D">
      <w:pPr>
        <w:pStyle w:val="Default"/>
        <w:spacing w:before="240" w:after="240"/>
        <w:ind w:left="2160" w:hanging="900"/>
        <w:rPr>
          <w:bCs/>
        </w:rPr>
      </w:pPr>
      <w:r>
        <w:rPr>
          <w:bCs/>
        </w:rPr>
        <w:t>12.</w:t>
      </w:r>
      <w:r w:rsidR="00032D6A">
        <w:rPr>
          <w:bCs/>
        </w:rPr>
        <w:t>2</w:t>
      </w:r>
      <w:r>
        <w:rPr>
          <w:bCs/>
        </w:rPr>
        <w:t>.</w:t>
      </w:r>
      <w:r w:rsidR="007848FD">
        <w:rPr>
          <w:bCs/>
        </w:rPr>
        <w:t>4</w:t>
      </w:r>
      <w:r>
        <w:rPr>
          <w:bCs/>
        </w:rPr>
        <w:tab/>
      </w:r>
      <w:r w:rsidR="00A43E08">
        <w:rPr>
          <w:bCs/>
        </w:rPr>
        <w:t>Track project status and accrual of costs under the project;</w:t>
      </w:r>
    </w:p>
    <w:p w:rsidR="00046E83" w:rsidRPr="00D2614A" w:rsidRDefault="00A43E08" w:rsidP="00302E5D">
      <w:pPr>
        <w:pStyle w:val="Default"/>
        <w:spacing w:before="240" w:after="240"/>
        <w:ind w:left="2160" w:hanging="900"/>
        <w:rPr>
          <w:bCs/>
        </w:rPr>
      </w:pPr>
      <w:r>
        <w:rPr>
          <w:bCs/>
        </w:rPr>
        <w:t>12.2.5</w:t>
      </w:r>
      <w:r>
        <w:rPr>
          <w:bCs/>
        </w:rPr>
        <w:tab/>
      </w:r>
      <w:r w:rsidR="00046E83" w:rsidRPr="00D2614A">
        <w:rPr>
          <w:bCs/>
        </w:rPr>
        <w:t>Re</w:t>
      </w:r>
      <w:r w:rsidR="00712B7B">
        <w:rPr>
          <w:bCs/>
        </w:rPr>
        <w:t>fund</w:t>
      </w:r>
      <w:r w:rsidR="00046E83" w:rsidRPr="00D2614A">
        <w:rPr>
          <w:bCs/>
        </w:rPr>
        <w:t xml:space="preserve"> </w:t>
      </w:r>
      <w:r w:rsidR="00712B7B">
        <w:rPr>
          <w:bCs/>
        </w:rPr>
        <w:t>overpayments, if any, to the Requesting Agency</w:t>
      </w:r>
      <w:r w:rsidR="00046E83" w:rsidRPr="00D2614A">
        <w:rPr>
          <w:bCs/>
        </w:rPr>
        <w:t>;</w:t>
      </w:r>
      <w:r w:rsidR="0037078D">
        <w:rPr>
          <w:bCs/>
        </w:rPr>
        <w:t xml:space="preserve"> </w:t>
      </w:r>
    </w:p>
    <w:p w:rsidR="00046E83" w:rsidRPr="00D2614A" w:rsidRDefault="00D2614A" w:rsidP="00302E5D">
      <w:pPr>
        <w:pStyle w:val="Default"/>
        <w:spacing w:before="240" w:after="240"/>
        <w:ind w:left="2160" w:hanging="900"/>
        <w:rPr>
          <w:bCs/>
        </w:rPr>
      </w:pPr>
      <w:r>
        <w:rPr>
          <w:bCs/>
        </w:rPr>
        <w:t>12.</w:t>
      </w:r>
      <w:r w:rsidR="00032D6A">
        <w:rPr>
          <w:bCs/>
        </w:rPr>
        <w:t>2</w:t>
      </w:r>
      <w:r>
        <w:rPr>
          <w:bCs/>
        </w:rPr>
        <w:t>.</w:t>
      </w:r>
      <w:r w:rsidR="00A43E08">
        <w:rPr>
          <w:bCs/>
        </w:rPr>
        <w:t>6</w:t>
      </w:r>
      <w:r>
        <w:rPr>
          <w:bCs/>
        </w:rPr>
        <w:tab/>
      </w:r>
      <w:r w:rsidR="00046E83" w:rsidRPr="00D2614A">
        <w:rPr>
          <w:bCs/>
        </w:rPr>
        <w:t xml:space="preserve">When applicable, </w:t>
      </w:r>
      <w:r w:rsidR="00E53D36">
        <w:rPr>
          <w:bCs/>
        </w:rPr>
        <w:t>close out</w:t>
      </w:r>
      <w:r w:rsidR="00046E83" w:rsidRPr="00D2614A">
        <w:rPr>
          <w:bCs/>
        </w:rPr>
        <w:t xml:space="preserve"> </w:t>
      </w:r>
      <w:r w:rsidR="00BA171F">
        <w:rPr>
          <w:bCs/>
        </w:rPr>
        <w:t>IAA 7600</w:t>
      </w:r>
      <w:r w:rsidR="00AC66B8">
        <w:rPr>
          <w:bCs/>
        </w:rPr>
        <w:t xml:space="preserve"> </w:t>
      </w:r>
      <w:r w:rsidR="00BA171F">
        <w:rPr>
          <w:bCs/>
        </w:rPr>
        <w:t>Part </w:t>
      </w:r>
      <w:proofErr w:type="spellStart"/>
      <w:r w:rsidR="00BA171F">
        <w:rPr>
          <w:bCs/>
        </w:rPr>
        <w:t>B</w:t>
      </w:r>
      <w:r w:rsidR="00046E83" w:rsidRPr="00D2614A">
        <w:rPr>
          <w:bCs/>
        </w:rPr>
        <w:t>s</w:t>
      </w:r>
      <w:proofErr w:type="spellEnd"/>
      <w:r w:rsidR="00046E83" w:rsidRPr="00D2614A">
        <w:rPr>
          <w:bCs/>
        </w:rPr>
        <w:t xml:space="preserve">; </w:t>
      </w:r>
      <w:r w:rsidR="00AE6A8F">
        <w:rPr>
          <w:bCs/>
        </w:rPr>
        <w:t>and</w:t>
      </w:r>
    </w:p>
    <w:p w:rsidR="00046E83" w:rsidRDefault="00D2614A" w:rsidP="00302E5D">
      <w:pPr>
        <w:pStyle w:val="Default"/>
        <w:spacing w:before="240" w:after="240"/>
        <w:ind w:left="2160" w:hanging="900"/>
        <w:rPr>
          <w:bCs/>
        </w:rPr>
      </w:pPr>
      <w:r>
        <w:rPr>
          <w:bCs/>
        </w:rPr>
        <w:t>12.</w:t>
      </w:r>
      <w:r w:rsidR="00032D6A">
        <w:rPr>
          <w:bCs/>
        </w:rPr>
        <w:t>2</w:t>
      </w:r>
      <w:r>
        <w:rPr>
          <w:bCs/>
        </w:rPr>
        <w:t>.</w:t>
      </w:r>
      <w:r w:rsidR="00A43E08">
        <w:rPr>
          <w:bCs/>
        </w:rPr>
        <w:t>7</w:t>
      </w:r>
      <w:r>
        <w:rPr>
          <w:bCs/>
        </w:rPr>
        <w:tab/>
      </w:r>
      <w:r w:rsidR="00046E83" w:rsidRPr="00D2614A">
        <w:rPr>
          <w:bCs/>
        </w:rPr>
        <w:t>Be a good steward of the Requesting Agency</w:t>
      </w:r>
      <w:r w:rsidR="00577865" w:rsidRPr="00D2614A">
        <w:rPr>
          <w:bCs/>
        </w:rPr>
        <w:t>’</w:t>
      </w:r>
      <w:r w:rsidR="00046E83" w:rsidRPr="00D2614A">
        <w:rPr>
          <w:bCs/>
        </w:rPr>
        <w:t>s funds, and use these funds in compliance with the requirements of fiscal law</w:t>
      </w:r>
      <w:r w:rsidR="007848FD">
        <w:rPr>
          <w:bCs/>
        </w:rPr>
        <w:t>.</w:t>
      </w:r>
    </w:p>
    <w:p w:rsidR="00A43E08" w:rsidRDefault="00A43E08" w:rsidP="00302E5D">
      <w:pPr>
        <w:pStyle w:val="Default"/>
        <w:spacing w:before="240" w:after="240"/>
        <w:ind w:left="2160" w:hanging="900"/>
        <w:rPr>
          <w:bCs/>
        </w:rPr>
      </w:pPr>
      <w:r>
        <w:rPr>
          <w:bCs/>
        </w:rPr>
        <w:t>12.2.8</w:t>
      </w:r>
      <w:r w:rsidRPr="00A43E08">
        <w:rPr>
          <w:bCs/>
        </w:rPr>
        <w:tab/>
        <w:t>Ensure that this IA is signed by an official(s) who is authorized to sign interagency agreements;</w:t>
      </w:r>
    </w:p>
    <w:p w:rsidR="00E94C77" w:rsidRPr="00D2614A" w:rsidRDefault="00E94C77" w:rsidP="00302E5D">
      <w:pPr>
        <w:pStyle w:val="Default"/>
        <w:spacing w:before="240" w:after="240"/>
        <w:ind w:left="2160" w:hanging="900"/>
        <w:rPr>
          <w:bCs/>
        </w:rPr>
      </w:pPr>
    </w:p>
    <w:p w:rsidR="007026D8" w:rsidRPr="00C73104" w:rsidRDefault="008005BE" w:rsidP="0040547E">
      <w:pPr>
        <w:pStyle w:val="Default"/>
        <w:keepNext/>
        <w:spacing w:before="240" w:after="240"/>
        <w:ind w:left="1260" w:hanging="720"/>
        <w:rPr>
          <w:b/>
          <w:bCs/>
        </w:rPr>
      </w:pPr>
      <w:r w:rsidRPr="00C73104">
        <w:rPr>
          <w:b/>
          <w:bCs/>
        </w:rPr>
        <w:lastRenderedPageBreak/>
        <w:t>12.</w:t>
      </w:r>
      <w:r w:rsidR="00032D6A">
        <w:rPr>
          <w:b/>
          <w:bCs/>
        </w:rPr>
        <w:t>3</w:t>
      </w:r>
      <w:r w:rsidRPr="00C73104">
        <w:rPr>
          <w:b/>
          <w:bCs/>
        </w:rPr>
        <w:tab/>
      </w:r>
      <w:r w:rsidR="00046E83" w:rsidRPr="00C73104">
        <w:rPr>
          <w:b/>
          <w:bCs/>
        </w:rPr>
        <w:t xml:space="preserve">Requesting Agency Roles and Responsibilities - </w:t>
      </w:r>
      <w:r w:rsidR="007026D8" w:rsidRPr="00C73104">
        <w:rPr>
          <w:b/>
          <w:bCs/>
        </w:rPr>
        <w:t>VA shall:</w:t>
      </w:r>
    </w:p>
    <w:p w:rsidR="00712B7B" w:rsidRDefault="00C73104" w:rsidP="00302E5D">
      <w:pPr>
        <w:pStyle w:val="Default"/>
        <w:spacing w:before="240" w:after="240"/>
        <w:ind w:left="2160" w:hanging="900"/>
        <w:rPr>
          <w:bCs/>
        </w:rPr>
      </w:pPr>
      <w:r>
        <w:rPr>
          <w:bCs/>
        </w:rPr>
        <w:t>12.</w:t>
      </w:r>
      <w:r w:rsidR="00032D6A">
        <w:rPr>
          <w:bCs/>
        </w:rPr>
        <w:t>3</w:t>
      </w:r>
      <w:r>
        <w:rPr>
          <w:bCs/>
        </w:rPr>
        <w:t>.1</w:t>
      </w:r>
      <w:r>
        <w:rPr>
          <w:bCs/>
        </w:rPr>
        <w:tab/>
      </w:r>
      <w:r w:rsidR="00712B7B">
        <w:rPr>
          <w:bCs/>
        </w:rPr>
        <w:t>Pay the Servicing Agency for reimbursable services</w:t>
      </w:r>
      <w:r w:rsidR="0037078D">
        <w:rPr>
          <w:bCs/>
        </w:rPr>
        <w:t xml:space="preserve"> in accordance with Section 21 of this Attachment 001</w:t>
      </w:r>
      <w:r w:rsidR="00712B7B">
        <w:rPr>
          <w:bCs/>
        </w:rPr>
        <w:t>;</w:t>
      </w:r>
    </w:p>
    <w:p w:rsidR="00931922" w:rsidRPr="00C73104" w:rsidRDefault="00C73104" w:rsidP="00302E5D">
      <w:pPr>
        <w:pStyle w:val="Default"/>
        <w:spacing w:before="240" w:after="240"/>
        <w:ind w:left="2160" w:hanging="900"/>
        <w:rPr>
          <w:bCs/>
        </w:rPr>
      </w:pPr>
      <w:r>
        <w:rPr>
          <w:bCs/>
        </w:rPr>
        <w:t>12.</w:t>
      </w:r>
      <w:r w:rsidR="00032D6A">
        <w:rPr>
          <w:bCs/>
        </w:rPr>
        <w:t>3</w:t>
      </w:r>
      <w:r>
        <w:rPr>
          <w:bCs/>
        </w:rPr>
        <w:t>.2</w:t>
      </w:r>
      <w:r>
        <w:rPr>
          <w:bCs/>
        </w:rPr>
        <w:tab/>
      </w:r>
      <w:r w:rsidR="00A61EBC" w:rsidRPr="00C73104">
        <w:rPr>
          <w:bCs/>
        </w:rPr>
        <w:t>P</w:t>
      </w:r>
      <w:r w:rsidR="007026D8" w:rsidRPr="00C73104">
        <w:rPr>
          <w:bCs/>
        </w:rPr>
        <w:t>rovide access to technical personnel as well as VA systems</w:t>
      </w:r>
      <w:r w:rsidR="00931922" w:rsidRPr="00C73104">
        <w:rPr>
          <w:bCs/>
        </w:rPr>
        <w:t xml:space="preserve"> </w:t>
      </w:r>
      <w:r w:rsidR="00AF60E2">
        <w:rPr>
          <w:bCs/>
        </w:rPr>
        <w:t>(e.g., complete, un</w:t>
      </w:r>
      <w:r w:rsidR="006D25C6">
        <w:rPr>
          <w:bCs/>
        </w:rPr>
        <w:t>-</w:t>
      </w:r>
      <w:r w:rsidR="00AF60E2">
        <w:rPr>
          <w:bCs/>
        </w:rPr>
        <w:t xml:space="preserve">redacted VistA image) </w:t>
      </w:r>
      <w:r w:rsidR="00931922" w:rsidRPr="00C73104">
        <w:rPr>
          <w:bCs/>
        </w:rPr>
        <w:t xml:space="preserve">and applications </w:t>
      </w:r>
      <w:r w:rsidR="007026D8" w:rsidRPr="00C73104">
        <w:rPr>
          <w:bCs/>
        </w:rPr>
        <w:t xml:space="preserve">for comprehensive knowledge exchange </w:t>
      </w:r>
      <w:r w:rsidR="00F66964" w:rsidRPr="00C73104">
        <w:rPr>
          <w:bCs/>
        </w:rPr>
        <w:t xml:space="preserve">and development </w:t>
      </w:r>
      <w:r w:rsidR="007026D8" w:rsidRPr="00C73104">
        <w:rPr>
          <w:bCs/>
        </w:rPr>
        <w:t>on shared projects, as available</w:t>
      </w:r>
      <w:r w:rsidR="008005BE" w:rsidRPr="00C73104">
        <w:rPr>
          <w:bCs/>
        </w:rPr>
        <w:t>;</w:t>
      </w:r>
    </w:p>
    <w:p w:rsidR="00CA3984" w:rsidRPr="00C73104" w:rsidDel="00AF60E2" w:rsidRDefault="00C73104" w:rsidP="00302E5D">
      <w:pPr>
        <w:pStyle w:val="Default"/>
        <w:spacing w:before="240" w:after="240"/>
        <w:ind w:left="2160" w:hanging="900"/>
        <w:rPr>
          <w:bCs/>
        </w:rPr>
      </w:pPr>
      <w:r w:rsidDel="00AF60E2">
        <w:rPr>
          <w:bCs/>
        </w:rPr>
        <w:t>12.</w:t>
      </w:r>
      <w:r w:rsidR="00032D6A" w:rsidDel="00AF60E2">
        <w:rPr>
          <w:bCs/>
        </w:rPr>
        <w:t>3</w:t>
      </w:r>
      <w:r w:rsidDel="00AF60E2">
        <w:rPr>
          <w:bCs/>
        </w:rPr>
        <w:t>.</w:t>
      </w:r>
      <w:r w:rsidR="00684238">
        <w:rPr>
          <w:bCs/>
        </w:rPr>
        <w:t>3</w:t>
      </w:r>
      <w:r w:rsidDel="00AF60E2">
        <w:rPr>
          <w:bCs/>
        </w:rPr>
        <w:tab/>
      </w:r>
      <w:r w:rsidR="00CA3984" w:rsidRPr="00C73104" w:rsidDel="00AF60E2">
        <w:rPr>
          <w:bCs/>
        </w:rPr>
        <w:t xml:space="preserve">Provide resource to support activities related to joint projects at the Pacific </w:t>
      </w:r>
      <w:r w:rsidR="005E63BD" w:rsidRPr="00C73104" w:rsidDel="00AF60E2">
        <w:rPr>
          <w:bCs/>
        </w:rPr>
        <w:t>Joint Information Technology Center</w:t>
      </w:r>
      <w:r w:rsidR="00CA3984" w:rsidRPr="00C73104" w:rsidDel="00AF60E2">
        <w:rPr>
          <w:bCs/>
        </w:rPr>
        <w:t xml:space="preserve"> and other agreed upon locations, including travel to meetings and briefings on the mainland</w:t>
      </w:r>
      <w:r w:rsidR="00AC66B8" w:rsidDel="00AF60E2">
        <w:rPr>
          <w:bCs/>
        </w:rPr>
        <w:t xml:space="preserve">.  </w:t>
      </w:r>
      <w:r w:rsidR="00CA3984" w:rsidRPr="00C73104" w:rsidDel="00AF60E2">
        <w:rPr>
          <w:bCs/>
        </w:rPr>
        <w:t xml:space="preserve">This includes participation in </w:t>
      </w:r>
      <w:r w:rsidR="008005BE" w:rsidRPr="00C73104" w:rsidDel="00AF60E2">
        <w:rPr>
          <w:bCs/>
        </w:rPr>
        <w:t xml:space="preserve">DHA </w:t>
      </w:r>
      <w:r w:rsidR="00CA3984" w:rsidRPr="00C73104" w:rsidDel="00AF60E2">
        <w:rPr>
          <w:bCs/>
        </w:rPr>
        <w:t>operational activities that engenders comprehensive knowledge exchange useful in the development of VA/</w:t>
      </w:r>
      <w:r w:rsidR="008005BE" w:rsidRPr="00C73104" w:rsidDel="00AF60E2">
        <w:rPr>
          <w:bCs/>
        </w:rPr>
        <w:t xml:space="preserve">DHA </w:t>
      </w:r>
      <w:r w:rsidR="00CA3984" w:rsidRPr="00C73104" w:rsidDel="00AF60E2">
        <w:rPr>
          <w:bCs/>
        </w:rPr>
        <w:t>interoperability, biotechnology projects and other related research projects</w:t>
      </w:r>
      <w:r w:rsidR="008005BE" w:rsidRPr="00C73104" w:rsidDel="00AF60E2">
        <w:rPr>
          <w:bCs/>
        </w:rPr>
        <w:t>;</w:t>
      </w:r>
    </w:p>
    <w:p w:rsidR="00046E83" w:rsidRPr="00C73104" w:rsidRDefault="00C73104" w:rsidP="00302E5D">
      <w:pPr>
        <w:pStyle w:val="Default"/>
        <w:spacing w:before="240" w:after="240"/>
        <w:ind w:left="2160" w:hanging="900"/>
        <w:rPr>
          <w:bCs/>
        </w:rPr>
      </w:pPr>
      <w:proofErr w:type="gramStart"/>
      <w:r>
        <w:rPr>
          <w:bCs/>
        </w:rPr>
        <w:t>12.</w:t>
      </w:r>
      <w:r w:rsidR="00032D6A">
        <w:rPr>
          <w:bCs/>
        </w:rPr>
        <w:t>3</w:t>
      </w:r>
      <w:r>
        <w:rPr>
          <w:bCs/>
        </w:rPr>
        <w:t>.</w:t>
      </w:r>
      <w:r w:rsidR="00684238">
        <w:rPr>
          <w:bCs/>
        </w:rPr>
        <w:t>4</w:t>
      </w:r>
      <w:r>
        <w:rPr>
          <w:bCs/>
        </w:rPr>
        <w:tab/>
      </w:r>
      <w:r w:rsidR="00A61EBC" w:rsidRPr="00C73104">
        <w:rPr>
          <w:bCs/>
        </w:rPr>
        <w:t>A</w:t>
      </w:r>
      <w:r w:rsidR="00046E83" w:rsidRPr="00C73104">
        <w:rPr>
          <w:bCs/>
        </w:rPr>
        <w:t>pprise</w:t>
      </w:r>
      <w:proofErr w:type="gramEnd"/>
      <w:r w:rsidR="00046E83" w:rsidRPr="00C73104">
        <w:rPr>
          <w:bCs/>
        </w:rPr>
        <w:t xml:space="preserve"> </w:t>
      </w:r>
      <w:r w:rsidR="000A666C">
        <w:rPr>
          <w:bCs/>
        </w:rPr>
        <w:t xml:space="preserve">the </w:t>
      </w:r>
      <w:r w:rsidR="00046E83" w:rsidRPr="00C73104">
        <w:rPr>
          <w:bCs/>
        </w:rPr>
        <w:t>Servicing Agency of all terms, conditions, and requirements to be incorporated into the contract as necessary to comply with the statutes, regulations, and directives that are unique to the Requesting Agency;</w:t>
      </w:r>
    </w:p>
    <w:p w:rsidR="00046E83" w:rsidRDefault="00C73104" w:rsidP="00302E5D">
      <w:pPr>
        <w:pStyle w:val="Default"/>
        <w:spacing w:before="240" w:after="240"/>
        <w:ind w:left="2160" w:hanging="900"/>
        <w:rPr>
          <w:bCs/>
        </w:rPr>
      </w:pPr>
      <w:r>
        <w:rPr>
          <w:bCs/>
        </w:rPr>
        <w:t>12.</w:t>
      </w:r>
      <w:r w:rsidR="00032D6A">
        <w:rPr>
          <w:bCs/>
        </w:rPr>
        <w:t>3</w:t>
      </w:r>
      <w:r>
        <w:rPr>
          <w:bCs/>
        </w:rPr>
        <w:t>.</w:t>
      </w:r>
      <w:r w:rsidR="00684238">
        <w:rPr>
          <w:bCs/>
        </w:rPr>
        <w:t>5</w:t>
      </w:r>
      <w:r>
        <w:rPr>
          <w:bCs/>
        </w:rPr>
        <w:tab/>
      </w:r>
      <w:r w:rsidR="00046E83" w:rsidRPr="00C73104">
        <w:rPr>
          <w:bCs/>
        </w:rPr>
        <w:t xml:space="preserve">Assign a financial point of contact </w:t>
      </w:r>
      <w:r w:rsidR="00BA171F">
        <w:rPr>
          <w:bCs/>
        </w:rPr>
        <w:t xml:space="preserve">(POC) </w:t>
      </w:r>
      <w:r w:rsidR="00046E83" w:rsidRPr="00C73104">
        <w:rPr>
          <w:bCs/>
        </w:rPr>
        <w:t>who will sign or obtain the appropriate agency signature on the funding documents;</w:t>
      </w:r>
    </w:p>
    <w:p w:rsidR="00EF5B5C" w:rsidRPr="00C73104" w:rsidRDefault="00EF5B5C" w:rsidP="00302E5D">
      <w:pPr>
        <w:pStyle w:val="Default"/>
        <w:spacing w:before="240" w:after="240"/>
        <w:ind w:left="2160" w:hanging="900"/>
        <w:rPr>
          <w:bCs/>
        </w:rPr>
      </w:pPr>
      <w:r>
        <w:rPr>
          <w:bCs/>
        </w:rPr>
        <w:t>12.3.</w:t>
      </w:r>
      <w:r w:rsidR="00684238">
        <w:rPr>
          <w:bCs/>
        </w:rPr>
        <w:t>6</w:t>
      </w:r>
      <w:r w:rsidRPr="00EF5B5C">
        <w:rPr>
          <w:bCs/>
        </w:rPr>
        <w:tab/>
        <w:t>Ensure that this IA is signed by an official(s) who is authorized to sign interagency agreements;</w:t>
      </w:r>
    </w:p>
    <w:p w:rsidR="00046E83" w:rsidRPr="00C73104" w:rsidRDefault="00C73104" w:rsidP="00302E5D">
      <w:pPr>
        <w:pStyle w:val="Default"/>
        <w:spacing w:before="240" w:after="240"/>
        <w:ind w:left="2160" w:hanging="900"/>
        <w:rPr>
          <w:bCs/>
        </w:rPr>
      </w:pPr>
      <w:r>
        <w:rPr>
          <w:bCs/>
        </w:rPr>
        <w:t>12.</w:t>
      </w:r>
      <w:r w:rsidR="00032D6A">
        <w:rPr>
          <w:bCs/>
        </w:rPr>
        <w:t>3</w:t>
      </w:r>
      <w:r>
        <w:rPr>
          <w:bCs/>
        </w:rPr>
        <w:t>.</w:t>
      </w:r>
      <w:r w:rsidR="00684238">
        <w:rPr>
          <w:bCs/>
        </w:rPr>
        <w:t>7</w:t>
      </w:r>
      <w:r>
        <w:rPr>
          <w:bCs/>
        </w:rPr>
        <w:tab/>
      </w:r>
      <w:r w:rsidR="00046E83" w:rsidRPr="00C73104">
        <w:rPr>
          <w:bCs/>
        </w:rPr>
        <w:t>Comply fully with applicable procurement regulations and policies in all matters related to this IA</w:t>
      </w:r>
      <w:r w:rsidR="008005BE" w:rsidRPr="00C73104">
        <w:rPr>
          <w:bCs/>
        </w:rPr>
        <w:t>A</w:t>
      </w:r>
      <w:r w:rsidR="00046E83" w:rsidRPr="00C73104">
        <w:rPr>
          <w:bCs/>
        </w:rPr>
        <w:t>;</w:t>
      </w:r>
    </w:p>
    <w:p w:rsidR="00046E83" w:rsidRPr="00C73104" w:rsidRDefault="00C73104" w:rsidP="00302E5D">
      <w:pPr>
        <w:pStyle w:val="Default"/>
        <w:spacing w:before="240" w:after="240"/>
        <w:ind w:left="2160" w:hanging="900"/>
        <w:rPr>
          <w:bCs/>
        </w:rPr>
      </w:pPr>
      <w:r>
        <w:rPr>
          <w:bCs/>
        </w:rPr>
        <w:t>12.</w:t>
      </w:r>
      <w:r w:rsidR="00032D6A">
        <w:rPr>
          <w:bCs/>
        </w:rPr>
        <w:t>3</w:t>
      </w:r>
      <w:r>
        <w:rPr>
          <w:bCs/>
        </w:rPr>
        <w:t>.</w:t>
      </w:r>
      <w:r w:rsidR="00684238">
        <w:rPr>
          <w:bCs/>
        </w:rPr>
        <w:t>8</w:t>
      </w:r>
      <w:r>
        <w:rPr>
          <w:bCs/>
        </w:rPr>
        <w:tab/>
      </w:r>
      <w:r w:rsidR="00046E83" w:rsidRPr="00C73104">
        <w:rPr>
          <w:bCs/>
        </w:rPr>
        <w:t xml:space="preserve">Identify and document its requirements </w:t>
      </w:r>
      <w:r w:rsidR="006D25C6">
        <w:rPr>
          <w:bCs/>
        </w:rPr>
        <w:t xml:space="preserve">(i.e., Statement of Work) </w:t>
      </w:r>
      <w:r w:rsidR="00046E83" w:rsidRPr="00C73104">
        <w:rPr>
          <w:bCs/>
        </w:rPr>
        <w:t>for submission to the Servicing Agency at the time of funding;</w:t>
      </w:r>
    </w:p>
    <w:p w:rsidR="00046E83" w:rsidRPr="00C73104" w:rsidRDefault="00C73104" w:rsidP="00302E5D">
      <w:pPr>
        <w:pStyle w:val="Default"/>
        <w:spacing w:before="240" w:after="240"/>
        <w:ind w:left="2160" w:hanging="900"/>
        <w:rPr>
          <w:bCs/>
        </w:rPr>
      </w:pPr>
      <w:r>
        <w:rPr>
          <w:bCs/>
        </w:rPr>
        <w:t>12.</w:t>
      </w:r>
      <w:r w:rsidR="00032D6A">
        <w:rPr>
          <w:bCs/>
        </w:rPr>
        <w:t>3</w:t>
      </w:r>
      <w:r>
        <w:rPr>
          <w:bCs/>
        </w:rPr>
        <w:t>.</w:t>
      </w:r>
      <w:r w:rsidR="00684238">
        <w:rPr>
          <w:bCs/>
        </w:rPr>
        <w:t>9</w:t>
      </w:r>
      <w:r>
        <w:rPr>
          <w:bCs/>
        </w:rPr>
        <w:tab/>
      </w:r>
      <w:r w:rsidR="00046E83" w:rsidRPr="00C73104">
        <w:rPr>
          <w:bCs/>
        </w:rPr>
        <w:t xml:space="preserve">Provide full funding for costs described in </w:t>
      </w:r>
      <w:r w:rsidR="00BA171F">
        <w:rPr>
          <w:bCs/>
        </w:rPr>
        <w:t>IAA 7600</w:t>
      </w:r>
      <w:r w:rsidR="00E337C3">
        <w:rPr>
          <w:bCs/>
        </w:rPr>
        <w:t xml:space="preserve"> </w:t>
      </w:r>
      <w:r w:rsidR="00BA171F">
        <w:rPr>
          <w:bCs/>
        </w:rPr>
        <w:t>Part B</w:t>
      </w:r>
      <w:r w:rsidR="00046E83" w:rsidRPr="00C73104">
        <w:rPr>
          <w:bCs/>
        </w:rPr>
        <w:t>, for all services ordered;</w:t>
      </w:r>
    </w:p>
    <w:p w:rsidR="00046E83" w:rsidRPr="00C73104" w:rsidRDefault="00C73104" w:rsidP="00302E5D">
      <w:pPr>
        <w:pStyle w:val="Default"/>
        <w:spacing w:before="240" w:after="240"/>
        <w:ind w:left="2160" w:hanging="900"/>
        <w:rPr>
          <w:bCs/>
        </w:rPr>
      </w:pPr>
      <w:r>
        <w:rPr>
          <w:bCs/>
        </w:rPr>
        <w:t>12.</w:t>
      </w:r>
      <w:r w:rsidR="00032D6A">
        <w:rPr>
          <w:bCs/>
        </w:rPr>
        <w:t>3</w:t>
      </w:r>
      <w:r>
        <w:rPr>
          <w:bCs/>
        </w:rPr>
        <w:t>.1</w:t>
      </w:r>
      <w:r w:rsidR="00684238">
        <w:rPr>
          <w:bCs/>
        </w:rPr>
        <w:t>0</w:t>
      </w:r>
      <w:r>
        <w:rPr>
          <w:bCs/>
        </w:rPr>
        <w:tab/>
      </w:r>
      <w:r w:rsidR="00046E83" w:rsidRPr="00C73104">
        <w:rPr>
          <w:bCs/>
        </w:rPr>
        <w:t xml:space="preserve">Provide information on security requirements for the </w:t>
      </w:r>
      <w:r w:rsidR="00BA171F">
        <w:rPr>
          <w:bCs/>
        </w:rPr>
        <w:t xml:space="preserve">IAA 7600 Part A </w:t>
      </w:r>
      <w:r w:rsidR="00046E83" w:rsidRPr="00C73104">
        <w:rPr>
          <w:bCs/>
        </w:rPr>
        <w:t xml:space="preserve">and subsequent </w:t>
      </w:r>
      <w:r w:rsidR="00BA171F">
        <w:rPr>
          <w:bCs/>
        </w:rPr>
        <w:t>IAA 7600</w:t>
      </w:r>
      <w:r w:rsidR="00E53D36">
        <w:rPr>
          <w:bCs/>
        </w:rPr>
        <w:t xml:space="preserve"> </w:t>
      </w:r>
      <w:r w:rsidR="00BA171F">
        <w:rPr>
          <w:bCs/>
        </w:rPr>
        <w:t>Part </w:t>
      </w:r>
      <w:proofErr w:type="spellStart"/>
      <w:r w:rsidR="00BA171F">
        <w:rPr>
          <w:bCs/>
        </w:rPr>
        <w:t>B</w:t>
      </w:r>
      <w:r w:rsidR="00E53D36">
        <w:rPr>
          <w:bCs/>
        </w:rPr>
        <w:t>s</w:t>
      </w:r>
      <w:proofErr w:type="spellEnd"/>
      <w:r w:rsidR="00046E83" w:rsidRPr="00C73104">
        <w:rPr>
          <w:bCs/>
        </w:rPr>
        <w:t>;</w:t>
      </w:r>
    </w:p>
    <w:p w:rsidR="008F10F4" w:rsidRPr="00C73104" w:rsidRDefault="00C73104" w:rsidP="00302E5D">
      <w:pPr>
        <w:pStyle w:val="Default"/>
        <w:spacing w:before="240" w:after="240"/>
        <w:ind w:left="2160" w:hanging="900"/>
        <w:rPr>
          <w:bCs/>
        </w:rPr>
      </w:pPr>
      <w:r>
        <w:rPr>
          <w:bCs/>
        </w:rPr>
        <w:t>12.</w:t>
      </w:r>
      <w:r w:rsidR="00032D6A">
        <w:rPr>
          <w:bCs/>
        </w:rPr>
        <w:t>3</w:t>
      </w:r>
      <w:r>
        <w:rPr>
          <w:bCs/>
        </w:rPr>
        <w:t>.1</w:t>
      </w:r>
      <w:r w:rsidR="00684238">
        <w:rPr>
          <w:bCs/>
        </w:rPr>
        <w:t>1</w:t>
      </w:r>
      <w:r>
        <w:rPr>
          <w:bCs/>
        </w:rPr>
        <w:tab/>
      </w:r>
      <w:r w:rsidR="008F10F4" w:rsidRPr="00C73104">
        <w:rPr>
          <w:bCs/>
        </w:rPr>
        <w:t xml:space="preserve">Provide funding for incrementally funded </w:t>
      </w:r>
      <w:r w:rsidR="00E53D36">
        <w:rPr>
          <w:bCs/>
        </w:rPr>
        <w:t>requirements</w:t>
      </w:r>
      <w:r w:rsidR="00E53D36" w:rsidRPr="00C73104">
        <w:rPr>
          <w:bCs/>
        </w:rPr>
        <w:t xml:space="preserve"> </w:t>
      </w:r>
      <w:r w:rsidR="008F10F4" w:rsidRPr="00C73104">
        <w:rPr>
          <w:bCs/>
        </w:rPr>
        <w:t>in a timely manner and in increments consistent with the project</w:t>
      </w:r>
      <w:r w:rsidR="00577865" w:rsidRPr="00C73104">
        <w:rPr>
          <w:bCs/>
        </w:rPr>
        <w:t>’</w:t>
      </w:r>
      <w:r w:rsidR="008F10F4" w:rsidRPr="00C73104">
        <w:rPr>
          <w:bCs/>
        </w:rPr>
        <w:t>s structure;</w:t>
      </w:r>
    </w:p>
    <w:p w:rsidR="008F10F4" w:rsidRPr="00C73104" w:rsidRDefault="00C73104" w:rsidP="00302E5D">
      <w:pPr>
        <w:pStyle w:val="Default"/>
        <w:spacing w:before="240" w:after="240"/>
        <w:ind w:left="2160" w:hanging="900"/>
        <w:rPr>
          <w:bCs/>
        </w:rPr>
      </w:pPr>
      <w:r>
        <w:rPr>
          <w:bCs/>
        </w:rPr>
        <w:t>12.</w:t>
      </w:r>
      <w:r w:rsidR="00032D6A">
        <w:rPr>
          <w:bCs/>
        </w:rPr>
        <w:t>3</w:t>
      </w:r>
      <w:r>
        <w:rPr>
          <w:bCs/>
        </w:rPr>
        <w:t>.1</w:t>
      </w:r>
      <w:r w:rsidR="00684238">
        <w:rPr>
          <w:bCs/>
        </w:rPr>
        <w:t>2</w:t>
      </w:r>
      <w:r>
        <w:rPr>
          <w:bCs/>
        </w:rPr>
        <w:tab/>
      </w:r>
      <w:proofErr w:type="gramStart"/>
      <w:r w:rsidR="008F10F4" w:rsidRPr="00C73104">
        <w:rPr>
          <w:bCs/>
        </w:rPr>
        <w:t>For</w:t>
      </w:r>
      <w:proofErr w:type="gramEnd"/>
      <w:r w:rsidR="008F10F4" w:rsidRPr="00C73104">
        <w:rPr>
          <w:bCs/>
        </w:rPr>
        <w:t xml:space="preserve"> each requirement submitted</w:t>
      </w:r>
      <w:r w:rsidR="00AC66B8">
        <w:rPr>
          <w:bCs/>
        </w:rPr>
        <w:t xml:space="preserve"> </w:t>
      </w:r>
      <w:r w:rsidR="008F10F4" w:rsidRPr="00C73104">
        <w:rPr>
          <w:bCs/>
        </w:rPr>
        <w:t>under this IA</w:t>
      </w:r>
      <w:r w:rsidR="008005BE" w:rsidRPr="00C73104">
        <w:rPr>
          <w:bCs/>
        </w:rPr>
        <w:t>A</w:t>
      </w:r>
      <w:r w:rsidR="008F10F4" w:rsidRPr="00C73104">
        <w:rPr>
          <w:bCs/>
        </w:rPr>
        <w:t xml:space="preserve">, designate and provide the contact information for </w:t>
      </w:r>
      <w:r w:rsidR="00E53D36">
        <w:rPr>
          <w:bCs/>
        </w:rPr>
        <w:t>an appropriate POC</w:t>
      </w:r>
      <w:r w:rsidR="008F10F4" w:rsidRPr="00C73104">
        <w:rPr>
          <w:bCs/>
        </w:rPr>
        <w:t>;</w:t>
      </w:r>
    </w:p>
    <w:p w:rsidR="008F10F4" w:rsidRPr="00C73104" w:rsidRDefault="00C73104" w:rsidP="00302E5D">
      <w:pPr>
        <w:pStyle w:val="Default"/>
        <w:spacing w:before="240" w:after="240"/>
        <w:ind w:left="2160" w:hanging="900"/>
        <w:rPr>
          <w:bCs/>
        </w:rPr>
      </w:pPr>
      <w:r>
        <w:rPr>
          <w:bCs/>
        </w:rPr>
        <w:t>12.</w:t>
      </w:r>
      <w:r w:rsidR="00032D6A">
        <w:rPr>
          <w:bCs/>
        </w:rPr>
        <w:t>3</w:t>
      </w:r>
      <w:r>
        <w:rPr>
          <w:bCs/>
        </w:rPr>
        <w:t>.1</w:t>
      </w:r>
      <w:r w:rsidR="00BA171F">
        <w:rPr>
          <w:bCs/>
        </w:rPr>
        <w:t>3</w:t>
      </w:r>
      <w:r>
        <w:rPr>
          <w:bCs/>
        </w:rPr>
        <w:tab/>
      </w:r>
      <w:r w:rsidR="008F10F4" w:rsidRPr="00C73104">
        <w:rPr>
          <w:bCs/>
        </w:rPr>
        <w:t>Coordinate with the Requesting Agency</w:t>
      </w:r>
      <w:r w:rsidR="00577865" w:rsidRPr="00C73104">
        <w:rPr>
          <w:bCs/>
        </w:rPr>
        <w:t>’</w:t>
      </w:r>
      <w:r w:rsidR="008F10F4" w:rsidRPr="00C73104">
        <w:rPr>
          <w:bCs/>
        </w:rPr>
        <w:t xml:space="preserve">s security office to ensure </w:t>
      </w:r>
      <w:r w:rsidR="00BA171F">
        <w:rPr>
          <w:bCs/>
        </w:rPr>
        <w:t xml:space="preserve">that </w:t>
      </w:r>
      <w:r w:rsidR="008F10F4" w:rsidRPr="00C73104">
        <w:rPr>
          <w:bCs/>
        </w:rPr>
        <w:t>Servicing Agency clearances are on file and are appropriate for the effort</w:t>
      </w:r>
      <w:r>
        <w:rPr>
          <w:bCs/>
        </w:rPr>
        <w:t>;</w:t>
      </w:r>
    </w:p>
    <w:p w:rsidR="008F10F4" w:rsidRPr="00C73104" w:rsidRDefault="00C73104" w:rsidP="00302E5D">
      <w:pPr>
        <w:pStyle w:val="Default"/>
        <w:spacing w:before="240" w:after="240"/>
        <w:ind w:left="2160" w:hanging="900"/>
        <w:rPr>
          <w:bCs/>
        </w:rPr>
      </w:pPr>
      <w:r>
        <w:rPr>
          <w:bCs/>
        </w:rPr>
        <w:lastRenderedPageBreak/>
        <w:t>12.</w:t>
      </w:r>
      <w:r w:rsidR="00032D6A">
        <w:rPr>
          <w:bCs/>
        </w:rPr>
        <w:t>3</w:t>
      </w:r>
      <w:r>
        <w:rPr>
          <w:bCs/>
        </w:rPr>
        <w:t>.1</w:t>
      </w:r>
      <w:r w:rsidR="00B43E05">
        <w:rPr>
          <w:bCs/>
        </w:rPr>
        <w:t>4</w:t>
      </w:r>
      <w:r>
        <w:rPr>
          <w:bCs/>
        </w:rPr>
        <w:tab/>
      </w:r>
      <w:r w:rsidR="008F10F4" w:rsidRPr="00C73104">
        <w:rPr>
          <w:bCs/>
        </w:rPr>
        <w:t xml:space="preserve">Track, measure, and evaluate </w:t>
      </w:r>
      <w:r w:rsidR="00BA171F">
        <w:rPr>
          <w:bCs/>
        </w:rPr>
        <w:t>the Servicing Agency’s</w:t>
      </w:r>
      <w:r w:rsidR="00BA171F" w:rsidRPr="00C73104">
        <w:rPr>
          <w:bCs/>
        </w:rPr>
        <w:t xml:space="preserve"> </w:t>
      </w:r>
      <w:r w:rsidR="008F10F4" w:rsidRPr="00C73104">
        <w:rPr>
          <w:bCs/>
        </w:rPr>
        <w:t xml:space="preserve">performance and report to the Servicing Agency POC </w:t>
      </w:r>
      <w:r w:rsidR="00E576AE">
        <w:rPr>
          <w:bCs/>
        </w:rPr>
        <w:t>per the Part B as outlined in the accompanying Statement of Work</w:t>
      </w:r>
      <w:r w:rsidR="008F10F4" w:rsidRPr="00C73104">
        <w:rPr>
          <w:bCs/>
        </w:rPr>
        <w:t>;</w:t>
      </w:r>
    </w:p>
    <w:p w:rsidR="006C54FC" w:rsidRDefault="00C73104" w:rsidP="00302E5D">
      <w:pPr>
        <w:pStyle w:val="Default"/>
        <w:spacing w:before="240" w:after="240"/>
        <w:ind w:left="2160" w:hanging="900"/>
        <w:rPr>
          <w:bCs/>
        </w:rPr>
      </w:pPr>
      <w:r>
        <w:rPr>
          <w:bCs/>
        </w:rPr>
        <w:t>12.</w:t>
      </w:r>
      <w:r w:rsidR="00032D6A">
        <w:rPr>
          <w:bCs/>
        </w:rPr>
        <w:t>3</w:t>
      </w:r>
      <w:r>
        <w:rPr>
          <w:bCs/>
        </w:rPr>
        <w:t>.1</w:t>
      </w:r>
      <w:r w:rsidR="00BA171F">
        <w:rPr>
          <w:bCs/>
        </w:rPr>
        <w:t>5</w:t>
      </w:r>
      <w:r>
        <w:rPr>
          <w:bCs/>
        </w:rPr>
        <w:tab/>
      </w:r>
      <w:r w:rsidR="006C54FC">
        <w:rPr>
          <w:bCs/>
        </w:rPr>
        <w:t>VA intends to assign a</w:t>
      </w:r>
      <w:r w:rsidR="0031133F">
        <w:rPr>
          <w:bCs/>
        </w:rPr>
        <w:t xml:space="preserve"> </w:t>
      </w:r>
      <w:r w:rsidR="00AF78FF">
        <w:rPr>
          <w:bCs/>
        </w:rPr>
        <w:t>VA Project Manager (PM)</w:t>
      </w:r>
      <w:r w:rsidR="006C54FC">
        <w:rPr>
          <w:bCs/>
        </w:rPr>
        <w:t xml:space="preserve"> for each 7600B for payment purposes</w:t>
      </w:r>
      <w:r w:rsidR="00AF78FF">
        <w:rPr>
          <w:bCs/>
        </w:rPr>
        <w:t>.  PM</w:t>
      </w:r>
      <w:r w:rsidR="003B51A1" w:rsidRPr="003B51A1">
        <w:rPr>
          <w:bCs/>
        </w:rPr>
        <w:t xml:space="preserve">s are not to authorize work, change any contractual documents, modify the authorized scope of work, </w:t>
      </w:r>
      <w:r w:rsidR="00AF78FF">
        <w:rPr>
          <w:bCs/>
        </w:rPr>
        <w:t xml:space="preserve">or </w:t>
      </w:r>
      <w:r w:rsidR="003B51A1" w:rsidRPr="003B51A1">
        <w:rPr>
          <w:bCs/>
        </w:rPr>
        <w:t xml:space="preserve">authorize accrual of costs </w:t>
      </w:r>
      <w:r w:rsidR="00AF78FF">
        <w:rPr>
          <w:bCs/>
        </w:rPr>
        <w:t xml:space="preserve">without approval by the VA Contract Officer. </w:t>
      </w:r>
    </w:p>
    <w:p w:rsidR="00046E83" w:rsidRPr="00C73104" w:rsidRDefault="00684238" w:rsidP="00302E5D">
      <w:pPr>
        <w:pStyle w:val="Default"/>
        <w:spacing w:before="240" w:after="240"/>
        <w:ind w:left="2160" w:hanging="900"/>
        <w:rPr>
          <w:bCs/>
        </w:rPr>
      </w:pPr>
      <w:r>
        <w:rPr>
          <w:bCs/>
        </w:rPr>
        <w:t>12.3.1</w:t>
      </w:r>
      <w:r w:rsidR="00B43E05">
        <w:rPr>
          <w:bCs/>
        </w:rPr>
        <w:t>6</w:t>
      </w:r>
      <w:r w:rsidR="003B51A1">
        <w:rPr>
          <w:bCs/>
        </w:rPr>
        <w:tab/>
      </w:r>
      <w:proofErr w:type="gramStart"/>
      <w:r w:rsidR="00046E83" w:rsidRPr="00C73104">
        <w:rPr>
          <w:bCs/>
        </w:rPr>
        <w:t>Advise</w:t>
      </w:r>
      <w:proofErr w:type="gramEnd"/>
      <w:r w:rsidR="00046E83" w:rsidRPr="00C73104">
        <w:rPr>
          <w:bCs/>
        </w:rPr>
        <w:t xml:space="preserve"> </w:t>
      </w:r>
      <w:r w:rsidR="000A666C">
        <w:rPr>
          <w:bCs/>
        </w:rPr>
        <w:t xml:space="preserve">the </w:t>
      </w:r>
      <w:r w:rsidR="00046E83" w:rsidRPr="00C73104">
        <w:rPr>
          <w:bCs/>
        </w:rPr>
        <w:t xml:space="preserve">Servicing Agency immediately of any problems or changed conditions that affect performance by the </w:t>
      </w:r>
      <w:r w:rsidR="00BA171F">
        <w:rPr>
          <w:bCs/>
        </w:rPr>
        <w:t>Servicing Agency</w:t>
      </w:r>
      <w:r w:rsidR="00046E83" w:rsidRPr="00C73104">
        <w:rPr>
          <w:bCs/>
        </w:rPr>
        <w:t>;</w:t>
      </w:r>
    </w:p>
    <w:p w:rsidR="003B51A1" w:rsidRDefault="00C73104" w:rsidP="00302E5D">
      <w:pPr>
        <w:pStyle w:val="Default"/>
        <w:spacing w:before="240" w:after="240"/>
        <w:ind w:left="2160" w:hanging="900"/>
        <w:rPr>
          <w:bCs/>
        </w:rPr>
      </w:pPr>
      <w:r>
        <w:rPr>
          <w:bCs/>
        </w:rPr>
        <w:t>12.</w:t>
      </w:r>
      <w:r w:rsidR="00032D6A">
        <w:rPr>
          <w:bCs/>
        </w:rPr>
        <w:t>3</w:t>
      </w:r>
      <w:r>
        <w:rPr>
          <w:bCs/>
        </w:rPr>
        <w:t>.</w:t>
      </w:r>
      <w:r w:rsidR="00684238">
        <w:rPr>
          <w:bCs/>
        </w:rPr>
        <w:t>1</w:t>
      </w:r>
      <w:r w:rsidR="00B43E05">
        <w:rPr>
          <w:bCs/>
        </w:rPr>
        <w:t>7</w:t>
      </w:r>
      <w:r>
        <w:rPr>
          <w:bCs/>
        </w:rPr>
        <w:tab/>
      </w:r>
      <w:r w:rsidR="00046E83" w:rsidRPr="00C73104">
        <w:rPr>
          <w:bCs/>
        </w:rPr>
        <w:t>Receive, inspect, and then either reject or accept the services and / or commodities within 30 days of receipt</w:t>
      </w:r>
      <w:r w:rsidR="00E53D36">
        <w:rPr>
          <w:bCs/>
        </w:rPr>
        <w:t xml:space="preserve">, </w:t>
      </w:r>
      <w:r w:rsidR="00046E83" w:rsidRPr="00C73104">
        <w:rPr>
          <w:bCs/>
        </w:rPr>
        <w:t>and forward a receiving report to the Servicing Agency Project Manager</w:t>
      </w:r>
      <w:r w:rsidR="00AC66B8">
        <w:rPr>
          <w:bCs/>
        </w:rPr>
        <w:t>.</w:t>
      </w:r>
      <w:r w:rsidR="00E354E7">
        <w:rPr>
          <w:bCs/>
        </w:rPr>
        <w:t xml:space="preserve">  </w:t>
      </w:r>
    </w:p>
    <w:p w:rsidR="00046E83" w:rsidRPr="00C73104" w:rsidRDefault="00E354E7" w:rsidP="003B51A1">
      <w:pPr>
        <w:pStyle w:val="Default"/>
        <w:spacing w:before="240" w:after="240"/>
        <w:ind w:left="2160"/>
        <w:rPr>
          <w:bCs/>
        </w:rPr>
      </w:pPr>
      <w:r>
        <w:rPr>
          <w:bCs/>
        </w:rPr>
        <w:t xml:space="preserve">Note: It is critical that the Requesting Agency properly carry out its responsibility to ensure services are received and the quality is acceptable.  The Servicing Agency encourages site visits, actual inspections, and close review of all deliverables to ensure that the Receiving Agency receives the value </w:t>
      </w:r>
      <w:r w:rsidR="003B51A1">
        <w:rPr>
          <w:bCs/>
        </w:rPr>
        <w:t xml:space="preserve">of </w:t>
      </w:r>
      <w:r>
        <w:rPr>
          <w:bCs/>
        </w:rPr>
        <w:t>contracted services.</w:t>
      </w:r>
    </w:p>
    <w:p w:rsidR="00046E83" w:rsidRDefault="00C73104" w:rsidP="00302E5D">
      <w:pPr>
        <w:pStyle w:val="Default"/>
        <w:spacing w:before="240" w:after="240"/>
        <w:ind w:left="2160" w:hanging="900"/>
        <w:rPr>
          <w:bCs/>
        </w:rPr>
      </w:pPr>
      <w:r>
        <w:rPr>
          <w:bCs/>
        </w:rPr>
        <w:t>12.</w:t>
      </w:r>
      <w:r w:rsidR="00032D6A">
        <w:rPr>
          <w:bCs/>
        </w:rPr>
        <w:t>3</w:t>
      </w:r>
      <w:r>
        <w:rPr>
          <w:bCs/>
        </w:rPr>
        <w:t>.</w:t>
      </w:r>
      <w:r w:rsidR="00B43E05">
        <w:rPr>
          <w:bCs/>
        </w:rPr>
        <w:t>18</w:t>
      </w:r>
      <w:r>
        <w:rPr>
          <w:bCs/>
        </w:rPr>
        <w:tab/>
      </w:r>
      <w:r w:rsidR="00046E83" w:rsidRPr="00C73104">
        <w:rPr>
          <w:bCs/>
        </w:rPr>
        <w:t xml:space="preserve">Identify unique terms, conditions, or requirements that must be incorporated into subsequent </w:t>
      </w:r>
      <w:r w:rsidR="00BA171F">
        <w:rPr>
          <w:bCs/>
        </w:rPr>
        <w:t>IAA 7600</w:t>
      </w:r>
      <w:r w:rsidR="00E53D36">
        <w:rPr>
          <w:bCs/>
        </w:rPr>
        <w:t xml:space="preserve"> </w:t>
      </w:r>
      <w:r w:rsidR="00BA171F">
        <w:rPr>
          <w:bCs/>
        </w:rPr>
        <w:t>Part </w:t>
      </w:r>
      <w:proofErr w:type="spellStart"/>
      <w:r w:rsidR="00BA171F">
        <w:rPr>
          <w:bCs/>
        </w:rPr>
        <w:t>B</w:t>
      </w:r>
      <w:r w:rsidR="00E53D36">
        <w:rPr>
          <w:bCs/>
        </w:rPr>
        <w:t>s</w:t>
      </w:r>
      <w:proofErr w:type="spellEnd"/>
      <w:r w:rsidR="00046E83" w:rsidRPr="00C73104">
        <w:rPr>
          <w:bCs/>
        </w:rPr>
        <w:t>;</w:t>
      </w:r>
    </w:p>
    <w:p w:rsidR="008B77AA" w:rsidRPr="008B77AA" w:rsidRDefault="008B77AA" w:rsidP="008B77AA">
      <w:pPr>
        <w:pStyle w:val="Default"/>
        <w:spacing w:before="240" w:after="240"/>
        <w:ind w:left="2160" w:hanging="900"/>
        <w:rPr>
          <w:bCs/>
        </w:rPr>
      </w:pPr>
      <w:r>
        <w:rPr>
          <w:bCs/>
        </w:rPr>
        <w:t>12.3.</w:t>
      </w:r>
      <w:r w:rsidR="00B43E05">
        <w:rPr>
          <w:bCs/>
        </w:rPr>
        <w:t>19</w:t>
      </w:r>
      <w:r w:rsidRPr="008B77AA">
        <w:rPr>
          <w:bCs/>
        </w:rPr>
        <w:t>.</w:t>
      </w:r>
      <w:r w:rsidRPr="008B77AA">
        <w:rPr>
          <w:bCs/>
        </w:rPr>
        <w:tab/>
        <w:t xml:space="preserve">Support </w:t>
      </w:r>
      <w:r w:rsidR="00600828">
        <w:rPr>
          <w:bCs/>
        </w:rPr>
        <w:t xml:space="preserve">7600B </w:t>
      </w:r>
      <w:r w:rsidRPr="008B77AA">
        <w:rPr>
          <w:bCs/>
        </w:rPr>
        <w:t>close-out functions, to include providing appropriate funding for Servicing Agency assisted services fees and to satisfy settlement agreements and claims, and by accepting any excess funds returned by the Servicing Agency;</w:t>
      </w:r>
    </w:p>
    <w:p w:rsidR="008B77AA" w:rsidRPr="00C73104" w:rsidRDefault="008B77AA" w:rsidP="008B77AA">
      <w:pPr>
        <w:pStyle w:val="Default"/>
        <w:spacing w:before="240" w:after="240"/>
        <w:ind w:left="2160" w:hanging="900"/>
        <w:rPr>
          <w:bCs/>
        </w:rPr>
      </w:pPr>
      <w:r>
        <w:rPr>
          <w:bCs/>
        </w:rPr>
        <w:t>12.3.</w:t>
      </w:r>
      <w:r w:rsidR="00684238">
        <w:rPr>
          <w:bCs/>
        </w:rPr>
        <w:t>23</w:t>
      </w:r>
      <w:r w:rsidRPr="008B77AA">
        <w:rPr>
          <w:bCs/>
        </w:rPr>
        <w:t>.</w:t>
      </w:r>
      <w:r w:rsidRPr="008B77AA">
        <w:rPr>
          <w:bCs/>
        </w:rPr>
        <w:tab/>
        <w:t>Be a good steward of the agency's funds, and to use these funds in compliance with the requirements of fiscal law.</w:t>
      </w:r>
    </w:p>
    <w:p w:rsidR="00E6091B" w:rsidRPr="00C56EA8" w:rsidRDefault="00E6091B" w:rsidP="0040547E">
      <w:pPr>
        <w:pStyle w:val="Heading1"/>
        <w:spacing w:after="240" w:line="240" w:lineRule="auto"/>
        <w:rPr>
          <w:rFonts w:ascii="Times New Roman" w:hAnsi="Times New Roman"/>
          <w:sz w:val="24"/>
          <w:szCs w:val="24"/>
        </w:rPr>
      </w:pPr>
      <w:bookmarkStart w:id="3" w:name="_Toc420057257"/>
      <w:r w:rsidRPr="00C56EA8">
        <w:rPr>
          <w:rFonts w:ascii="Times New Roman" w:hAnsi="Times New Roman"/>
          <w:sz w:val="24"/>
          <w:szCs w:val="24"/>
        </w:rPr>
        <w:t>13.</w:t>
      </w:r>
      <w:r w:rsidR="000A666C">
        <w:rPr>
          <w:rFonts w:ascii="Times New Roman" w:hAnsi="Times New Roman"/>
          <w:sz w:val="24"/>
          <w:szCs w:val="24"/>
        </w:rPr>
        <w:tab/>
      </w:r>
      <w:r w:rsidRPr="00C56EA8">
        <w:rPr>
          <w:rFonts w:ascii="Times New Roman" w:hAnsi="Times New Roman"/>
          <w:sz w:val="24"/>
          <w:szCs w:val="24"/>
        </w:rPr>
        <w:t>Restrictions</w:t>
      </w:r>
      <w:bookmarkEnd w:id="3"/>
      <w:r w:rsidR="00857899">
        <w:rPr>
          <w:rFonts w:ascii="Times New Roman" w:hAnsi="Times New Roman"/>
          <w:sz w:val="24"/>
          <w:szCs w:val="24"/>
        </w:rPr>
        <w:t xml:space="preserve"> </w:t>
      </w:r>
      <w:r w:rsidR="00431DD5">
        <w:rPr>
          <w:rFonts w:ascii="Times New Roman" w:hAnsi="Times New Roman"/>
          <w:sz w:val="24"/>
          <w:szCs w:val="24"/>
        </w:rPr>
        <w:t>(</w:t>
      </w:r>
      <w:r w:rsidR="00857899">
        <w:rPr>
          <w:rFonts w:ascii="Times New Roman" w:hAnsi="Times New Roman"/>
          <w:sz w:val="24"/>
          <w:szCs w:val="24"/>
        </w:rPr>
        <w:t>Unique Requirements</w:t>
      </w:r>
      <w:r w:rsidR="00431DD5">
        <w:rPr>
          <w:rFonts w:ascii="Times New Roman" w:hAnsi="Times New Roman"/>
          <w:sz w:val="24"/>
          <w:szCs w:val="24"/>
        </w:rPr>
        <w:t>)</w:t>
      </w:r>
      <w:r w:rsidRPr="00C56EA8">
        <w:rPr>
          <w:rFonts w:ascii="Times New Roman" w:hAnsi="Times New Roman"/>
          <w:sz w:val="24"/>
          <w:szCs w:val="24"/>
        </w:rPr>
        <w:t xml:space="preserve"> </w:t>
      </w:r>
    </w:p>
    <w:p w:rsidR="00E6091B" w:rsidRPr="00E22E08" w:rsidRDefault="00712B7B" w:rsidP="00CF3F2E">
      <w:pPr>
        <w:pStyle w:val="Default"/>
        <w:spacing w:before="240" w:after="240"/>
        <w:ind w:left="547"/>
        <w:rPr>
          <w:bCs/>
        </w:rPr>
      </w:pPr>
      <w:r>
        <w:rPr>
          <w:bCs/>
        </w:rPr>
        <w:t xml:space="preserve">The </w:t>
      </w:r>
      <w:r w:rsidR="00CF3F2E">
        <w:rPr>
          <w:bCs/>
        </w:rPr>
        <w:t xml:space="preserve">Servicing Agency’s ability to perform services hereunder depends on availability of and access to </w:t>
      </w:r>
      <w:r w:rsidR="00E6091B" w:rsidRPr="00E22E08">
        <w:rPr>
          <w:bCs/>
        </w:rPr>
        <w:t xml:space="preserve">the Pacific JITC Integrated Test and Evaluation Center lab in </w:t>
      </w:r>
      <w:proofErr w:type="spellStart"/>
      <w:r w:rsidR="00E6091B" w:rsidRPr="00E22E08">
        <w:rPr>
          <w:bCs/>
        </w:rPr>
        <w:t>Kihei</w:t>
      </w:r>
      <w:proofErr w:type="spellEnd"/>
      <w:r w:rsidR="00E6091B" w:rsidRPr="00E22E08">
        <w:rPr>
          <w:bCs/>
        </w:rPr>
        <w:t>, Maui</w:t>
      </w:r>
      <w:r w:rsidR="00E354E7">
        <w:rPr>
          <w:bCs/>
        </w:rPr>
        <w:t>, or other comparable sites</w:t>
      </w:r>
      <w:r w:rsidR="00CF3F2E">
        <w:rPr>
          <w:bCs/>
        </w:rPr>
        <w:t xml:space="preserve">.  Performance of the services will require access to space for frequent </w:t>
      </w:r>
      <w:r w:rsidR="00E6091B" w:rsidRPr="00E22E08">
        <w:rPr>
          <w:bCs/>
        </w:rPr>
        <w:t xml:space="preserve">ad hoc meetings and </w:t>
      </w:r>
      <w:r w:rsidR="00CF3F2E">
        <w:rPr>
          <w:bCs/>
        </w:rPr>
        <w:t>substantial l</w:t>
      </w:r>
      <w:r w:rsidR="00E6091B" w:rsidRPr="00E22E08">
        <w:rPr>
          <w:bCs/>
        </w:rPr>
        <w:t>aboratory time</w:t>
      </w:r>
      <w:r w:rsidR="00AC66B8">
        <w:rPr>
          <w:bCs/>
        </w:rPr>
        <w:t xml:space="preserve">.  </w:t>
      </w:r>
    </w:p>
    <w:p w:rsidR="00CF7A40" w:rsidRPr="00C56EA8" w:rsidRDefault="00CF7A40" w:rsidP="0040547E">
      <w:pPr>
        <w:pStyle w:val="Heading1"/>
        <w:spacing w:after="240" w:line="240" w:lineRule="auto"/>
        <w:rPr>
          <w:rFonts w:ascii="Times New Roman" w:hAnsi="Times New Roman"/>
          <w:sz w:val="24"/>
          <w:szCs w:val="24"/>
        </w:rPr>
      </w:pPr>
      <w:bookmarkStart w:id="4" w:name="_Toc420057259"/>
      <w:r w:rsidRPr="00C56EA8">
        <w:rPr>
          <w:rFonts w:ascii="Times New Roman" w:hAnsi="Times New Roman"/>
          <w:sz w:val="24"/>
          <w:szCs w:val="24"/>
        </w:rPr>
        <w:t>15.</w:t>
      </w:r>
      <w:r w:rsidR="00E22E08">
        <w:rPr>
          <w:rFonts w:ascii="Times New Roman" w:hAnsi="Times New Roman"/>
          <w:sz w:val="24"/>
          <w:szCs w:val="24"/>
        </w:rPr>
        <w:tab/>
      </w:r>
      <w:r w:rsidRPr="00C56EA8">
        <w:rPr>
          <w:rFonts w:ascii="Times New Roman" w:hAnsi="Times New Roman"/>
          <w:sz w:val="24"/>
          <w:szCs w:val="24"/>
        </w:rPr>
        <w:t>Disputes</w:t>
      </w:r>
      <w:bookmarkEnd w:id="4"/>
    </w:p>
    <w:p w:rsidR="00CF7A40" w:rsidRPr="000A666C" w:rsidRDefault="000A666C" w:rsidP="00F1615A">
      <w:pPr>
        <w:pStyle w:val="Default"/>
        <w:spacing w:before="240" w:after="240"/>
        <w:ind w:left="1260" w:hanging="720"/>
        <w:rPr>
          <w:bCs/>
        </w:rPr>
      </w:pPr>
      <w:r>
        <w:rPr>
          <w:bCs/>
        </w:rPr>
        <w:t>15.1</w:t>
      </w:r>
      <w:r>
        <w:rPr>
          <w:bCs/>
        </w:rPr>
        <w:tab/>
      </w:r>
      <w:r w:rsidR="00CF7A40" w:rsidRPr="000A666C">
        <w:rPr>
          <w:bCs/>
        </w:rPr>
        <w:t xml:space="preserve">Disputes related to this </w:t>
      </w:r>
      <w:r w:rsidR="00AC66B8">
        <w:rPr>
          <w:bCs/>
        </w:rPr>
        <w:t>IAA</w:t>
      </w:r>
      <w:r w:rsidR="00CF7A40" w:rsidRPr="000A666C">
        <w:rPr>
          <w:bCs/>
        </w:rPr>
        <w:t xml:space="preserve"> shall be resolved in accordance with instructions in the Treasury Financial Manual Volume I, Part 2, Chapter 4700, Appendix 10; </w:t>
      </w:r>
      <w:proofErr w:type="spellStart"/>
      <w:r w:rsidR="00B56CBE" w:rsidRPr="000A666C">
        <w:rPr>
          <w:bCs/>
        </w:rPr>
        <w:t>Int</w:t>
      </w:r>
      <w:r w:rsidR="00B56CBE">
        <w:rPr>
          <w:bCs/>
        </w:rPr>
        <w:t>ra</w:t>
      </w:r>
      <w:r w:rsidR="00B56CBE" w:rsidRPr="000A666C">
        <w:rPr>
          <w:bCs/>
        </w:rPr>
        <w:t>governmental</w:t>
      </w:r>
      <w:proofErr w:type="spellEnd"/>
      <w:r w:rsidR="00B56CBE" w:rsidRPr="000A666C">
        <w:rPr>
          <w:bCs/>
        </w:rPr>
        <w:t xml:space="preserve"> </w:t>
      </w:r>
      <w:r w:rsidR="00CF7A40" w:rsidRPr="000A666C">
        <w:rPr>
          <w:bCs/>
        </w:rPr>
        <w:t>Business Rules.</w:t>
      </w:r>
    </w:p>
    <w:p w:rsidR="00CF7A40" w:rsidRPr="000A666C" w:rsidRDefault="000A666C" w:rsidP="00F1615A">
      <w:pPr>
        <w:pStyle w:val="Default"/>
        <w:spacing w:before="240" w:after="240"/>
        <w:ind w:left="1260" w:hanging="720"/>
        <w:rPr>
          <w:bCs/>
        </w:rPr>
      </w:pPr>
      <w:r>
        <w:rPr>
          <w:bCs/>
        </w:rPr>
        <w:t>15.2</w:t>
      </w:r>
      <w:r>
        <w:rPr>
          <w:bCs/>
        </w:rPr>
        <w:tab/>
      </w:r>
      <w:r w:rsidR="00CF7A40" w:rsidRPr="000A666C">
        <w:rPr>
          <w:bCs/>
        </w:rPr>
        <w:t>If a</w:t>
      </w:r>
      <w:r w:rsidR="00FD29FA">
        <w:rPr>
          <w:bCs/>
        </w:rPr>
        <w:t xml:space="preserve">n </w:t>
      </w:r>
      <w:r w:rsidR="00BA171F">
        <w:rPr>
          <w:bCs/>
        </w:rPr>
        <w:t>IAA 7600</w:t>
      </w:r>
      <w:r w:rsidR="00FD29FA">
        <w:rPr>
          <w:bCs/>
        </w:rPr>
        <w:t xml:space="preserve"> </w:t>
      </w:r>
      <w:r w:rsidR="00BA171F">
        <w:rPr>
          <w:bCs/>
        </w:rPr>
        <w:t>Part B</w:t>
      </w:r>
      <w:r w:rsidR="00CF7A40" w:rsidRPr="000A666C">
        <w:rPr>
          <w:bCs/>
        </w:rPr>
        <w:t xml:space="preserve"> is terminated or cancelled or a dispute or protest arises, appropriate action will be taken in accordance with the terms of the contract and </w:t>
      </w:r>
      <w:r w:rsidR="00CF7A40" w:rsidRPr="000A666C">
        <w:rPr>
          <w:bCs/>
        </w:rPr>
        <w:lastRenderedPageBreak/>
        <w:t>applicable laws and regulations</w:t>
      </w:r>
      <w:r w:rsidR="00AC66B8">
        <w:rPr>
          <w:bCs/>
        </w:rPr>
        <w:t xml:space="preserve">.  </w:t>
      </w:r>
      <w:r w:rsidR="00CF7A40" w:rsidRPr="000A666C">
        <w:rPr>
          <w:bCs/>
        </w:rPr>
        <w:t>The Requesting Agency shall be responsible for all costs associated with termination, disputes, and protests, including settlement costs, except the Requesting Agency shall not be responsible to the Servicing Agency for costs associated with actions that stem from errors in performing the responsibilities assigned to the Servicing Agency</w:t>
      </w:r>
      <w:r w:rsidR="00AC66B8">
        <w:rPr>
          <w:bCs/>
        </w:rPr>
        <w:t xml:space="preserve">.  </w:t>
      </w:r>
      <w:r w:rsidR="00CF7A40" w:rsidRPr="000A666C">
        <w:rPr>
          <w:bCs/>
        </w:rPr>
        <w:t>The Servicing Agency shall consult with the Requesting Agency before agreeing to a settlement or payments to ensure that the Servicing Agency has adequate time in which to raise or address any fiscal or budgetary concerns arising from the proposed payment or settlement.</w:t>
      </w:r>
    </w:p>
    <w:p w:rsidR="00CF7A40" w:rsidRPr="00C56EA8" w:rsidRDefault="00CF7A40" w:rsidP="0040547E">
      <w:pPr>
        <w:pStyle w:val="Heading1"/>
        <w:spacing w:after="240" w:line="240" w:lineRule="auto"/>
        <w:rPr>
          <w:rFonts w:ascii="Times New Roman" w:hAnsi="Times New Roman"/>
          <w:sz w:val="24"/>
          <w:szCs w:val="24"/>
        </w:rPr>
      </w:pPr>
      <w:bookmarkStart w:id="5" w:name="_Toc420057260"/>
      <w:r w:rsidRPr="00C56EA8">
        <w:rPr>
          <w:rFonts w:ascii="Times New Roman" w:hAnsi="Times New Roman"/>
          <w:sz w:val="24"/>
          <w:szCs w:val="24"/>
        </w:rPr>
        <w:t>16</w:t>
      </w:r>
      <w:r w:rsidR="00AC66B8">
        <w:rPr>
          <w:rFonts w:ascii="Times New Roman" w:hAnsi="Times New Roman"/>
          <w:sz w:val="24"/>
          <w:szCs w:val="24"/>
        </w:rPr>
        <w:t>.</w:t>
      </w:r>
      <w:r w:rsidR="00AC66B8">
        <w:rPr>
          <w:rFonts w:ascii="Times New Roman" w:hAnsi="Times New Roman"/>
          <w:sz w:val="24"/>
          <w:szCs w:val="24"/>
        </w:rPr>
        <w:tab/>
      </w:r>
      <w:r w:rsidRPr="00C56EA8">
        <w:rPr>
          <w:rFonts w:ascii="Times New Roman" w:hAnsi="Times New Roman"/>
          <w:sz w:val="24"/>
          <w:szCs w:val="24"/>
        </w:rPr>
        <w:t>Termination</w:t>
      </w:r>
      <w:bookmarkEnd w:id="5"/>
    </w:p>
    <w:p w:rsidR="00CF7A40" w:rsidRPr="000A666C" w:rsidRDefault="000A666C" w:rsidP="00F1615A">
      <w:pPr>
        <w:pStyle w:val="Default"/>
        <w:spacing w:before="240" w:after="240"/>
        <w:ind w:left="1260" w:hanging="720"/>
        <w:rPr>
          <w:bCs/>
        </w:rPr>
      </w:pPr>
      <w:r>
        <w:rPr>
          <w:bCs/>
        </w:rPr>
        <w:t>16.1</w:t>
      </w:r>
      <w:r>
        <w:rPr>
          <w:bCs/>
        </w:rPr>
        <w:tab/>
      </w:r>
      <w:r w:rsidR="00CF7A40" w:rsidRPr="000A666C">
        <w:rPr>
          <w:bCs/>
        </w:rPr>
        <w:t>This IA</w:t>
      </w:r>
      <w:r w:rsidR="00075A32" w:rsidRPr="000A666C">
        <w:rPr>
          <w:bCs/>
        </w:rPr>
        <w:t>A</w:t>
      </w:r>
      <w:r w:rsidR="00BA171F">
        <w:rPr>
          <w:bCs/>
        </w:rPr>
        <w:t> 7600 Part A</w:t>
      </w:r>
      <w:r w:rsidR="00CF3F2E">
        <w:rPr>
          <w:bCs/>
        </w:rPr>
        <w:t xml:space="preserve"> </w:t>
      </w:r>
      <w:r w:rsidR="00CF7A40" w:rsidRPr="000A666C">
        <w:rPr>
          <w:bCs/>
        </w:rPr>
        <w:t xml:space="preserve">may be terminated upon thirty (30) calendar </w:t>
      </w:r>
      <w:proofErr w:type="gramStart"/>
      <w:r w:rsidR="00CF7A40" w:rsidRPr="000A666C">
        <w:rPr>
          <w:bCs/>
        </w:rPr>
        <w:t>days</w:t>
      </w:r>
      <w:proofErr w:type="gramEnd"/>
      <w:r w:rsidR="00CF7A40" w:rsidRPr="000A666C">
        <w:rPr>
          <w:bCs/>
        </w:rPr>
        <w:t xml:space="preserve"> written notice by either </w:t>
      </w:r>
      <w:r w:rsidR="00817807">
        <w:rPr>
          <w:bCs/>
        </w:rPr>
        <w:t>P</w:t>
      </w:r>
      <w:r w:rsidR="00CF7A40" w:rsidRPr="000A666C">
        <w:rPr>
          <w:bCs/>
        </w:rPr>
        <w:t>arty</w:t>
      </w:r>
      <w:r w:rsidR="00BA171F">
        <w:rPr>
          <w:bCs/>
        </w:rPr>
        <w:t xml:space="preserve"> to the other</w:t>
      </w:r>
      <w:r w:rsidR="0037078D">
        <w:rPr>
          <w:bCs/>
        </w:rPr>
        <w:t>, or upon mutual agreement</w:t>
      </w:r>
      <w:r w:rsidR="00AC66B8">
        <w:rPr>
          <w:bCs/>
        </w:rPr>
        <w:t xml:space="preserve">.  </w:t>
      </w:r>
      <w:r w:rsidR="00BA171F">
        <w:rPr>
          <w:bCs/>
        </w:rPr>
        <w:t>Termination of I</w:t>
      </w:r>
      <w:r w:rsidR="00817807">
        <w:rPr>
          <w:bCs/>
        </w:rPr>
        <w:t>AA</w:t>
      </w:r>
      <w:r w:rsidR="00BA171F">
        <w:rPr>
          <w:bCs/>
        </w:rPr>
        <w:t> 7600 Part A</w:t>
      </w:r>
      <w:r w:rsidR="00CF7A40" w:rsidRPr="000A666C">
        <w:rPr>
          <w:bCs/>
        </w:rPr>
        <w:t xml:space="preserve"> </w:t>
      </w:r>
      <w:r w:rsidR="00BA171F">
        <w:rPr>
          <w:bCs/>
        </w:rPr>
        <w:t xml:space="preserve">shall also serve to terminate </w:t>
      </w:r>
      <w:r w:rsidR="00CF7A40" w:rsidRPr="000A666C">
        <w:rPr>
          <w:bCs/>
        </w:rPr>
        <w:t xml:space="preserve">implementing </w:t>
      </w:r>
      <w:r w:rsidR="00BA171F">
        <w:rPr>
          <w:bCs/>
        </w:rPr>
        <w:t>IAA 7600</w:t>
      </w:r>
      <w:r w:rsidR="00FD29FA">
        <w:rPr>
          <w:bCs/>
        </w:rPr>
        <w:t xml:space="preserve"> </w:t>
      </w:r>
      <w:r w:rsidR="00BA171F">
        <w:rPr>
          <w:bCs/>
        </w:rPr>
        <w:t>Part </w:t>
      </w:r>
      <w:proofErr w:type="spellStart"/>
      <w:r w:rsidR="00BA171F">
        <w:rPr>
          <w:bCs/>
        </w:rPr>
        <w:t>Bs</w:t>
      </w:r>
      <w:proofErr w:type="spellEnd"/>
      <w:r w:rsidR="00AC66B8">
        <w:rPr>
          <w:bCs/>
        </w:rPr>
        <w:t xml:space="preserve">.  </w:t>
      </w:r>
    </w:p>
    <w:p w:rsidR="00E6091B" w:rsidRPr="000A666C" w:rsidRDefault="000A666C" w:rsidP="00F1615A">
      <w:pPr>
        <w:pStyle w:val="Default"/>
        <w:spacing w:before="240" w:after="240"/>
        <w:ind w:left="1260" w:hanging="720"/>
        <w:rPr>
          <w:bCs/>
        </w:rPr>
      </w:pPr>
      <w:r>
        <w:rPr>
          <w:bCs/>
        </w:rPr>
        <w:t>16.2</w:t>
      </w:r>
      <w:r>
        <w:rPr>
          <w:bCs/>
        </w:rPr>
        <w:tab/>
      </w:r>
      <w:r w:rsidR="00CF7A40" w:rsidRPr="000A666C">
        <w:rPr>
          <w:bCs/>
        </w:rPr>
        <w:t xml:space="preserve">If the Servicing Agency </w:t>
      </w:r>
      <w:r w:rsidR="00075A32" w:rsidRPr="000A666C">
        <w:rPr>
          <w:bCs/>
        </w:rPr>
        <w:t>i</w:t>
      </w:r>
      <w:r w:rsidR="00CF7A40" w:rsidRPr="000A666C">
        <w:rPr>
          <w:bCs/>
        </w:rPr>
        <w:t>ncurs costs due to the Requesting Agency</w:t>
      </w:r>
      <w:r w:rsidR="00577865" w:rsidRPr="000A666C">
        <w:rPr>
          <w:bCs/>
        </w:rPr>
        <w:t>’</w:t>
      </w:r>
      <w:r w:rsidR="00CF7A40" w:rsidRPr="000A666C">
        <w:rPr>
          <w:bCs/>
        </w:rPr>
        <w:t>s failure to give the requisite notice of its intent to terminate the IA</w:t>
      </w:r>
      <w:r w:rsidR="00075A32" w:rsidRPr="000A666C">
        <w:rPr>
          <w:bCs/>
        </w:rPr>
        <w:t>A</w:t>
      </w:r>
      <w:r w:rsidR="00BA171F">
        <w:rPr>
          <w:bCs/>
        </w:rPr>
        <w:t> Part 7600</w:t>
      </w:r>
      <w:r w:rsidR="00EB179B">
        <w:rPr>
          <w:bCs/>
        </w:rPr>
        <w:t>B</w:t>
      </w:r>
      <w:r w:rsidR="00CF7A40" w:rsidRPr="000A666C">
        <w:rPr>
          <w:bCs/>
        </w:rPr>
        <w:t>, the Requesting Agency shall pay any actual costs incurred by the Servicing Agency as a result of the delay in notification, provided such costs are directly attributable to the failure to give notice.</w:t>
      </w:r>
    </w:p>
    <w:p w:rsidR="00FE1878" w:rsidRPr="00C56EA8" w:rsidRDefault="00A9321A" w:rsidP="0040547E">
      <w:pPr>
        <w:keepNext/>
        <w:keepLines/>
        <w:spacing w:before="240" w:after="240" w:line="240" w:lineRule="auto"/>
        <w:outlineLvl w:val="0"/>
        <w:rPr>
          <w:rFonts w:ascii="Times New Roman" w:eastAsia="Times New Roman" w:hAnsi="Times New Roman"/>
          <w:b/>
          <w:bCs/>
          <w:sz w:val="24"/>
          <w:szCs w:val="24"/>
        </w:rPr>
      </w:pPr>
      <w:bookmarkStart w:id="6" w:name="_Toc390326260"/>
      <w:bookmarkStart w:id="7" w:name="_Toc420057262"/>
      <w:r>
        <w:rPr>
          <w:rFonts w:ascii="Times New Roman" w:eastAsia="Times New Roman" w:hAnsi="Times New Roman"/>
          <w:b/>
          <w:bCs/>
          <w:sz w:val="24"/>
          <w:szCs w:val="24"/>
        </w:rPr>
        <w:t>21</w:t>
      </w:r>
      <w:r w:rsidR="00AC66B8">
        <w:rPr>
          <w:rFonts w:ascii="Times New Roman" w:eastAsia="Times New Roman" w:hAnsi="Times New Roman"/>
          <w:b/>
          <w:bCs/>
          <w:sz w:val="24"/>
          <w:szCs w:val="24"/>
        </w:rPr>
        <w:t>.</w:t>
      </w:r>
      <w:r w:rsidR="00AC66B8">
        <w:rPr>
          <w:rFonts w:ascii="Times New Roman" w:eastAsia="Times New Roman" w:hAnsi="Times New Roman"/>
          <w:b/>
          <w:bCs/>
          <w:sz w:val="24"/>
          <w:szCs w:val="24"/>
        </w:rPr>
        <w:tab/>
      </w:r>
      <w:r w:rsidR="00FE1878" w:rsidRPr="00C56EA8">
        <w:rPr>
          <w:rFonts w:ascii="Times New Roman" w:eastAsia="Times New Roman" w:hAnsi="Times New Roman"/>
          <w:b/>
          <w:bCs/>
          <w:sz w:val="24"/>
          <w:szCs w:val="24"/>
        </w:rPr>
        <w:t>General Terms &amp; Conditions</w:t>
      </w:r>
      <w:bookmarkEnd w:id="6"/>
      <w:bookmarkEnd w:id="7"/>
      <w:r w:rsidR="00AC66B8">
        <w:rPr>
          <w:rFonts w:ascii="Times New Roman" w:eastAsia="Times New Roman" w:hAnsi="Times New Roman"/>
          <w:b/>
          <w:bCs/>
          <w:sz w:val="24"/>
          <w:szCs w:val="24"/>
        </w:rPr>
        <w:t xml:space="preserve">:  </w:t>
      </w:r>
    </w:p>
    <w:p w:rsidR="00FE1878" w:rsidRPr="004406AC" w:rsidRDefault="00A9321A" w:rsidP="0040547E">
      <w:pPr>
        <w:pStyle w:val="Default"/>
        <w:keepNext/>
        <w:spacing w:before="240" w:after="240"/>
        <w:ind w:left="1260" w:hanging="720"/>
        <w:rPr>
          <w:b/>
          <w:bCs/>
        </w:rPr>
      </w:pPr>
      <w:bookmarkStart w:id="8" w:name="_Toc390326261"/>
      <w:bookmarkStart w:id="9" w:name="_Toc420057263"/>
      <w:r w:rsidRPr="004406AC">
        <w:rPr>
          <w:b/>
          <w:bCs/>
        </w:rPr>
        <w:t>21.1</w:t>
      </w:r>
      <w:r w:rsidR="004406AC" w:rsidRPr="004406AC">
        <w:rPr>
          <w:b/>
          <w:bCs/>
        </w:rPr>
        <w:tab/>
      </w:r>
      <w:r w:rsidR="00FE1878" w:rsidRPr="004406AC">
        <w:rPr>
          <w:b/>
          <w:bCs/>
        </w:rPr>
        <w:t>Billing and Payment</w:t>
      </w:r>
      <w:bookmarkEnd w:id="8"/>
      <w:bookmarkEnd w:id="9"/>
    </w:p>
    <w:p w:rsidR="00FE1878" w:rsidRPr="00817807" w:rsidRDefault="00817807" w:rsidP="00302E5D">
      <w:pPr>
        <w:pStyle w:val="Default"/>
        <w:spacing w:before="240" w:after="240"/>
        <w:ind w:left="2160" w:hanging="900"/>
        <w:rPr>
          <w:bCs/>
        </w:rPr>
      </w:pPr>
      <w:r>
        <w:rPr>
          <w:bCs/>
        </w:rPr>
        <w:t>21.1.1</w:t>
      </w:r>
      <w:r>
        <w:rPr>
          <w:bCs/>
        </w:rPr>
        <w:tab/>
      </w:r>
      <w:r w:rsidR="00FE1878" w:rsidRPr="00817807">
        <w:rPr>
          <w:bCs/>
        </w:rPr>
        <w:t xml:space="preserve">The Requesting Agency will pay the Servicing Agency for costs of each </w:t>
      </w:r>
      <w:r w:rsidR="00BA171F">
        <w:rPr>
          <w:bCs/>
        </w:rPr>
        <w:t>IAA 7600</w:t>
      </w:r>
      <w:r w:rsidR="00FD29FA">
        <w:rPr>
          <w:bCs/>
        </w:rPr>
        <w:t xml:space="preserve"> </w:t>
      </w:r>
      <w:r w:rsidR="00BA171F">
        <w:rPr>
          <w:bCs/>
        </w:rPr>
        <w:t>Part B</w:t>
      </w:r>
      <w:r w:rsidR="00FE1878" w:rsidRPr="00817807">
        <w:rPr>
          <w:bCs/>
        </w:rPr>
        <w:t xml:space="preserve"> order upon proper presentation to the Requesting Agency</w:t>
      </w:r>
      <w:r w:rsidR="00577865" w:rsidRPr="00817807">
        <w:rPr>
          <w:bCs/>
        </w:rPr>
        <w:t>’</w:t>
      </w:r>
      <w:r w:rsidR="00FE1878" w:rsidRPr="00817807">
        <w:rPr>
          <w:bCs/>
        </w:rPr>
        <w:t xml:space="preserve">s authorized </w:t>
      </w:r>
      <w:r w:rsidR="00AF78FF">
        <w:rPr>
          <w:bCs/>
        </w:rPr>
        <w:t>Project Manager</w:t>
      </w:r>
      <w:bookmarkStart w:id="10" w:name="_GoBack"/>
      <w:bookmarkEnd w:id="10"/>
      <w:r w:rsidR="00AC66B8">
        <w:rPr>
          <w:bCs/>
        </w:rPr>
        <w:t xml:space="preserve">.  </w:t>
      </w:r>
      <w:r w:rsidR="00FE1878" w:rsidRPr="00817807">
        <w:rPr>
          <w:bCs/>
        </w:rPr>
        <w:t xml:space="preserve">Billings may include the amounts due under the contract or order plus any assisted service fees identified in individual </w:t>
      </w:r>
      <w:r w:rsidR="00BA171F">
        <w:rPr>
          <w:bCs/>
        </w:rPr>
        <w:t>IAA 7600</w:t>
      </w:r>
      <w:r w:rsidR="00E337C3">
        <w:rPr>
          <w:bCs/>
        </w:rPr>
        <w:t xml:space="preserve"> </w:t>
      </w:r>
      <w:r w:rsidR="00BA171F">
        <w:rPr>
          <w:bCs/>
        </w:rPr>
        <w:t>Part </w:t>
      </w:r>
      <w:proofErr w:type="spellStart"/>
      <w:r w:rsidR="00BA171F">
        <w:rPr>
          <w:bCs/>
        </w:rPr>
        <w:t>B</w:t>
      </w:r>
      <w:r w:rsidR="00FE1878" w:rsidRPr="00817807">
        <w:rPr>
          <w:bCs/>
        </w:rPr>
        <w:t>s</w:t>
      </w:r>
      <w:proofErr w:type="spellEnd"/>
      <w:r w:rsidR="00FE1878" w:rsidRPr="00817807">
        <w:rPr>
          <w:bCs/>
        </w:rPr>
        <w:t xml:space="preserve"> associated with this </w:t>
      </w:r>
      <w:r w:rsidR="00BA171F">
        <w:rPr>
          <w:bCs/>
        </w:rPr>
        <w:t>IAA 7600</w:t>
      </w:r>
      <w:r w:rsidR="00E337C3">
        <w:rPr>
          <w:bCs/>
        </w:rPr>
        <w:t xml:space="preserve"> Part</w:t>
      </w:r>
      <w:r w:rsidR="00DD59DD" w:rsidRPr="00817807">
        <w:rPr>
          <w:bCs/>
        </w:rPr>
        <w:t> A</w:t>
      </w:r>
      <w:r w:rsidR="00AC66B8">
        <w:rPr>
          <w:bCs/>
        </w:rPr>
        <w:t xml:space="preserve">.  </w:t>
      </w:r>
      <w:r w:rsidR="00FE1878" w:rsidRPr="00817807">
        <w:rPr>
          <w:bCs/>
        </w:rPr>
        <w:t>The Requesting Agency is responsible for prompt payments of all billings properly presented.</w:t>
      </w:r>
    </w:p>
    <w:p w:rsidR="00FE1878" w:rsidRPr="00817807" w:rsidRDefault="00817807" w:rsidP="00302E5D">
      <w:pPr>
        <w:pStyle w:val="Default"/>
        <w:spacing w:before="240" w:after="240"/>
        <w:ind w:left="2160" w:hanging="900"/>
        <w:rPr>
          <w:bCs/>
        </w:rPr>
      </w:pPr>
      <w:r>
        <w:rPr>
          <w:bCs/>
        </w:rPr>
        <w:t>21.1.</w:t>
      </w:r>
      <w:r w:rsidR="00FD29FA">
        <w:rPr>
          <w:bCs/>
        </w:rPr>
        <w:t>2</w:t>
      </w:r>
      <w:r>
        <w:rPr>
          <w:bCs/>
        </w:rPr>
        <w:tab/>
      </w:r>
      <w:r w:rsidR="00FE1878" w:rsidRPr="00817807">
        <w:rPr>
          <w:bCs/>
        </w:rPr>
        <w:t>Reimbursable billings are delinquent when they are thirty (30) or more calendar days old (from date of the billing)</w:t>
      </w:r>
      <w:r w:rsidR="00AC66B8">
        <w:rPr>
          <w:bCs/>
        </w:rPr>
        <w:t xml:space="preserve">.  </w:t>
      </w:r>
      <w:r w:rsidR="00FE1878" w:rsidRPr="00817807">
        <w:rPr>
          <w:bCs/>
        </w:rPr>
        <w:t xml:space="preserve">When billings remain delinquent over sixty (60) calendar days and the Requesting Agency has not indicated a problem regarding services, the Servicing Agency may choose not to award any new </w:t>
      </w:r>
      <w:r w:rsidR="00BA171F">
        <w:rPr>
          <w:bCs/>
        </w:rPr>
        <w:t>IAA 7600</w:t>
      </w:r>
      <w:r w:rsidR="00FD29FA">
        <w:rPr>
          <w:bCs/>
        </w:rPr>
        <w:t xml:space="preserve"> </w:t>
      </w:r>
      <w:r w:rsidR="00BA171F">
        <w:rPr>
          <w:bCs/>
        </w:rPr>
        <w:t>Part </w:t>
      </w:r>
      <w:proofErr w:type="spellStart"/>
      <w:r w:rsidR="00BA171F">
        <w:rPr>
          <w:bCs/>
        </w:rPr>
        <w:t>B</w:t>
      </w:r>
      <w:r w:rsidR="00FD29FA">
        <w:rPr>
          <w:bCs/>
        </w:rPr>
        <w:t>s</w:t>
      </w:r>
      <w:proofErr w:type="spellEnd"/>
      <w:r w:rsidR="00FE1878" w:rsidRPr="00817807">
        <w:rPr>
          <w:bCs/>
        </w:rPr>
        <w:t xml:space="preserve"> or modifications to existing </w:t>
      </w:r>
      <w:r w:rsidR="00BA171F">
        <w:rPr>
          <w:bCs/>
        </w:rPr>
        <w:t>IAA 7600</w:t>
      </w:r>
      <w:r w:rsidR="00FD29FA">
        <w:rPr>
          <w:bCs/>
        </w:rPr>
        <w:t xml:space="preserve"> </w:t>
      </w:r>
      <w:r w:rsidR="00BA171F">
        <w:rPr>
          <w:bCs/>
        </w:rPr>
        <w:t>Part </w:t>
      </w:r>
      <w:proofErr w:type="spellStart"/>
      <w:r w:rsidR="00BA171F">
        <w:rPr>
          <w:bCs/>
        </w:rPr>
        <w:t>B</w:t>
      </w:r>
      <w:r w:rsidR="00FD29FA">
        <w:rPr>
          <w:bCs/>
        </w:rPr>
        <w:t>s</w:t>
      </w:r>
      <w:proofErr w:type="spellEnd"/>
      <w:r w:rsidR="00FE1878" w:rsidRPr="00817807">
        <w:rPr>
          <w:bCs/>
        </w:rPr>
        <w:t xml:space="preserve"> for the Requesting Agency and termination of existing services will be considered and negotiated with the Requesting Agency.</w:t>
      </w:r>
    </w:p>
    <w:p w:rsidR="00FE1878" w:rsidRPr="004406AC" w:rsidRDefault="00A9321A" w:rsidP="0040547E">
      <w:pPr>
        <w:pStyle w:val="Default"/>
        <w:keepNext/>
        <w:spacing w:before="240" w:after="240"/>
        <w:ind w:left="1267" w:hanging="720"/>
        <w:rPr>
          <w:b/>
          <w:bCs/>
        </w:rPr>
      </w:pPr>
      <w:r w:rsidRPr="004406AC">
        <w:rPr>
          <w:b/>
          <w:bCs/>
        </w:rPr>
        <w:t>21.2</w:t>
      </w:r>
      <w:bookmarkStart w:id="11" w:name="_Toc390326262"/>
      <w:bookmarkStart w:id="12" w:name="_Toc420057264"/>
      <w:r w:rsidR="00AC66B8" w:rsidRPr="004406AC">
        <w:rPr>
          <w:b/>
          <w:bCs/>
        </w:rPr>
        <w:tab/>
      </w:r>
      <w:r w:rsidR="00FE1878" w:rsidRPr="004406AC">
        <w:rPr>
          <w:b/>
          <w:bCs/>
        </w:rPr>
        <w:t>Amendments</w:t>
      </w:r>
      <w:bookmarkEnd w:id="11"/>
      <w:bookmarkEnd w:id="12"/>
    </w:p>
    <w:p w:rsidR="00FE1878" w:rsidRPr="00C56EA8" w:rsidRDefault="00FE1878" w:rsidP="00814965">
      <w:pPr>
        <w:pStyle w:val="BodyText"/>
        <w:spacing w:before="240" w:after="240"/>
        <w:ind w:left="1260"/>
      </w:pPr>
      <w:r w:rsidRPr="00C56EA8">
        <w:t xml:space="preserve">Any amendments to the terms and conditions in </w:t>
      </w:r>
      <w:r w:rsidR="00BA171F">
        <w:t>IAA 7600</w:t>
      </w:r>
      <w:r w:rsidR="00E337C3">
        <w:t xml:space="preserve"> Part</w:t>
      </w:r>
      <w:r w:rsidR="00DD59DD">
        <w:t> A</w:t>
      </w:r>
      <w:r w:rsidRPr="00C56EA8">
        <w:t xml:space="preserve"> shall be made in writing and signed by both </w:t>
      </w:r>
      <w:r w:rsidR="00AC66B8">
        <w:t>Parties</w:t>
      </w:r>
      <w:r w:rsidRPr="00C56EA8">
        <w:t>.</w:t>
      </w:r>
    </w:p>
    <w:p w:rsidR="00FE1878" w:rsidRPr="0040547E" w:rsidRDefault="00A9321A" w:rsidP="0040547E">
      <w:pPr>
        <w:pStyle w:val="Default"/>
        <w:keepNext/>
        <w:spacing w:before="240" w:after="240"/>
        <w:ind w:left="1267" w:hanging="720"/>
        <w:rPr>
          <w:b/>
          <w:bCs/>
        </w:rPr>
      </w:pPr>
      <w:r w:rsidRPr="0040547E">
        <w:rPr>
          <w:b/>
          <w:bCs/>
        </w:rPr>
        <w:lastRenderedPageBreak/>
        <w:t>21.3</w:t>
      </w:r>
      <w:bookmarkStart w:id="13" w:name="_Toc390326263"/>
      <w:bookmarkStart w:id="14" w:name="_Toc420057265"/>
      <w:r w:rsidR="00AC66B8" w:rsidRPr="0040547E">
        <w:rPr>
          <w:b/>
          <w:bCs/>
        </w:rPr>
        <w:tab/>
      </w:r>
      <w:r w:rsidR="00FE1878" w:rsidRPr="0040547E">
        <w:rPr>
          <w:b/>
          <w:bCs/>
        </w:rPr>
        <w:t>Interpretation of IA</w:t>
      </w:r>
      <w:bookmarkEnd w:id="13"/>
      <w:bookmarkEnd w:id="14"/>
      <w:r w:rsidRPr="0040547E">
        <w:rPr>
          <w:b/>
          <w:bCs/>
        </w:rPr>
        <w:t>A</w:t>
      </w:r>
    </w:p>
    <w:p w:rsidR="00FE1878" w:rsidRPr="00817807" w:rsidRDefault="00817807" w:rsidP="00302E5D">
      <w:pPr>
        <w:pStyle w:val="Default"/>
        <w:spacing w:before="240" w:after="240"/>
        <w:ind w:left="2160" w:hanging="900"/>
        <w:rPr>
          <w:bCs/>
        </w:rPr>
      </w:pPr>
      <w:r>
        <w:rPr>
          <w:bCs/>
        </w:rPr>
        <w:t>21.3.1</w:t>
      </w:r>
      <w:r>
        <w:rPr>
          <w:bCs/>
        </w:rPr>
        <w:tab/>
      </w:r>
      <w:r w:rsidR="00FE1878" w:rsidRPr="00817807">
        <w:rPr>
          <w:bCs/>
        </w:rPr>
        <w:t xml:space="preserve">If the </w:t>
      </w:r>
      <w:r>
        <w:rPr>
          <w:bCs/>
        </w:rPr>
        <w:t xml:space="preserve">Parties </w:t>
      </w:r>
      <w:r w:rsidR="00FE1878" w:rsidRPr="00817807">
        <w:rPr>
          <w:bCs/>
        </w:rPr>
        <w:t xml:space="preserve">are unable to agree about a material aspect of either </w:t>
      </w:r>
      <w:r w:rsidR="00BA171F">
        <w:rPr>
          <w:bCs/>
        </w:rPr>
        <w:t>IAA 7600</w:t>
      </w:r>
      <w:r w:rsidR="00E337C3">
        <w:rPr>
          <w:bCs/>
        </w:rPr>
        <w:t xml:space="preserve"> Part</w:t>
      </w:r>
      <w:r w:rsidR="00DD59DD" w:rsidRPr="00817807">
        <w:rPr>
          <w:bCs/>
        </w:rPr>
        <w:t> A</w:t>
      </w:r>
      <w:r w:rsidR="00FE1878" w:rsidRPr="00817807">
        <w:rPr>
          <w:bCs/>
        </w:rPr>
        <w:t xml:space="preserve"> or </w:t>
      </w:r>
      <w:r w:rsidR="00BA171F">
        <w:rPr>
          <w:bCs/>
        </w:rPr>
        <w:t>IAA 7600</w:t>
      </w:r>
      <w:r w:rsidR="00E337C3">
        <w:rPr>
          <w:bCs/>
        </w:rPr>
        <w:t xml:space="preserve"> </w:t>
      </w:r>
      <w:r w:rsidR="00BA171F">
        <w:rPr>
          <w:bCs/>
        </w:rPr>
        <w:t>Part B</w:t>
      </w:r>
      <w:r w:rsidR="00577865" w:rsidRPr="00817807">
        <w:rPr>
          <w:bCs/>
        </w:rPr>
        <w:t>, the P</w:t>
      </w:r>
      <w:r w:rsidR="00FE1878" w:rsidRPr="00817807">
        <w:rPr>
          <w:bCs/>
        </w:rPr>
        <w:t xml:space="preserve">arties agree to engage in an effort to reach mutual agreement in the proper interpretation of this </w:t>
      </w:r>
      <w:r w:rsidR="00AC66B8">
        <w:rPr>
          <w:bCs/>
        </w:rPr>
        <w:t>IAA</w:t>
      </w:r>
      <w:r w:rsidR="00FE1878" w:rsidRPr="00817807">
        <w:rPr>
          <w:bCs/>
        </w:rPr>
        <w:t>, including any amendment to this IA</w:t>
      </w:r>
      <w:r w:rsidR="00AC66B8">
        <w:rPr>
          <w:bCs/>
        </w:rPr>
        <w:t>A</w:t>
      </w:r>
      <w:r w:rsidR="00FE1878" w:rsidRPr="00817807">
        <w:rPr>
          <w:bCs/>
        </w:rPr>
        <w:t>, as necessary, by escalating the dispute within their respective organizations.</w:t>
      </w:r>
    </w:p>
    <w:p w:rsidR="00FE1878" w:rsidRPr="00817807" w:rsidRDefault="00817807" w:rsidP="00302E5D">
      <w:pPr>
        <w:pStyle w:val="Default"/>
        <w:spacing w:before="240" w:after="240"/>
        <w:ind w:left="2160" w:hanging="900"/>
        <w:rPr>
          <w:bCs/>
        </w:rPr>
      </w:pPr>
      <w:r>
        <w:rPr>
          <w:bCs/>
        </w:rPr>
        <w:t>21.3.2</w:t>
      </w:r>
      <w:r>
        <w:rPr>
          <w:bCs/>
        </w:rPr>
        <w:tab/>
      </w:r>
      <w:r w:rsidR="00FE1878" w:rsidRPr="00817807">
        <w:rPr>
          <w:bCs/>
        </w:rPr>
        <w:t>If a dispute related to funding remains unresolved for more than sixt</w:t>
      </w:r>
      <w:r w:rsidR="00577865" w:rsidRPr="00817807">
        <w:rPr>
          <w:bCs/>
        </w:rPr>
        <w:t>y (60) calendar days after the P</w:t>
      </w:r>
      <w:r w:rsidR="00FE1878" w:rsidRPr="00817807">
        <w:rPr>
          <w:bCs/>
        </w:rPr>
        <w:t xml:space="preserve">arties have engaged in an </w:t>
      </w:r>
      <w:r w:rsidR="00577865" w:rsidRPr="00817807">
        <w:rPr>
          <w:bCs/>
        </w:rPr>
        <w:t>escalation of the dispute, the P</w:t>
      </w:r>
      <w:r w:rsidR="00FE1878" w:rsidRPr="00817807">
        <w:rPr>
          <w:bCs/>
        </w:rPr>
        <w:t xml:space="preserve">arties agree to refer the matter to their respective Chief Financial Officers </w:t>
      </w:r>
      <w:r w:rsidR="00474C75" w:rsidRPr="00817807">
        <w:rPr>
          <w:bCs/>
        </w:rPr>
        <w:t xml:space="preserve">(CFO) </w:t>
      </w:r>
      <w:r w:rsidR="00FE1878" w:rsidRPr="00817807">
        <w:rPr>
          <w:bCs/>
        </w:rPr>
        <w:t xml:space="preserve">with a recommendation that the </w:t>
      </w:r>
      <w:r w:rsidR="00577865" w:rsidRPr="00817807">
        <w:rPr>
          <w:bCs/>
        </w:rPr>
        <w:t>P</w:t>
      </w:r>
      <w:r w:rsidR="00FE1878" w:rsidRPr="00817807">
        <w:rPr>
          <w:bCs/>
        </w:rPr>
        <w:t xml:space="preserve">arties submit the dispute to the CFO Council </w:t>
      </w:r>
      <w:proofErr w:type="spellStart"/>
      <w:r w:rsidR="00FE1878" w:rsidRPr="00817807">
        <w:rPr>
          <w:bCs/>
        </w:rPr>
        <w:t>Intragovernmental</w:t>
      </w:r>
      <w:proofErr w:type="spellEnd"/>
      <w:r w:rsidR="00FE1878" w:rsidRPr="00817807">
        <w:rPr>
          <w:bCs/>
        </w:rPr>
        <w:t xml:space="preserve"> Dispute Resolution Committee for review in accordance with Section VII of Attachment 1 to the Treasury Financial Manual, Volume 1, Bulletin No</w:t>
      </w:r>
      <w:r w:rsidR="00AC66B8">
        <w:rPr>
          <w:bCs/>
        </w:rPr>
        <w:t xml:space="preserve">. </w:t>
      </w:r>
      <w:r w:rsidR="00FE1878" w:rsidRPr="00817807">
        <w:rPr>
          <w:bCs/>
        </w:rPr>
        <w:t xml:space="preserve">2007-03, </w:t>
      </w:r>
      <w:proofErr w:type="spellStart"/>
      <w:r w:rsidR="00FE1878" w:rsidRPr="00817807">
        <w:rPr>
          <w:bCs/>
        </w:rPr>
        <w:t>Intragovernmental</w:t>
      </w:r>
      <w:proofErr w:type="spellEnd"/>
      <w:r w:rsidR="00FE1878" w:rsidRPr="00817807">
        <w:rPr>
          <w:bCs/>
        </w:rPr>
        <w:t xml:space="preserve"> Transactions, Subject</w:t>
      </w:r>
      <w:r w:rsidR="00AC66B8">
        <w:rPr>
          <w:bCs/>
        </w:rPr>
        <w:t xml:space="preserve">: </w:t>
      </w:r>
      <w:proofErr w:type="spellStart"/>
      <w:r w:rsidR="00AC66B8">
        <w:rPr>
          <w:bCs/>
        </w:rPr>
        <w:t>I</w:t>
      </w:r>
      <w:r w:rsidR="00FE1878" w:rsidRPr="00817807">
        <w:rPr>
          <w:bCs/>
        </w:rPr>
        <w:t>ntragovernmental</w:t>
      </w:r>
      <w:proofErr w:type="spellEnd"/>
      <w:r w:rsidR="00FE1878" w:rsidRPr="00817807">
        <w:rPr>
          <w:bCs/>
        </w:rPr>
        <w:t xml:space="preserve"> Business Rules, or subsequent guidance.</w:t>
      </w:r>
    </w:p>
    <w:p w:rsidR="00E22E08" w:rsidRPr="000A666C" w:rsidRDefault="00E22E08" w:rsidP="0040547E">
      <w:pPr>
        <w:keepNext/>
        <w:spacing w:before="240" w:after="240" w:line="240" w:lineRule="auto"/>
        <w:rPr>
          <w:rFonts w:ascii="Times New Roman" w:hAnsi="Times New Roman"/>
          <w:b/>
          <w:color w:val="000000"/>
          <w:sz w:val="24"/>
          <w:szCs w:val="24"/>
        </w:rPr>
      </w:pPr>
      <w:r w:rsidRPr="000A666C">
        <w:rPr>
          <w:rFonts w:ascii="Times New Roman" w:hAnsi="Times New Roman"/>
          <w:b/>
          <w:color w:val="000000"/>
          <w:sz w:val="24"/>
          <w:szCs w:val="24"/>
        </w:rPr>
        <w:t>22</w:t>
      </w:r>
      <w:r w:rsidR="00AC66B8">
        <w:rPr>
          <w:rFonts w:ascii="Times New Roman" w:hAnsi="Times New Roman"/>
          <w:b/>
          <w:color w:val="000000"/>
          <w:sz w:val="24"/>
          <w:szCs w:val="24"/>
        </w:rPr>
        <w:t>.</w:t>
      </w:r>
      <w:r w:rsidR="00AC66B8">
        <w:rPr>
          <w:rFonts w:ascii="Times New Roman" w:hAnsi="Times New Roman"/>
          <w:b/>
          <w:color w:val="000000"/>
          <w:sz w:val="24"/>
          <w:szCs w:val="24"/>
        </w:rPr>
        <w:tab/>
      </w:r>
      <w:r w:rsidRPr="000A666C">
        <w:rPr>
          <w:rFonts w:ascii="Times New Roman" w:hAnsi="Times New Roman"/>
          <w:b/>
          <w:color w:val="000000"/>
          <w:sz w:val="24"/>
          <w:szCs w:val="24"/>
        </w:rPr>
        <w:t xml:space="preserve">Review of </w:t>
      </w:r>
      <w:r w:rsidR="00BA171F">
        <w:rPr>
          <w:rFonts w:ascii="Times New Roman" w:hAnsi="Times New Roman"/>
          <w:b/>
          <w:color w:val="000000"/>
          <w:sz w:val="24"/>
          <w:szCs w:val="24"/>
        </w:rPr>
        <w:t>IAA 7600</w:t>
      </w:r>
      <w:r w:rsidR="00E337C3">
        <w:rPr>
          <w:rFonts w:ascii="Times New Roman" w:hAnsi="Times New Roman"/>
          <w:b/>
          <w:color w:val="000000"/>
          <w:sz w:val="24"/>
          <w:szCs w:val="24"/>
        </w:rPr>
        <w:t xml:space="preserve"> Part</w:t>
      </w:r>
      <w:r w:rsidR="00DD59DD" w:rsidRPr="000A666C">
        <w:rPr>
          <w:rFonts w:ascii="Times New Roman" w:hAnsi="Times New Roman"/>
          <w:b/>
          <w:color w:val="000000"/>
          <w:sz w:val="24"/>
          <w:szCs w:val="24"/>
        </w:rPr>
        <w:t> A</w:t>
      </w:r>
    </w:p>
    <w:p w:rsidR="00E22E08" w:rsidRPr="0040547E" w:rsidRDefault="00817807" w:rsidP="0040547E">
      <w:pPr>
        <w:pStyle w:val="Default"/>
        <w:spacing w:before="240" w:after="240"/>
        <w:ind w:left="1260" w:hanging="720"/>
        <w:rPr>
          <w:bCs/>
          <w:color w:val="auto"/>
        </w:rPr>
      </w:pPr>
      <w:r w:rsidRPr="0040547E">
        <w:rPr>
          <w:bCs/>
          <w:color w:val="auto"/>
        </w:rPr>
        <w:t>22.1</w:t>
      </w:r>
      <w:r w:rsidRPr="0040547E">
        <w:rPr>
          <w:bCs/>
          <w:color w:val="auto"/>
        </w:rPr>
        <w:tab/>
      </w:r>
      <w:r w:rsidR="00E22E08" w:rsidRPr="0040547E">
        <w:rPr>
          <w:bCs/>
          <w:color w:val="auto"/>
        </w:rPr>
        <w:t xml:space="preserve">The Parties agree to review jointly the terms and conditions in </w:t>
      </w:r>
      <w:r w:rsidR="00BA171F">
        <w:rPr>
          <w:bCs/>
          <w:color w:val="auto"/>
        </w:rPr>
        <w:t>IAA 7600</w:t>
      </w:r>
      <w:r w:rsidR="00E337C3">
        <w:rPr>
          <w:bCs/>
          <w:color w:val="auto"/>
        </w:rPr>
        <w:t xml:space="preserve"> Part</w:t>
      </w:r>
      <w:r w:rsidR="00DD59DD" w:rsidRPr="0040547E">
        <w:rPr>
          <w:bCs/>
          <w:color w:val="auto"/>
        </w:rPr>
        <w:t> A</w:t>
      </w:r>
      <w:r w:rsidR="00E22E08" w:rsidRPr="0040547E">
        <w:rPr>
          <w:bCs/>
          <w:color w:val="auto"/>
        </w:rPr>
        <w:t xml:space="preserve"> at least annually</w:t>
      </w:r>
      <w:r w:rsidR="00AC66B8" w:rsidRPr="0040547E">
        <w:rPr>
          <w:bCs/>
          <w:color w:val="auto"/>
        </w:rPr>
        <w:t xml:space="preserve">.  </w:t>
      </w:r>
      <w:r w:rsidR="00E22E08" w:rsidRPr="0040547E">
        <w:rPr>
          <w:bCs/>
          <w:color w:val="auto"/>
        </w:rPr>
        <w:t xml:space="preserve">Appropriate changes will be made by amendment to </w:t>
      </w:r>
      <w:r w:rsidR="00BA171F">
        <w:rPr>
          <w:bCs/>
          <w:color w:val="auto"/>
        </w:rPr>
        <w:t>IAA 7600</w:t>
      </w:r>
      <w:r w:rsidR="00E337C3">
        <w:rPr>
          <w:bCs/>
          <w:color w:val="auto"/>
        </w:rPr>
        <w:t xml:space="preserve"> Part</w:t>
      </w:r>
      <w:r w:rsidR="000A666C" w:rsidRPr="0040547E">
        <w:rPr>
          <w:bCs/>
          <w:color w:val="auto"/>
        </w:rPr>
        <w:t> A</w:t>
      </w:r>
      <w:r w:rsidR="00E22E08" w:rsidRPr="0040547E">
        <w:rPr>
          <w:bCs/>
          <w:color w:val="auto"/>
        </w:rPr>
        <w:t xml:space="preserve"> executed in accordance with </w:t>
      </w:r>
      <w:r w:rsidR="00BA171F">
        <w:rPr>
          <w:bCs/>
          <w:color w:val="auto"/>
        </w:rPr>
        <w:t>IAA 7600</w:t>
      </w:r>
      <w:r w:rsidR="00E337C3">
        <w:rPr>
          <w:bCs/>
          <w:color w:val="auto"/>
        </w:rPr>
        <w:t xml:space="preserve"> Part</w:t>
      </w:r>
      <w:r w:rsidR="000A666C" w:rsidRPr="0040547E">
        <w:rPr>
          <w:bCs/>
          <w:color w:val="auto"/>
        </w:rPr>
        <w:t xml:space="preserve"> A</w:t>
      </w:r>
      <w:r w:rsidR="002C1AA8">
        <w:rPr>
          <w:bCs/>
          <w:color w:val="auto"/>
        </w:rPr>
        <w:t>,</w:t>
      </w:r>
      <w:r w:rsidR="000A666C" w:rsidRPr="0040547E">
        <w:rPr>
          <w:bCs/>
          <w:color w:val="auto"/>
        </w:rPr>
        <w:t xml:space="preserve"> Section 22</w:t>
      </w:r>
      <w:r w:rsidR="00E22E08" w:rsidRPr="0040547E">
        <w:rPr>
          <w:bCs/>
          <w:color w:val="auto"/>
        </w:rPr>
        <w:t>.</w:t>
      </w:r>
    </w:p>
    <w:p w:rsidR="00E22E08" w:rsidRPr="0040547E" w:rsidRDefault="00817807" w:rsidP="0040547E">
      <w:pPr>
        <w:pStyle w:val="Default"/>
        <w:spacing w:before="240" w:after="240"/>
        <w:ind w:left="1260" w:hanging="720"/>
        <w:rPr>
          <w:bCs/>
          <w:color w:val="auto"/>
        </w:rPr>
      </w:pPr>
      <w:r w:rsidRPr="0040547E">
        <w:rPr>
          <w:bCs/>
          <w:color w:val="auto"/>
        </w:rPr>
        <w:t>22.2</w:t>
      </w:r>
      <w:r w:rsidRPr="0040547E">
        <w:rPr>
          <w:bCs/>
          <w:color w:val="auto"/>
        </w:rPr>
        <w:tab/>
      </w:r>
      <w:r w:rsidR="00E22E08" w:rsidRPr="0040547E">
        <w:rPr>
          <w:bCs/>
          <w:color w:val="auto"/>
        </w:rPr>
        <w:t xml:space="preserve">The Parties further agree to review performance under </w:t>
      </w:r>
      <w:r w:rsidR="00BA171F">
        <w:rPr>
          <w:bCs/>
          <w:color w:val="auto"/>
        </w:rPr>
        <w:t>IAA 7600</w:t>
      </w:r>
      <w:r w:rsidR="00E337C3">
        <w:rPr>
          <w:bCs/>
          <w:color w:val="auto"/>
        </w:rPr>
        <w:t xml:space="preserve"> Part</w:t>
      </w:r>
      <w:r w:rsidR="00E22E08" w:rsidRPr="0040547E">
        <w:rPr>
          <w:bCs/>
          <w:color w:val="auto"/>
        </w:rPr>
        <w:t xml:space="preserve"> </w:t>
      </w:r>
      <w:r w:rsidR="000A666C" w:rsidRPr="0040547E">
        <w:rPr>
          <w:bCs/>
          <w:color w:val="auto"/>
        </w:rPr>
        <w:t>A</w:t>
      </w:r>
      <w:r w:rsidRPr="0040547E">
        <w:rPr>
          <w:bCs/>
          <w:color w:val="auto"/>
        </w:rPr>
        <w:t xml:space="preserve"> </w:t>
      </w:r>
      <w:r w:rsidR="00E22E08" w:rsidRPr="0040547E">
        <w:rPr>
          <w:bCs/>
          <w:color w:val="auto"/>
        </w:rPr>
        <w:t>to determine if expectations are being met and document a summary of their assessment at least every six months</w:t>
      </w:r>
      <w:r w:rsidR="00AC66B8" w:rsidRPr="0040547E">
        <w:rPr>
          <w:bCs/>
          <w:color w:val="auto"/>
        </w:rPr>
        <w:t xml:space="preserve">.  </w:t>
      </w:r>
      <w:r w:rsidRPr="0040547E">
        <w:rPr>
          <w:bCs/>
          <w:color w:val="auto"/>
        </w:rPr>
        <w:t xml:space="preserve">Each Party’s </w:t>
      </w:r>
      <w:r w:rsidR="00E22E08" w:rsidRPr="0040547E">
        <w:rPr>
          <w:bCs/>
          <w:color w:val="auto"/>
        </w:rPr>
        <w:t>responsible reviewing official shall sign and date the assessment.</w:t>
      </w:r>
    </w:p>
    <w:p w:rsidR="00BB6CA9" w:rsidRPr="0040547E" w:rsidRDefault="00817807" w:rsidP="0040547E">
      <w:pPr>
        <w:pStyle w:val="Default"/>
        <w:spacing w:before="240" w:after="240"/>
        <w:ind w:left="1260" w:hanging="720"/>
        <w:rPr>
          <w:bCs/>
          <w:color w:val="auto"/>
        </w:rPr>
      </w:pPr>
      <w:r w:rsidRPr="0040547E">
        <w:rPr>
          <w:bCs/>
          <w:color w:val="auto"/>
        </w:rPr>
        <w:t>22.3</w:t>
      </w:r>
      <w:r w:rsidRPr="0040547E">
        <w:rPr>
          <w:bCs/>
          <w:color w:val="auto"/>
        </w:rPr>
        <w:tab/>
      </w:r>
      <w:r w:rsidR="0037078D">
        <w:rPr>
          <w:bCs/>
          <w:color w:val="auto"/>
        </w:rPr>
        <w:t>Each</w:t>
      </w:r>
      <w:r w:rsidR="00E22E08" w:rsidRPr="0040547E">
        <w:rPr>
          <w:bCs/>
          <w:color w:val="auto"/>
        </w:rPr>
        <w:t xml:space="preserve"> performance assessment will consider, at a minimum, the quality and timeliness of each </w:t>
      </w:r>
      <w:r w:rsidRPr="0040547E">
        <w:rPr>
          <w:bCs/>
          <w:color w:val="auto"/>
        </w:rPr>
        <w:t>P</w:t>
      </w:r>
      <w:r w:rsidR="00E22E08" w:rsidRPr="0040547E">
        <w:rPr>
          <w:bCs/>
          <w:color w:val="auto"/>
        </w:rPr>
        <w:t>arty’s overall execution of responsibilities assigned under this I</w:t>
      </w:r>
      <w:r w:rsidRPr="0040547E">
        <w:rPr>
          <w:bCs/>
          <w:color w:val="auto"/>
        </w:rPr>
        <w:t>A</w:t>
      </w:r>
      <w:r w:rsidR="00E22E08" w:rsidRPr="0040547E">
        <w:rPr>
          <w:bCs/>
          <w:color w:val="auto"/>
        </w:rPr>
        <w:t xml:space="preserve">A, including each </w:t>
      </w:r>
      <w:r w:rsidRPr="0040547E">
        <w:rPr>
          <w:bCs/>
          <w:color w:val="auto"/>
        </w:rPr>
        <w:t>P</w:t>
      </w:r>
      <w:r w:rsidR="00E22E08" w:rsidRPr="0040547E">
        <w:rPr>
          <w:bCs/>
          <w:color w:val="auto"/>
        </w:rPr>
        <w:t xml:space="preserve">arty’s responsiveness to requests made by the other </w:t>
      </w:r>
      <w:r w:rsidRPr="0040547E">
        <w:rPr>
          <w:bCs/>
          <w:color w:val="auto"/>
        </w:rPr>
        <w:t>P</w:t>
      </w:r>
      <w:r w:rsidR="00E22E08" w:rsidRPr="0040547E">
        <w:rPr>
          <w:bCs/>
          <w:color w:val="auto"/>
        </w:rPr>
        <w:t>arty</w:t>
      </w:r>
      <w:r w:rsidR="00AC66B8" w:rsidRPr="0040547E">
        <w:rPr>
          <w:bCs/>
          <w:color w:val="auto"/>
        </w:rPr>
        <w:t xml:space="preserve">.  </w:t>
      </w:r>
      <w:r w:rsidR="00E22E08" w:rsidRPr="0040547E">
        <w:rPr>
          <w:bCs/>
          <w:color w:val="auto"/>
        </w:rPr>
        <w:t>Information to be evaluated will be obtained through a sampling of records and interviews.</w:t>
      </w:r>
      <w:r w:rsidR="00C33E24">
        <w:rPr>
          <w:bCs/>
          <w:color w:val="auto"/>
        </w:rPr>
        <w:tab/>
      </w:r>
    </w:p>
    <w:sectPr w:rsidR="00BB6CA9" w:rsidRPr="0040547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0DB" w:rsidRDefault="00EA30DB" w:rsidP="007E554F">
      <w:pPr>
        <w:spacing w:after="0" w:line="240" w:lineRule="auto"/>
      </w:pPr>
      <w:r>
        <w:separator/>
      </w:r>
    </w:p>
  </w:endnote>
  <w:endnote w:type="continuationSeparator" w:id="0">
    <w:p w:rsidR="00EA30DB" w:rsidRDefault="00EA30DB" w:rsidP="007E5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226" w:rsidRPr="00C12226" w:rsidRDefault="00C12226">
    <w:pPr>
      <w:pStyle w:val="Footer"/>
      <w:jc w:val="center"/>
      <w:rPr>
        <w:rFonts w:ascii="Times New Roman" w:hAnsi="Times New Roman"/>
        <w:sz w:val="24"/>
        <w:szCs w:val="24"/>
      </w:rPr>
    </w:pPr>
    <w:r w:rsidRPr="00C12226">
      <w:rPr>
        <w:rFonts w:ascii="Times New Roman" w:hAnsi="Times New Roman"/>
        <w:sz w:val="24"/>
        <w:szCs w:val="24"/>
      </w:rPr>
      <w:fldChar w:fldCharType="begin"/>
    </w:r>
    <w:r w:rsidRPr="00C12226">
      <w:rPr>
        <w:rFonts w:ascii="Times New Roman" w:hAnsi="Times New Roman"/>
        <w:sz w:val="24"/>
        <w:szCs w:val="24"/>
      </w:rPr>
      <w:instrText xml:space="preserve"> PAGE   \* MERGEFORMAT </w:instrText>
    </w:r>
    <w:r w:rsidRPr="00C12226">
      <w:rPr>
        <w:rFonts w:ascii="Times New Roman" w:hAnsi="Times New Roman"/>
        <w:sz w:val="24"/>
        <w:szCs w:val="24"/>
      </w:rPr>
      <w:fldChar w:fldCharType="separate"/>
    </w:r>
    <w:r w:rsidR="00B50B2E">
      <w:rPr>
        <w:rFonts w:ascii="Times New Roman" w:hAnsi="Times New Roman"/>
        <w:noProof/>
        <w:sz w:val="24"/>
        <w:szCs w:val="24"/>
      </w:rPr>
      <w:t>7</w:t>
    </w:r>
    <w:r w:rsidRPr="00C12226">
      <w:rPr>
        <w:rFonts w:ascii="Times New Roman" w:hAnsi="Times New Roman"/>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0DB" w:rsidRDefault="00EA30DB" w:rsidP="007E554F">
      <w:pPr>
        <w:spacing w:after="0" w:line="240" w:lineRule="auto"/>
      </w:pPr>
      <w:r>
        <w:separator/>
      </w:r>
    </w:p>
  </w:footnote>
  <w:footnote w:type="continuationSeparator" w:id="0">
    <w:p w:rsidR="00EA30DB" w:rsidRDefault="00EA30DB" w:rsidP="007E55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54F" w:rsidRPr="00C56EA8" w:rsidRDefault="007E554F">
    <w:pPr>
      <w:pStyle w:val="Header"/>
      <w:rPr>
        <w:rFonts w:ascii="Times New Roman" w:hAnsi="Times New Roman"/>
        <w:sz w:val="24"/>
        <w:szCs w:val="24"/>
      </w:rPr>
    </w:pPr>
    <w:r w:rsidRPr="00C56EA8">
      <w:rPr>
        <w:rFonts w:ascii="Times New Roman" w:hAnsi="Times New Roman"/>
        <w:sz w:val="24"/>
        <w:szCs w:val="24"/>
      </w:rPr>
      <w:t xml:space="preserve">7600A - Attachment </w:t>
    </w:r>
    <w:r w:rsidR="00C56EA8" w:rsidRPr="00C56EA8">
      <w:rPr>
        <w:rFonts w:ascii="Times New Roman" w:hAnsi="Times New Roman"/>
        <w:sz w:val="24"/>
        <w:szCs w:val="24"/>
      </w:rPr>
      <w:t>0</w:t>
    </w:r>
    <w:r w:rsidRPr="00C56EA8">
      <w:rPr>
        <w:rFonts w:ascii="Times New Roman" w:hAnsi="Times New Roman"/>
        <w:sz w:val="24"/>
        <w:szCs w:val="24"/>
      </w:rPr>
      <w:t xml:space="preserve">01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5E6B"/>
    <w:multiLevelType w:val="hybridMultilevel"/>
    <w:tmpl w:val="12E89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5E162A"/>
    <w:multiLevelType w:val="hybridMultilevel"/>
    <w:tmpl w:val="E6A611DE"/>
    <w:lvl w:ilvl="0" w:tplc="EA6CAFAA">
      <w:start w:val="1"/>
      <w:numFmt w:val="decimal"/>
      <w:lvlText w:val="%1."/>
      <w:lvlJc w:val="left"/>
      <w:pPr>
        <w:ind w:left="1800" w:hanging="360"/>
      </w:pPr>
      <w:rPr>
        <w:rFonts w:hint="default"/>
        <w:sz w:val="24"/>
        <w:szCs w:val="1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94A6FFB"/>
    <w:multiLevelType w:val="hybridMultilevel"/>
    <w:tmpl w:val="F9D863EE"/>
    <w:lvl w:ilvl="0" w:tplc="9FCA9A82">
      <w:start w:val="1"/>
      <w:numFmt w:val="decimal"/>
      <w:lvlText w:val="%1."/>
      <w:lvlJc w:val="left"/>
      <w:pPr>
        <w:ind w:left="1080" w:hanging="720"/>
      </w:pPr>
      <w:rPr>
        <w:rFonts w:hint="default"/>
      </w:rPr>
    </w:lvl>
    <w:lvl w:ilvl="1" w:tplc="3540362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3779D"/>
    <w:multiLevelType w:val="hybridMultilevel"/>
    <w:tmpl w:val="335249D4"/>
    <w:lvl w:ilvl="0" w:tplc="33F0FCD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3B6BD1"/>
    <w:multiLevelType w:val="hybridMultilevel"/>
    <w:tmpl w:val="0E6E09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6687A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5686283"/>
    <w:multiLevelType w:val="hybridMultilevel"/>
    <w:tmpl w:val="141AB08C"/>
    <w:lvl w:ilvl="0" w:tplc="DA023AB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9E0B19"/>
    <w:multiLevelType w:val="hybridMultilevel"/>
    <w:tmpl w:val="0B923E8A"/>
    <w:lvl w:ilvl="0" w:tplc="04090001">
      <w:start w:val="1"/>
      <w:numFmt w:val="bullet"/>
      <w:lvlText w:val=""/>
      <w:lvlJc w:val="left"/>
      <w:pPr>
        <w:ind w:left="720" w:hanging="360"/>
      </w:pPr>
      <w:rPr>
        <w:rFonts w:ascii="Symbol" w:hAnsi="Symbol" w:hint="default"/>
      </w:rPr>
    </w:lvl>
    <w:lvl w:ilvl="1" w:tplc="7516439E">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D0B45"/>
    <w:multiLevelType w:val="hybridMultilevel"/>
    <w:tmpl w:val="1BC6D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DB40C1"/>
    <w:multiLevelType w:val="hybridMultilevel"/>
    <w:tmpl w:val="CB3E96D6"/>
    <w:lvl w:ilvl="0" w:tplc="F946ACC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D1835"/>
    <w:multiLevelType w:val="hybridMultilevel"/>
    <w:tmpl w:val="D77ADB6E"/>
    <w:lvl w:ilvl="0" w:tplc="04090019">
      <w:start w:val="1"/>
      <w:numFmt w:val="lowerLetter"/>
      <w:lvlText w:val="%1."/>
      <w:lvlJc w:val="left"/>
      <w:pPr>
        <w:ind w:left="720" w:hanging="360"/>
      </w:pPr>
    </w:lvl>
    <w:lvl w:ilvl="1" w:tplc="B63229C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B405CD"/>
    <w:multiLevelType w:val="hybridMultilevel"/>
    <w:tmpl w:val="764839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ED73AD9"/>
    <w:multiLevelType w:val="hybridMultilevel"/>
    <w:tmpl w:val="B7ACB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9DA6F3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79DA6F71"/>
    <w:multiLevelType w:val="hybridMultilevel"/>
    <w:tmpl w:val="15E0933C"/>
    <w:lvl w:ilvl="0" w:tplc="A0D6D54A">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6D69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2"/>
  </w:num>
  <w:num w:numId="3">
    <w:abstractNumId w:val="0"/>
  </w:num>
  <w:num w:numId="4">
    <w:abstractNumId w:val="4"/>
  </w:num>
  <w:num w:numId="5">
    <w:abstractNumId w:val="6"/>
  </w:num>
  <w:num w:numId="6">
    <w:abstractNumId w:val="8"/>
  </w:num>
  <w:num w:numId="7">
    <w:abstractNumId w:val="2"/>
  </w:num>
  <w:num w:numId="8">
    <w:abstractNumId w:val="10"/>
  </w:num>
  <w:num w:numId="9">
    <w:abstractNumId w:val="11"/>
  </w:num>
  <w:num w:numId="10">
    <w:abstractNumId w:val="9"/>
  </w:num>
  <w:num w:numId="11">
    <w:abstractNumId w:val="7"/>
  </w:num>
  <w:num w:numId="12">
    <w:abstractNumId w:val="13"/>
  </w:num>
  <w:num w:numId="13">
    <w:abstractNumId w:val="5"/>
  </w:num>
  <w:num w:numId="14">
    <w:abstractNumId w:val="15"/>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Formatting/>
  <w:defaultTabStop w:val="57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D8"/>
    <w:rsid w:val="00032D6A"/>
    <w:rsid w:val="00046E83"/>
    <w:rsid w:val="00051B3E"/>
    <w:rsid w:val="00056923"/>
    <w:rsid w:val="00070AC6"/>
    <w:rsid w:val="00075A32"/>
    <w:rsid w:val="000A666C"/>
    <w:rsid w:val="000B078E"/>
    <w:rsid w:val="000B4461"/>
    <w:rsid w:val="000C404F"/>
    <w:rsid w:val="00105416"/>
    <w:rsid w:val="00151E37"/>
    <w:rsid w:val="00183D2A"/>
    <w:rsid w:val="00193E5E"/>
    <w:rsid w:val="00195B80"/>
    <w:rsid w:val="00195DDC"/>
    <w:rsid w:val="001A0AFE"/>
    <w:rsid w:val="001B6864"/>
    <w:rsid w:val="001D1424"/>
    <w:rsid w:val="001E69BA"/>
    <w:rsid w:val="00220E7C"/>
    <w:rsid w:val="00263E60"/>
    <w:rsid w:val="00266BFC"/>
    <w:rsid w:val="00290EEC"/>
    <w:rsid w:val="00293768"/>
    <w:rsid w:val="002A10A3"/>
    <w:rsid w:val="002C1AA8"/>
    <w:rsid w:val="002C4C96"/>
    <w:rsid w:val="002D64EA"/>
    <w:rsid w:val="002E73CE"/>
    <w:rsid w:val="00302E5D"/>
    <w:rsid w:val="0031023B"/>
    <w:rsid w:val="0031133F"/>
    <w:rsid w:val="0037078D"/>
    <w:rsid w:val="003B4E1F"/>
    <w:rsid w:val="003B51A1"/>
    <w:rsid w:val="003C7323"/>
    <w:rsid w:val="003D13B2"/>
    <w:rsid w:val="003E38CF"/>
    <w:rsid w:val="00404E7B"/>
    <w:rsid w:val="0040547E"/>
    <w:rsid w:val="00431DD5"/>
    <w:rsid w:val="004406AC"/>
    <w:rsid w:val="00454B81"/>
    <w:rsid w:val="00462A30"/>
    <w:rsid w:val="00474C75"/>
    <w:rsid w:val="00492FD2"/>
    <w:rsid w:val="004B6866"/>
    <w:rsid w:val="004C6C02"/>
    <w:rsid w:val="004D2629"/>
    <w:rsid w:val="004D42FD"/>
    <w:rsid w:val="004E686C"/>
    <w:rsid w:val="004F01AA"/>
    <w:rsid w:val="00500419"/>
    <w:rsid w:val="00520211"/>
    <w:rsid w:val="0052090C"/>
    <w:rsid w:val="00577865"/>
    <w:rsid w:val="005806B0"/>
    <w:rsid w:val="00580D3E"/>
    <w:rsid w:val="00587B93"/>
    <w:rsid w:val="005968C6"/>
    <w:rsid w:val="005A086C"/>
    <w:rsid w:val="005C39D4"/>
    <w:rsid w:val="005E63BD"/>
    <w:rsid w:val="00600828"/>
    <w:rsid w:val="006229A9"/>
    <w:rsid w:val="00624B8A"/>
    <w:rsid w:val="006417A7"/>
    <w:rsid w:val="00661B06"/>
    <w:rsid w:val="00684238"/>
    <w:rsid w:val="006B1C5B"/>
    <w:rsid w:val="006C54FC"/>
    <w:rsid w:val="006D25C6"/>
    <w:rsid w:val="006D3D87"/>
    <w:rsid w:val="006E06F0"/>
    <w:rsid w:val="007026D8"/>
    <w:rsid w:val="00712B7B"/>
    <w:rsid w:val="00745CD4"/>
    <w:rsid w:val="00755DAB"/>
    <w:rsid w:val="00784007"/>
    <w:rsid w:val="007848FD"/>
    <w:rsid w:val="007B2514"/>
    <w:rsid w:val="007B7E0E"/>
    <w:rsid w:val="007E554F"/>
    <w:rsid w:val="007F7238"/>
    <w:rsid w:val="008005BE"/>
    <w:rsid w:val="00812CA6"/>
    <w:rsid w:val="00814965"/>
    <w:rsid w:val="00817807"/>
    <w:rsid w:val="008415ED"/>
    <w:rsid w:val="00857899"/>
    <w:rsid w:val="00857F7D"/>
    <w:rsid w:val="008631F1"/>
    <w:rsid w:val="008675CC"/>
    <w:rsid w:val="00880E32"/>
    <w:rsid w:val="00881099"/>
    <w:rsid w:val="008858A1"/>
    <w:rsid w:val="00891410"/>
    <w:rsid w:val="008A4947"/>
    <w:rsid w:val="008B152A"/>
    <w:rsid w:val="008B77AA"/>
    <w:rsid w:val="008D0C37"/>
    <w:rsid w:val="008F10F4"/>
    <w:rsid w:val="008F45F7"/>
    <w:rsid w:val="00911626"/>
    <w:rsid w:val="0093057F"/>
    <w:rsid w:val="00931922"/>
    <w:rsid w:val="00932EB8"/>
    <w:rsid w:val="00944760"/>
    <w:rsid w:val="00953D36"/>
    <w:rsid w:val="00956036"/>
    <w:rsid w:val="00972A96"/>
    <w:rsid w:val="009812CA"/>
    <w:rsid w:val="009A3D03"/>
    <w:rsid w:val="009C36C2"/>
    <w:rsid w:val="009D3D68"/>
    <w:rsid w:val="009F413D"/>
    <w:rsid w:val="00A0268F"/>
    <w:rsid w:val="00A271B7"/>
    <w:rsid w:val="00A33F1D"/>
    <w:rsid w:val="00A43E08"/>
    <w:rsid w:val="00A44A08"/>
    <w:rsid w:val="00A61EBC"/>
    <w:rsid w:val="00A812CE"/>
    <w:rsid w:val="00A9321A"/>
    <w:rsid w:val="00A96D43"/>
    <w:rsid w:val="00A9752E"/>
    <w:rsid w:val="00AC66B8"/>
    <w:rsid w:val="00AE36E0"/>
    <w:rsid w:val="00AE6A8F"/>
    <w:rsid w:val="00AF60E2"/>
    <w:rsid w:val="00AF78FF"/>
    <w:rsid w:val="00B06A83"/>
    <w:rsid w:val="00B077E8"/>
    <w:rsid w:val="00B25168"/>
    <w:rsid w:val="00B37E36"/>
    <w:rsid w:val="00B43E05"/>
    <w:rsid w:val="00B50B2E"/>
    <w:rsid w:val="00B56CBE"/>
    <w:rsid w:val="00B93627"/>
    <w:rsid w:val="00BA0F91"/>
    <w:rsid w:val="00BA171F"/>
    <w:rsid w:val="00BB6CA9"/>
    <w:rsid w:val="00BD1944"/>
    <w:rsid w:val="00BF4246"/>
    <w:rsid w:val="00C11F8B"/>
    <w:rsid w:val="00C12226"/>
    <w:rsid w:val="00C33E24"/>
    <w:rsid w:val="00C55897"/>
    <w:rsid w:val="00C56EA8"/>
    <w:rsid w:val="00C613CB"/>
    <w:rsid w:val="00C71769"/>
    <w:rsid w:val="00C73104"/>
    <w:rsid w:val="00CA3984"/>
    <w:rsid w:val="00CA5109"/>
    <w:rsid w:val="00CC4EBD"/>
    <w:rsid w:val="00CF3F2E"/>
    <w:rsid w:val="00CF7A40"/>
    <w:rsid w:val="00D2614A"/>
    <w:rsid w:val="00D34814"/>
    <w:rsid w:val="00DD4F7B"/>
    <w:rsid w:val="00DD59DD"/>
    <w:rsid w:val="00E074B3"/>
    <w:rsid w:val="00E131CB"/>
    <w:rsid w:val="00E22E08"/>
    <w:rsid w:val="00E337C3"/>
    <w:rsid w:val="00E354E7"/>
    <w:rsid w:val="00E3654E"/>
    <w:rsid w:val="00E53D36"/>
    <w:rsid w:val="00E55B39"/>
    <w:rsid w:val="00E576AE"/>
    <w:rsid w:val="00E6091B"/>
    <w:rsid w:val="00E94C77"/>
    <w:rsid w:val="00EA30DB"/>
    <w:rsid w:val="00EB03FD"/>
    <w:rsid w:val="00EB179B"/>
    <w:rsid w:val="00EF3D96"/>
    <w:rsid w:val="00EF5B5C"/>
    <w:rsid w:val="00F1615A"/>
    <w:rsid w:val="00F31B86"/>
    <w:rsid w:val="00F656D2"/>
    <w:rsid w:val="00F66964"/>
    <w:rsid w:val="00F74ACD"/>
    <w:rsid w:val="00FA0C06"/>
    <w:rsid w:val="00FB7E82"/>
    <w:rsid w:val="00FC04FC"/>
    <w:rsid w:val="00FD29FA"/>
    <w:rsid w:val="00FE1878"/>
    <w:rsid w:val="00FE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70A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FE1878"/>
    <w:pPr>
      <w:keepNext/>
      <w:keepLines/>
      <w:spacing w:before="240" w:after="0"/>
      <w:outlineLvl w:val="1"/>
    </w:pPr>
    <w:rPr>
      <w:rFonts w:ascii="Cambria" w:eastAsia="Times New Roman" w:hAnsi="Cambria"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6D8"/>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99"/>
    <w:qFormat/>
    <w:rsid w:val="00BB6CA9"/>
    <w:pPr>
      <w:ind w:left="720"/>
      <w:contextualSpacing/>
    </w:pPr>
    <w:rPr>
      <w:rFonts w:eastAsia="Times New Roman"/>
    </w:rPr>
  </w:style>
  <w:style w:type="paragraph" w:styleId="BalloonText">
    <w:name w:val="Balloon Text"/>
    <w:basedOn w:val="Normal"/>
    <w:link w:val="BalloonTextChar"/>
    <w:uiPriority w:val="99"/>
    <w:semiHidden/>
    <w:unhideWhenUsed/>
    <w:rsid w:val="00CA39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A3984"/>
    <w:rPr>
      <w:rFonts w:ascii="Tahoma" w:hAnsi="Tahoma" w:cs="Tahoma"/>
      <w:sz w:val="16"/>
      <w:szCs w:val="16"/>
    </w:rPr>
  </w:style>
  <w:style w:type="character" w:styleId="CommentReference">
    <w:name w:val="annotation reference"/>
    <w:uiPriority w:val="99"/>
    <w:semiHidden/>
    <w:unhideWhenUsed/>
    <w:rsid w:val="006D3D87"/>
    <w:rPr>
      <w:sz w:val="16"/>
      <w:szCs w:val="16"/>
    </w:rPr>
  </w:style>
  <w:style w:type="paragraph" w:styleId="CommentText">
    <w:name w:val="annotation text"/>
    <w:basedOn w:val="Normal"/>
    <w:link w:val="CommentTextChar"/>
    <w:uiPriority w:val="99"/>
    <w:unhideWhenUsed/>
    <w:rsid w:val="006D3D87"/>
    <w:rPr>
      <w:sz w:val="20"/>
      <w:szCs w:val="20"/>
    </w:rPr>
  </w:style>
  <w:style w:type="character" w:customStyle="1" w:styleId="CommentTextChar">
    <w:name w:val="Comment Text Char"/>
    <w:basedOn w:val="DefaultParagraphFont"/>
    <w:link w:val="CommentText"/>
    <w:uiPriority w:val="99"/>
    <w:rsid w:val="006D3D87"/>
  </w:style>
  <w:style w:type="paragraph" w:styleId="CommentSubject">
    <w:name w:val="annotation subject"/>
    <w:basedOn w:val="CommentText"/>
    <w:next w:val="CommentText"/>
    <w:link w:val="CommentSubjectChar"/>
    <w:uiPriority w:val="99"/>
    <w:semiHidden/>
    <w:unhideWhenUsed/>
    <w:rsid w:val="006D3D87"/>
    <w:rPr>
      <w:b/>
      <w:bCs/>
    </w:rPr>
  </w:style>
  <w:style w:type="character" w:customStyle="1" w:styleId="CommentSubjectChar">
    <w:name w:val="Comment Subject Char"/>
    <w:link w:val="CommentSubject"/>
    <w:uiPriority w:val="99"/>
    <w:semiHidden/>
    <w:rsid w:val="006D3D87"/>
    <w:rPr>
      <w:b/>
      <w:bCs/>
    </w:rPr>
  </w:style>
  <w:style w:type="character" w:styleId="Strong">
    <w:name w:val="Strong"/>
    <w:uiPriority w:val="22"/>
    <w:qFormat/>
    <w:rsid w:val="005E63BD"/>
    <w:rPr>
      <w:b/>
      <w:bCs/>
    </w:rPr>
  </w:style>
  <w:style w:type="character" w:customStyle="1" w:styleId="Heading1Char">
    <w:name w:val="Heading 1 Char"/>
    <w:link w:val="Heading1"/>
    <w:uiPriority w:val="9"/>
    <w:rsid w:val="00070AC6"/>
    <w:rPr>
      <w:rFonts w:ascii="Cambria" w:eastAsia="Times New Roman" w:hAnsi="Cambria" w:cs="Times New Roman"/>
      <w:b/>
      <w:bCs/>
      <w:kern w:val="32"/>
      <w:sz w:val="32"/>
      <w:szCs w:val="32"/>
    </w:rPr>
  </w:style>
  <w:style w:type="paragraph" w:styleId="BodyText">
    <w:name w:val="Body Text"/>
    <w:basedOn w:val="Normal"/>
    <w:link w:val="BodyTextChar"/>
    <w:uiPriority w:val="99"/>
    <w:unhideWhenUsed/>
    <w:rsid w:val="00A9752E"/>
    <w:pPr>
      <w:spacing w:line="240" w:lineRule="auto"/>
    </w:pPr>
    <w:rPr>
      <w:rFonts w:ascii="Times New Roman" w:hAnsi="Times New Roman"/>
      <w:sz w:val="24"/>
      <w:szCs w:val="24"/>
    </w:rPr>
  </w:style>
  <w:style w:type="character" w:customStyle="1" w:styleId="BodyTextChar">
    <w:name w:val="Body Text Char"/>
    <w:link w:val="BodyText"/>
    <w:uiPriority w:val="99"/>
    <w:rsid w:val="00A9752E"/>
    <w:rPr>
      <w:rFonts w:ascii="Times New Roman" w:hAnsi="Times New Roman"/>
      <w:sz w:val="24"/>
      <w:szCs w:val="24"/>
    </w:rPr>
  </w:style>
  <w:style w:type="character" w:customStyle="1" w:styleId="Heading2Char">
    <w:name w:val="Heading 2 Char"/>
    <w:link w:val="Heading2"/>
    <w:uiPriority w:val="9"/>
    <w:rsid w:val="00FE1878"/>
    <w:rPr>
      <w:rFonts w:ascii="Cambria" w:eastAsia="Times New Roman" w:hAnsi="Cambria" w:cs="Arial"/>
      <w:b/>
      <w:bCs/>
      <w:sz w:val="28"/>
      <w:szCs w:val="28"/>
    </w:rPr>
  </w:style>
  <w:style w:type="paragraph" w:styleId="TOCHeading">
    <w:name w:val="TOC Heading"/>
    <w:basedOn w:val="Heading1"/>
    <w:next w:val="Normal"/>
    <w:uiPriority w:val="39"/>
    <w:semiHidden/>
    <w:unhideWhenUsed/>
    <w:qFormat/>
    <w:rsid w:val="00151E37"/>
    <w:pPr>
      <w:keepLines/>
      <w:spacing w:before="480" w:after="0"/>
      <w:outlineLvl w:val="9"/>
    </w:pPr>
    <w:rPr>
      <w:rFonts w:eastAsia="MS Gothic"/>
      <w:color w:val="365F91"/>
      <w:kern w:val="0"/>
      <w:sz w:val="28"/>
      <w:szCs w:val="28"/>
      <w:lang w:eastAsia="ja-JP"/>
    </w:rPr>
  </w:style>
  <w:style w:type="paragraph" w:styleId="TOC1">
    <w:name w:val="toc 1"/>
    <w:basedOn w:val="Normal"/>
    <w:next w:val="Normal"/>
    <w:autoRedefine/>
    <w:uiPriority w:val="39"/>
    <w:unhideWhenUsed/>
    <w:rsid w:val="00151E37"/>
  </w:style>
  <w:style w:type="paragraph" w:styleId="TOC2">
    <w:name w:val="toc 2"/>
    <w:basedOn w:val="Normal"/>
    <w:next w:val="Normal"/>
    <w:autoRedefine/>
    <w:uiPriority w:val="39"/>
    <w:unhideWhenUsed/>
    <w:rsid w:val="00151E37"/>
    <w:pPr>
      <w:ind w:left="220"/>
    </w:pPr>
  </w:style>
  <w:style w:type="character" w:styleId="Hyperlink">
    <w:name w:val="Hyperlink"/>
    <w:uiPriority w:val="99"/>
    <w:unhideWhenUsed/>
    <w:rsid w:val="00151E37"/>
    <w:rPr>
      <w:color w:val="0000FF"/>
      <w:u w:val="single"/>
    </w:rPr>
  </w:style>
  <w:style w:type="paragraph" w:styleId="Header">
    <w:name w:val="header"/>
    <w:basedOn w:val="Normal"/>
    <w:link w:val="HeaderChar"/>
    <w:uiPriority w:val="99"/>
    <w:unhideWhenUsed/>
    <w:rsid w:val="007E554F"/>
    <w:pPr>
      <w:tabs>
        <w:tab w:val="center" w:pos="4680"/>
        <w:tab w:val="right" w:pos="9360"/>
      </w:tabs>
    </w:pPr>
  </w:style>
  <w:style w:type="character" w:customStyle="1" w:styleId="HeaderChar">
    <w:name w:val="Header Char"/>
    <w:link w:val="Header"/>
    <w:uiPriority w:val="99"/>
    <w:rsid w:val="007E554F"/>
    <w:rPr>
      <w:sz w:val="22"/>
      <w:szCs w:val="22"/>
    </w:rPr>
  </w:style>
  <w:style w:type="paragraph" w:styleId="Footer">
    <w:name w:val="footer"/>
    <w:basedOn w:val="Normal"/>
    <w:link w:val="FooterChar"/>
    <w:uiPriority w:val="99"/>
    <w:unhideWhenUsed/>
    <w:rsid w:val="007E554F"/>
    <w:pPr>
      <w:tabs>
        <w:tab w:val="center" w:pos="4680"/>
        <w:tab w:val="right" w:pos="9360"/>
      </w:tabs>
    </w:pPr>
  </w:style>
  <w:style w:type="character" w:customStyle="1" w:styleId="FooterChar">
    <w:name w:val="Footer Char"/>
    <w:link w:val="Footer"/>
    <w:uiPriority w:val="99"/>
    <w:rsid w:val="007E554F"/>
    <w:rPr>
      <w:sz w:val="22"/>
      <w:szCs w:val="22"/>
    </w:rPr>
  </w:style>
  <w:style w:type="paragraph" w:styleId="Revision">
    <w:name w:val="Revision"/>
    <w:hidden/>
    <w:uiPriority w:val="99"/>
    <w:semiHidden/>
    <w:rsid w:val="00075A3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70A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FE1878"/>
    <w:pPr>
      <w:keepNext/>
      <w:keepLines/>
      <w:spacing w:before="240" w:after="0"/>
      <w:outlineLvl w:val="1"/>
    </w:pPr>
    <w:rPr>
      <w:rFonts w:ascii="Cambria" w:eastAsia="Times New Roman" w:hAnsi="Cambria"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6D8"/>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99"/>
    <w:qFormat/>
    <w:rsid w:val="00BB6CA9"/>
    <w:pPr>
      <w:ind w:left="720"/>
      <w:contextualSpacing/>
    </w:pPr>
    <w:rPr>
      <w:rFonts w:eastAsia="Times New Roman"/>
    </w:rPr>
  </w:style>
  <w:style w:type="paragraph" w:styleId="BalloonText">
    <w:name w:val="Balloon Text"/>
    <w:basedOn w:val="Normal"/>
    <w:link w:val="BalloonTextChar"/>
    <w:uiPriority w:val="99"/>
    <w:semiHidden/>
    <w:unhideWhenUsed/>
    <w:rsid w:val="00CA39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A3984"/>
    <w:rPr>
      <w:rFonts w:ascii="Tahoma" w:hAnsi="Tahoma" w:cs="Tahoma"/>
      <w:sz w:val="16"/>
      <w:szCs w:val="16"/>
    </w:rPr>
  </w:style>
  <w:style w:type="character" w:styleId="CommentReference">
    <w:name w:val="annotation reference"/>
    <w:uiPriority w:val="99"/>
    <w:semiHidden/>
    <w:unhideWhenUsed/>
    <w:rsid w:val="006D3D87"/>
    <w:rPr>
      <w:sz w:val="16"/>
      <w:szCs w:val="16"/>
    </w:rPr>
  </w:style>
  <w:style w:type="paragraph" w:styleId="CommentText">
    <w:name w:val="annotation text"/>
    <w:basedOn w:val="Normal"/>
    <w:link w:val="CommentTextChar"/>
    <w:uiPriority w:val="99"/>
    <w:unhideWhenUsed/>
    <w:rsid w:val="006D3D87"/>
    <w:rPr>
      <w:sz w:val="20"/>
      <w:szCs w:val="20"/>
    </w:rPr>
  </w:style>
  <w:style w:type="character" w:customStyle="1" w:styleId="CommentTextChar">
    <w:name w:val="Comment Text Char"/>
    <w:basedOn w:val="DefaultParagraphFont"/>
    <w:link w:val="CommentText"/>
    <w:uiPriority w:val="99"/>
    <w:rsid w:val="006D3D87"/>
  </w:style>
  <w:style w:type="paragraph" w:styleId="CommentSubject">
    <w:name w:val="annotation subject"/>
    <w:basedOn w:val="CommentText"/>
    <w:next w:val="CommentText"/>
    <w:link w:val="CommentSubjectChar"/>
    <w:uiPriority w:val="99"/>
    <w:semiHidden/>
    <w:unhideWhenUsed/>
    <w:rsid w:val="006D3D87"/>
    <w:rPr>
      <w:b/>
      <w:bCs/>
    </w:rPr>
  </w:style>
  <w:style w:type="character" w:customStyle="1" w:styleId="CommentSubjectChar">
    <w:name w:val="Comment Subject Char"/>
    <w:link w:val="CommentSubject"/>
    <w:uiPriority w:val="99"/>
    <w:semiHidden/>
    <w:rsid w:val="006D3D87"/>
    <w:rPr>
      <w:b/>
      <w:bCs/>
    </w:rPr>
  </w:style>
  <w:style w:type="character" w:styleId="Strong">
    <w:name w:val="Strong"/>
    <w:uiPriority w:val="22"/>
    <w:qFormat/>
    <w:rsid w:val="005E63BD"/>
    <w:rPr>
      <w:b/>
      <w:bCs/>
    </w:rPr>
  </w:style>
  <w:style w:type="character" w:customStyle="1" w:styleId="Heading1Char">
    <w:name w:val="Heading 1 Char"/>
    <w:link w:val="Heading1"/>
    <w:uiPriority w:val="9"/>
    <w:rsid w:val="00070AC6"/>
    <w:rPr>
      <w:rFonts w:ascii="Cambria" w:eastAsia="Times New Roman" w:hAnsi="Cambria" w:cs="Times New Roman"/>
      <w:b/>
      <w:bCs/>
      <w:kern w:val="32"/>
      <w:sz w:val="32"/>
      <w:szCs w:val="32"/>
    </w:rPr>
  </w:style>
  <w:style w:type="paragraph" w:styleId="BodyText">
    <w:name w:val="Body Text"/>
    <w:basedOn w:val="Normal"/>
    <w:link w:val="BodyTextChar"/>
    <w:uiPriority w:val="99"/>
    <w:unhideWhenUsed/>
    <w:rsid w:val="00A9752E"/>
    <w:pPr>
      <w:spacing w:line="240" w:lineRule="auto"/>
    </w:pPr>
    <w:rPr>
      <w:rFonts w:ascii="Times New Roman" w:hAnsi="Times New Roman"/>
      <w:sz w:val="24"/>
      <w:szCs w:val="24"/>
    </w:rPr>
  </w:style>
  <w:style w:type="character" w:customStyle="1" w:styleId="BodyTextChar">
    <w:name w:val="Body Text Char"/>
    <w:link w:val="BodyText"/>
    <w:uiPriority w:val="99"/>
    <w:rsid w:val="00A9752E"/>
    <w:rPr>
      <w:rFonts w:ascii="Times New Roman" w:hAnsi="Times New Roman"/>
      <w:sz w:val="24"/>
      <w:szCs w:val="24"/>
    </w:rPr>
  </w:style>
  <w:style w:type="character" w:customStyle="1" w:styleId="Heading2Char">
    <w:name w:val="Heading 2 Char"/>
    <w:link w:val="Heading2"/>
    <w:uiPriority w:val="9"/>
    <w:rsid w:val="00FE1878"/>
    <w:rPr>
      <w:rFonts w:ascii="Cambria" w:eastAsia="Times New Roman" w:hAnsi="Cambria" w:cs="Arial"/>
      <w:b/>
      <w:bCs/>
      <w:sz w:val="28"/>
      <w:szCs w:val="28"/>
    </w:rPr>
  </w:style>
  <w:style w:type="paragraph" w:styleId="TOCHeading">
    <w:name w:val="TOC Heading"/>
    <w:basedOn w:val="Heading1"/>
    <w:next w:val="Normal"/>
    <w:uiPriority w:val="39"/>
    <w:semiHidden/>
    <w:unhideWhenUsed/>
    <w:qFormat/>
    <w:rsid w:val="00151E37"/>
    <w:pPr>
      <w:keepLines/>
      <w:spacing w:before="480" w:after="0"/>
      <w:outlineLvl w:val="9"/>
    </w:pPr>
    <w:rPr>
      <w:rFonts w:eastAsia="MS Gothic"/>
      <w:color w:val="365F91"/>
      <w:kern w:val="0"/>
      <w:sz w:val="28"/>
      <w:szCs w:val="28"/>
      <w:lang w:eastAsia="ja-JP"/>
    </w:rPr>
  </w:style>
  <w:style w:type="paragraph" w:styleId="TOC1">
    <w:name w:val="toc 1"/>
    <w:basedOn w:val="Normal"/>
    <w:next w:val="Normal"/>
    <w:autoRedefine/>
    <w:uiPriority w:val="39"/>
    <w:unhideWhenUsed/>
    <w:rsid w:val="00151E37"/>
  </w:style>
  <w:style w:type="paragraph" w:styleId="TOC2">
    <w:name w:val="toc 2"/>
    <w:basedOn w:val="Normal"/>
    <w:next w:val="Normal"/>
    <w:autoRedefine/>
    <w:uiPriority w:val="39"/>
    <w:unhideWhenUsed/>
    <w:rsid w:val="00151E37"/>
    <w:pPr>
      <w:ind w:left="220"/>
    </w:pPr>
  </w:style>
  <w:style w:type="character" w:styleId="Hyperlink">
    <w:name w:val="Hyperlink"/>
    <w:uiPriority w:val="99"/>
    <w:unhideWhenUsed/>
    <w:rsid w:val="00151E37"/>
    <w:rPr>
      <w:color w:val="0000FF"/>
      <w:u w:val="single"/>
    </w:rPr>
  </w:style>
  <w:style w:type="paragraph" w:styleId="Header">
    <w:name w:val="header"/>
    <w:basedOn w:val="Normal"/>
    <w:link w:val="HeaderChar"/>
    <w:uiPriority w:val="99"/>
    <w:unhideWhenUsed/>
    <w:rsid w:val="007E554F"/>
    <w:pPr>
      <w:tabs>
        <w:tab w:val="center" w:pos="4680"/>
        <w:tab w:val="right" w:pos="9360"/>
      </w:tabs>
    </w:pPr>
  </w:style>
  <w:style w:type="character" w:customStyle="1" w:styleId="HeaderChar">
    <w:name w:val="Header Char"/>
    <w:link w:val="Header"/>
    <w:uiPriority w:val="99"/>
    <w:rsid w:val="007E554F"/>
    <w:rPr>
      <w:sz w:val="22"/>
      <w:szCs w:val="22"/>
    </w:rPr>
  </w:style>
  <w:style w:type="paragraph" w:styleId="Footer">
    <w:name w:val="footer"/>
    <w:basedOn w:val="Normal"/>
    <w:link w:val="FooterChar"/>
    <w:uiPriority w:val="99"/>
    <w:unhideWhenUsed/>
    <w:rsid w:val="007E554F"/>
    <w:pPr>
      <w:tabs>
        <w:tab w:val="center" w:pos="4680"/>
        <w:tab w:val="right" w:pos="9360"/>
      </w:tabs>
    </w:pPr>
  </w:style>
  <w:style w:type="character" w:customStyle="1" w:styleId="FooterChar">
    <w:name w:val="Footer Char"/>
    <w:link w:val="Footer"/>
    <w:uiPriority w:val="99"/>
    <w:rsid w:val="007E554F"/>
    <w:rPr>
      <w:sz w:val="22"/>
      <w:szCs w:val="22"/>
    </w:rPr>
  </w:style>
  <w:style w:type="paragraph" w:styleId="Revision">
    <w:name w:val="Revision"/>
    <w:hidden/>
    <w:uiPriority w:val="99"/>
    <w:semiHidden/>
    <w:rsid w:val="00075A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94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03770FB80FC6499319E277A630067A" ma:contentTypeVersion="1" ma:contentTypeDescription="Create a new document." ma:contentTypeScope="" ma:versionID="d87acb2f9da87dc426b77f52f9ca7218">
  <xsd:schema xmlns:xsd="http://www.w3.org/2001/XMLSchema" xmlns:xs="http://www.w3.org/2001/XMLSchema" xmlns:p="http://schemas.microsoft.com/office/2006/metadata/properties" xmlns:ns2="c86a5c40-a92a-4631-b91f-d022b881d241" targetNamespace="http://schemas.microsoft.com/office/2006/metadata/properties" ma:root="true" ma:fieldsID="d3031a5932695dbe9f1443090fae46d9" ns2:_="">
    <xsd:import namespace="c86a5c40-a92a-4631-b91f-d022b881d241"/>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a5c40-a92a-4631-b91f-d022b881d241"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General_x0020_Comments xmlns="c86a5c40-a92a-4631-b91f-d022b881d241"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3CB4E-1875-4FC2-89AD-C0DA91F7FC5C}">
  <ds:schemaRefs>
    <ds:schemaRef ds:uri="http://schemas.microsoft.com/office/2006/metadata/longProperties"/>
  </ds:schemaRefs>
</ds:datastoreItem>
</file>

<file path=customXml/itemProps2.xml><?xml version="1.0" encoding="utf-8"?>
<ds:datastoreItem xmlns:ds="http://schemas.openxmlformats.org/officeDocument/2006/customXml" ds:itemID="{34001867-2E52-4738-AB46-974BA6BFC6D7}">
  <ds:schemaRefs>
    <ds:schemaRef ds:uri="http://schemas.microsoft.com/sharepoint/v3/contenttype/forms"/>
  </ds:schemaRefs>
</ds:datastoreItem>
</file>

<file path=customXml/itemProps3.xml><?xml version="1.0" encoding="utf-8"?>
<ds:datastoreItem xmlns:ds="http://schemas.openxmlformats.org/officeDocument/2006/customXml" ds:itemID="{1E37389E-8742-4B42-AAFE-90335CC5C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a5c40-a92a-4631-b91f-d022b881d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DB4B2F-F8D4-4D9C-B4D5-D1EBD6FF997C}">
  <ds:schemaRefs>
    <ds:schemaRef ds:uri="http://schemas.microsoft.com/office/2006/metadata/properties"/>
    <ds:schemaRef ds:uri="http://schemas.microsoft.com/office/infopath/2007/PartnerControls"/>
    <ds:schemaRef ds:uri="c86a5c40-a92a-4631-b91f-d022b881d241"/>
  </ds:schemaRefs>
</ds:datastoreItem>
</file>

<file path=customXml/itemProps5.xml><?xml version="1.0" encoding="utf-8"?>
<ds:datastoreItem xmlns:ds="http://schemas.openxmlformats.org/officeDocument/2006/customXml" ds:itemID="{101591AB-1158-4BFB-BEED-412811E8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Department of Defense - Health Affairs</Company>
  <LinksUpToDate>false</LinksUpToDate>
  <CharactersWithSpaces>15437</CharactersWithSpaces>
  <SharedDoc>false</SharedDoc>
  <HLinks>
    <vt:vector size="72" baseType="variant">
      <vt:variant>
        <vt:i4>1310771</vt:i4>
      </vt:variant>
      <vt:variant>
        <vt:i4>68</vt:i4>
      </vt:variant>
      <vt:variant>
        <vt:i4>0</vt:i4>
      </vt:variant>
      <vt:variant>
        <vt:i4>5</vt:i4>
      </vt:variant>
      <vt:variant>
        <vt:lpwstr/>
      </vt:variant>
      <vt:variant>
        <vt:lpwstr>_Toc420057265</vt:lpwstr>
      </vt:variant>
      <vt:variant>
        <vt:i4>1310771</vt:i4>
      </vt:variant>
      <vt:variant>
        <vt:i4>62</vt:i4>
      </vt:variant>
      <vt:variant>
        <vt:i4>0</vt:i4>
      </vt:variant>
      <vt:variant>
        <vt:i4>5</vt:i4>
      </vt:variant>
      <vt:variant>
        <vt:lpwstr/>
      </vt:variant>
      <vt:variant>
        <vt:lpwstr>_Toc420057264</vt:lpwstr>
      </vt:variant>
      <vt:variant>
        <vt:i4>1310771</vt:i4>
      </vt:variant>
      <vt:variant>
        <vt:i4>56</vt:i4>
      </vt:variant>
      <vt:variant>
        <vt:i4>0</vt:i4>
      </vt:variant>
      <vt:variant>
        <vt:i4>5</vt:i4>
      </vt:variant>
      <vt:variant>
        <vt:lpwstr/>
      </vt:variant>
      <vt:variant>
        <vt:lpwstr>_Toc420057263</vt:lpwstr>
      </vt:variant>
      <vt:variant>
        <vt:i4>1310771</vt:i4>
      </vt:variant>
      <vt:variant>
        <vt:i4>50</vt:i4>
      </vt:variant>
      <vt:variant>
        <vt:i4>0</vt:i4>
      </vt:variant>
      <vt:variant>
        <vt:i4>5</vt:i4>
      </vt:variant>
      <vt:variant>
        <vt:lpwstr/>
      </vt:variant>
      <vt:variant>
        <vt:lpwstr>_Toc420057262</vt:lpwstr>
      </vt:variant>
      <vt:variant>
        <vt:i4>1310771</vt:i4>
      </vt:variant>
      <vt:variant>
        <vt:i4>44</vt:i4>
      </vt:variant>
      <vt:variant>
        <vt:i4>0</vt:i4>
      </vt:variant>
      <vt:variant>
        <vt:i4>5</vt:i4>
      </vt:variant>
      <vt:variant>
        <vt:lpwstr/>
      </vt:variant>
      <vt:variant>
        <vt:lpwstr>_Toc420057261</vt:lpwstr>
      </vt:variant>
      <vt:variant>
        <vt:i4>1310771</vt:i4>
      </vt:variant>
      <vt:variant>
        <vt:i4>38</vt:i4>
      </vt:variant>
      <vt:variant>
        <vt:i4>0</vt:i4>
      </vt:variant>
      <vt:variant>
        <vt:i4>5</vt:i4>
      </vt:variant>
      <vt:variant>
        <vt:lpwstr/>
      </vt:variant>
      <vt:variant>
        <vt:lpwstr>_Toc420057260</vt:lpwstr>
      </vt:variant>
      <vt:variant>
        <vt:i4>1507379</vt:i4>
      </vt:variant>
      <vt:variant>
        <vt:i4>32</vt:i4>
      </vt:variant>
      <vt:variant>
        <vt:i4>0</vt:i4>
      </vt:variant>
      <vt:variant>
        <vt:i4>5</vt:i4>
      </vt:variant>
      <vt:variant>
        <vt:lpwstr/>
      </vt:variant>
      <vt:variant>
        <vt:lpwstr>_Toc420057259</vt:lpwstr>
      </vt:variant>
      <vt:variant>
        <vt:i4>1507379</vt:i4>
      </vt:variant>
      <vt:variant>
        <vt:i4>26</vt:i4>
      </vt:variant>
      <vt:variant>
        <vt:i4>0</vt:i4>
      </vt:variant>
      <vt:variant>
        <vt:i4>5</vt:i4>
      </vt:variant>
      <vt:variant>
        <vt:lpwstr/>
      </vt:variant>
      <vt:variant>
        <vt:lpwstr>_Toc420057258</vt:lpwstr>
      </vt:variant>
      <vt:variant>
        <vt:i4>1507379</vt:i4>
      </vt:variant>
      <vt:variant>
        <vt:i4>20</vt:i4>
      </vt:variant>
      <vt:variant>
        <vt:i4>0</vt:i4>
      </vt:variant>
      <vt:variant>
        <vt:i4>5</vt:i4>
      </vt:variant>
      <vt:variant>
        <vt:lpwstr/>
      </vt:variant>
      <vt:variant>
        <vt:lpwstr>_Toc420057257</vt:lpwstr>
      </vt:variant>
      <vt:variant>
        <vt:i4>1507379</vt:i4>
      </vt:variant>
      <vt:variant>
        <vt:i4>14</vt:i4>
      </vt:variant>
      <vt:variant>
        <vt:i4>0</vt:i4>
      </vt:variant>
      <vt:variant>
        <vt:i4>5</vt:i4>
      </vt:variant>
      <vt:variant>
        <vt:lpwstr/>
      </vt:variant>
      <vt:variant>
        <vt:lpwstr>_Toc420057256</vt:lpwstr>
      </vt:variant>
      <vt:variant>
        <vt:i4>1507379</vt:i4>
      </vt:variant>
      <vt:variant>
        <vt:i4>8</vt:i4>
      </vt:variant>
      <vt:variant>
        <vt:i4>0</vt:i4>
      </vt:variant>
      <vt:variant>
        <vt:i4>5</vt:i4>
      </vt:variant>
      <vt:variant>
        <vt:lpwstr/>
      </vt:variant>
      <vt:variant>
        <vt:lpwstr>_Toc420057255</vt:lpwstr>
      </vt:variant>
      <vt:variant>
        <vt:i4>1507379</vt:i4>
      </vt:variant>
      <vt:variant>
        <vt:i4>2</vt:i4>
      </vt:variant>
      <vt:variant>
        <vt:i4>0</vt:i4>
      </vt:variant>
      <vt:variant>
        <vt:i4>5</vt:i4>
      </vt:variant>
      <vt:variant>
        <vt:lpwstr/>
      </vt:variant>
      <vt:variant>
        <vt:lpwstr>_Toc420057254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Kanukolanu, (Rachel) Mariam, CTR, DHA</dc:creator>
  <cp:lastModifiedBy>Dena Tompros</cp:lastModifiedBy>
  <cp:revision>3</cp:revision>
  <cp:lastPrinted>2015-07-02T16:02:00Z</cp:lastPrinted>
  <dcterms:created xsi:type="dcterms:W3CDTF">2015-08-10T15:34:00Z</dcterms:created>
  <dcterms:modified xsi:type="dcterms:W3CDTF">2015-08-10T15:35:00Z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opySource">
    <vt:lpwstr>http://voa.aac.dva.va.gov/sites/sip/TAC15231204292015_83823_AM/7600A%20%20Attachment.doc</vt:lpwstr>
  </property>
</Properties>
</file>