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CF258" w14:textId="77777777" w:rsidR="00FF7413" w:rsidRPr="00012BC3" w:rsidRDefault="00FF7413" w:rsidP="00F077E6">
      <w:pPr>
        <w:pStyle w:val="Kop1"/>
      </w:pPr>
      <w:bookmarkStart w:id="0" w:name="_Toc195655755"/>
      <w:r w:rsidRPr="00012BC3">
        <w:t>Simulatie</w:t>
      </w:r>
      <w:bookmarkEnd w:id="0"/>
    </w:p>
    <w:p w14:paraId="6089F12F" w14:textId="77777777" w:rsidR="00FF7413" w:rsidRPr="00012BC3" w:rsidRDefault="00FF7413" w:rsidP="00FF7413">
      <w:pPr>
        <w:pStyle w:val="Kop3"/>
      </w:pPr>
      <w:bookmarkStart w:id="1" w:name="_Toc195655756"/>
      <w:r w:rsidRPr="00012BC3">
        <w:t>Classes</w:t>
      </w:r>
      <w:bookmarkEnd w:id="1"/>
    </w:p>
    <w:p w14:paraId="26F68266" w14:textId="77777777" w:rsidR="00FF7413" w:rsidRPr="00012BC3" w:rsidRDefault="00FF7413" w:rsidP="00FF7413">
      <w:pPr>
        <w:rPr>
          <w:sz w:val="22"/>
          <w:szCs w:val="22"/>
        </w:rPr>
      </w:pPr>
      <w:r w:rsidRPr="00012BC3">
        <w:rPr>
          <w:sz w:val="22"/>
          <w:szCs w:val="22"/>
        </w:rPr>
        <w:t>Het simulatiemodel wordt ontworpen om de energietransitie binnen een woonwijk te simuleren, waarbij huishoudens overstappen op duurzamere energiebronnen. De simulatie omvat drie hoofdklassen: de woonwijk (omgeving), woningen en inwoners. Binnen dit model is een inwoner de enige autonome agent, die op basis van verschillende factoren beslissingen neemt over energiegebruik en mogelijke overstappen naar duurzame alternatieven.</w:t>
      </w:r>
    </w:p>
    <w:p w14:paraId="59F5533A" w14:textId="77777777" w:rsidR="00FF7413" w:rsidRPr="00012BC3" w:rsidRDefault="00FF7413" w:rsidP="00FF7413">
      <w:pPr>
        <w:rPr>
          <w:sz w:val="22"/>
          <w:szCs w:val="22"/>
        </w:rPr>
      </w:pPr>
      <w:r w:rsidRPr="00012BC3">
        <w:rPr>
          <w:sz w:val="22"/>
          <w:szCs w:val="22"/>
        </w:rPr>
        <w:t>Elke inwoner woont in een woning, alleen of samen met andere inwoners in de vorm van een huishouden. De woningen maken op hun beurt deel uit van een grotere woonwijk, waarin interacties plaatsvinden tussen bewoners, woningen en externe invloeden zoals energieprijzen en maatschappelijke ontwikkelingen.</w:t>
      </w:r>
    </w:p>
    <w:p w14:paraId="3386BF8C" w14:textId="77777777" w:rsidR="00FF7413" w:rsidRPr="00012BC3" w:rsidRDefault="00FF7413" w:rsidP="00FF7413">
      <w:pPr>
        <w:pStyle w:val="Kop3"/>
      </w:pPr>
      <w:bookmarkStart w:id="2" w:name="_Toc195655757"/>
      <w:r w:rsidRPr="00012BC3">
        <w:t>Inwoner</w:t>
      </w:r>
      <w:bookmarkEnd w:id="2"/>
    </w:p>
    <w:p w14:paraId="536F31C7" w14:textId="77777777" w:rsidR="00FF7413" w:rsidRPr="00012BC3" w:rsidRDefault="00FF7413" w:rsidP="00FF7413">
      <w:pPr>
        <w:rPr>
          <w:sz w:val="22"/>
          <w:szCs w:val="22"/>
        </w:rPr>
      </w:pPr>
      <w:r w:rsidRPr="00012BC3">
        <w:rPr>
          <w:sz w:val="22"/>
          <w:szCs w:val="22"/>
        </w:rPr>
        <w:t>De inwoner is de kern van de simulatie en beschikt over verschillende eigenschappen die zijn besluitvorming beïnvloeden:</w:t>
      </w:r>
    </w:p>
    <w:p w14:paraId="6BD589EA" w14:textId="77777777" w:rsidR="00FF7413" w:rsidRPr="00012BC3" w:rsidRDefault="00FF7413" w:rsidP="00FF7413">
      <w:pPr>
        <w:numPr>
          <w:ilvl w:val="0"/>
          <w:numId w:val="1"/>
        </w:numPr>
        <w:rPr>
          <w:sz w:val="22"/>
          <w:szCs w:val="22"/>
        </w:rPr>
      </w:pPr>
      <w:r w:rsidRPr="00012BC3">
        <w:rPr>
          <w:b/>
          <w:bCs/>
          <w:sz w:val="22"/>
          <w:szCs w:val="22"/>
        </w:rPr>
        <w:t>Leeftijd:</w:t>
      </w:r>
      <w:r w:rsidRPr="00012BC3">
        <w:rPr>
          <w:sz w:val="22"/>
          <w:szCs w:val="22"/>
        </w:rPr>
        <w:t xml:space="preserve"> Kan invloed hebben op de perceptie van investeringen en terugverdienwaarde.</w:t>
      </w:r>
    </w:p>
    <w:p w14:paraId="7A18C20D" w14:textId="77777777" w:rsidR="00FF7413" w:rsidRPr="00012BC3" w:rsidRDefault="00FF7413" w:rsidP="00FF7413">
      <w:pPr>
        <w:numPr>
          <w:ilvl w:val="0"/>
          <w:numId w:val="2"/>
        </w:numPr>
        <w:rPr>
          <w:sz w:val="22"/>
          <w:szCs w:val="22"/>
        </w:rPr>
      </w:pPr>
      <w:r w:rsidRPr="00012BC3">
        <w:rPr>
          <w:b/>
          <w:bCs/>
          <w:sz w:val="22"/>
          <w:szCs w:val="22"/>
        </w:rPr>
        <w:t>Inkomen:</w:t>
      </w:r>
      <w:r w:rsidRPr="00012BC3">
        <w:rPr>
          <w:sz w:val="22"/>
          <w:szCs w:val="22"/>
        </w:rPr>
        <w:t xml:space="preserve"> Maandelijkse verdiensten van de inwoner.</w:t>
      </w:r>
    </w:p>
    <w:p w14:paraId="22D96A3B" w14:textId="77777777" w:rsidR="00FF7413" w:rsidRPr="00012BC3" w:rsidRDefault="00FF7413" w:rsidP="00FF7413">
      <w:pPr>
        <w:numPr>
          <w:ilvl w:val="0"/>
          <w:numId w:val="3"/>
        </w:numPr>
        <w:rPr>
          <w:sz w:val="22"/>
          <w:szCs w:val="22"/>
        </w:rPr>
      </w:pPr>
      <w:r w:rsidRPr="00012BC3">
        <w:rPr>
          <w:b/>
          <w:bCs/>
          <w:sz w:val="22"/>
          <w:szCs w:val="22"/>
        </w:rPr>
        <w:t>Uitgaven:</w:t>
      </w:r>
      <w:r w:rsidRPr="00012BC3">
        <w:rPr>
          <w:sz w:val="22"/>
          <w:szCs w:val="22"/>
        </w:rPr>
        <w:t xml:space="preserve"> Maandelijkse kosten van de inwoner. </w:t>
      </w:r>
    </w:p>
    <w:p w14:paraId="09CD1681" w14:textId="77777777" w:rsidR="00FF7413" w:rsidRPr="00012BC3" w:rsidRDefault="00FF7413" w:rsidP="00FF7413">
      <w:pPr>
        <w:numPr>
          <w:ilvl w:val="0"/>
          <w:numId w:val="4"/>
        </w:numPr>
        <w:rPr>
          <w:sz w:val="22"/>
          <w:szCs w:val="22"/>
        </w:rPr>
      </w:pPr>
      <w:r w:rsidRPr="00012BC3">
        <w:rPr>
          <w:b/>
          <w:bCs/>
          <w:sz w:val="22"/>
          <w:szCs w:val="22"/>
        </w:rPr>
        <w:t>Kapitaal:</w:t>
      </w:r>
      <w:r w:rsidRPr="00012BC3">
        <w:rPr>
          <w:sz w:val="22"/>
          <w:szCs w:val="22"/>
        </w:rPr>
        <w:t xml:space="preserve"> Het totale vermogen van de inwoner, wat bepaalt welke investeringen mogelijk zijn.</w:t>
      </w:r>
    </w:p>
    <w:p w14:paraId="1BE507C4" w14:textId="77777777" w:rsidR="00FF7413" w:rsidRPr="00012BC3" w:rsidRDefault="00FF7413" w:rsidP="00FF7413">
      <w:pPr>
        <w:numPr>
          <w:ilvl w:val="0"/>
          <w:numId w:val="5"/>
        </w:numPr>
        <w:rPr>
          <w:sz w:val="22"/>
          <w:szCs w:val="22"/>
        </w:rPr>
      </w:pPr>
      <w:r w:rsidRPr="00012BC3">
        <w:rPr>
          <w:b/>
          <w:bCs/>
          <w:sz w:val="22"/>
          <w:szCs w:val="22"/>
        </w:rPr>
        <w:t>Woning:</w:t>
      </w:r>
      <w:r w:rsidRPr="00012BC3">
        <w:rPr>
          <w:sz w:val="22"/>
          <w:szCs w:val="22"/>
        </w:rPr>
        <w:t xml:space="preserve"> Een referentie naar de woning waarin de inwoner verblijft, zodat hij kennis heeft over de eigenschappen van zijn huis.</w:t>
      </w:r>
    </w:p>
    <w:p w14:paraId="3C67A6D2" w14:textId="77777777" w:rsidR="00FF7413" w:rsidRPr="00012BC3" w:rsidRDefault="00FF7413" w:rsidP="00FF7413">
      <w:pPr>
        <w:numPr>
          <w:ilvl w:val="0"/>
          <w:numId w:val="6"/>
        </w:numPr>
        <w:rPr>
          <w:sz w:val="22"/>
          <w:szCs w:val="22"/>
        </w:rPr>
      </w:pPr>
      <w:proofErr w:type="spellStart"/>
      <w:r w:rsidRPr="00012BC3">
        <w:rPr>
          <w:b/>
          <w:bCs/>
          <w:sz w:val="22"/>
          <w:szCs w:val="22"/>
        </w:rPr>
        <w:t>Utility</w:t>
      </w:r>
      <w:proofErr w:type="spellEnd"/>
      <w:r w:rsidRPr="00012BC3">
        <w:rPr>
          <w:b/>
          <w:bCs/>
          <w:sz w:val="22"/>
          <w:szCs w:val="22"/>
        </w:rPr>
        <w:t>-geschiedenis:</w:t>
      </w:r>
      <w:r w:rsidRPr="00012BC3">
        <w:rPr>
          <w:sz w:val="22"/>
          <w:szCs w:val="22"/>
        </w:rPr>
        <w:t xml:space="preserve"> Een </w:t>
      </w:r>
      <w:proofErr w:type="spellStart"/>
      <w:r w:rsidRPr="00012BC3">
        <w:rPr>
          <w:sz w:val="22"/>
          <w:szCs w:val="22"/>
        </w:rPr>
        <w:t>dictionary</w:t>
      </w:r>
      <w:proofErr w:type="spellEnd"/>
      <w:r w:rsidRPr="00012BC3">
        <w:rPr>
          <w:sz w:val="22"/>
          <w:szCs w:val="22"/>
        </w:rPr>
        <w:t xml:space="preserve"> die bijhoudt hoe de inwoner over tijd scoort op verschillende besluitvormingscriteria. Dit helpt bij het analyseren van gedragsveranderingen en overstapmomenten.</w:t>
      </w:r>
    </w:p>
    <w:p w14:paraId="6F779E1A" w14:textId="77777777" w:rsidR="00FF7413" w:rsidRPr="00012BC3" w:rsidRDefault="00FF7413" w:rsidP="00FF7413">
      <w:pPr>
        <w:pStyle w:val="Kop3"/>
      </w:pPr>
      <w:bookmarkStart w:id="3" w:name="_Toc195655758"/>
      <w:r w:rsidRPr="00012BC3">
        <w:t>Woning</w:t>
      </w:r>
      <w:bookmarkEnd w:id="3"/>
    </w:p>
    <w:p w14:paraId="5AF94727" w14:textId="77777777" w:rsidR="00FF7413" w:rsidRPr="00012BC3" w:rsidRDefault="00FF7413" w:rsidP="00FF7413">
      <w:pPr>
        <w:rPr>
          <w:sz w:val="22"/>
          <w:szCs w:val="22"/>
        </w:rPr>
      </w:pPr>
      <w:r w:rsidRPr="00012BC3">
        <w:t> </w:t>
      </w:r>
      <w:r w:rsidRPr="00012BC3">
        <w:rPr>
          <w:sz w:val="22"/>
          <w:szCs w:val="22"/>
        </w:rPr>
        <w:t>Een woning vormt de fysieke leefomgeving van de inwoner en beïnvloedt diens energiegebruik en -kosten. De belangrijkste kenmerken zijn:</w:t>
      </w:r>
    </w:p>
    <w:p w14:paraId="282B78D0" w14:textId="77777777" w:rsidR="00FF7413" w:rsidRPr="00012BC3" w:rsidRDefault="00FF7413" w:rsidP="00FF7413">
      <w:pPr>
        <w:numPr>
          <w:ilvl w:val="0"/>
          <w:numId w:val="7"/>
        </w:numPr>
        <w:rPr>
          <w:sz w:val="22"/>
          <w:szCs w:val="22"/>
        </w:rPr>
      </w:pPr>
      <w:r w:rsidRPr="00012BC3">
        <w:rPr>
          <w:b/>
          <w:bCs/>
          <w:sz w:val="22"/>
          <w:szCs w:val="22"/>
        </w:rPr>
        <w:t>Type woning:</w:t>
      </w:r>
      <w:r w:rsidRPr="00012BC3">
        <w:rPr>
          <w:sz w:val="22"/>
          <w:szCs w:val="22"/>
        </w:rPr>
        <w:t xml:space="preserve"> Onderscheid tussen huur- en koopwoningen.</w:t>
      </w:r>
    </w:p>
    <w:p w14:paraId="26C68EA4" w14:textId="77777777" w:rsidR="00FF7413" w:rsidRPr="00012BC3" w:rsidRDefault="00FF7413" w:rsidP="00FF7413">
      <w:pPr>
        <w:numPr>
          <w:ilvl w:val="0"/>
          <w:numId w:val="8"/>
        </w:numPr>
        <w:rPr>
          <w:sz w:val="22"/>
          <w:szCs w:val="22"/>
        </w:rPr>
      </w:pPr>
      <w:r w:rsidRPr="00012BC3">
        <w:rPr>
          <w:b/>
          <w:bCs/>
          <w:sz w:val="22"/>
          <w:szCs w:val="22"/>
        </w:rPr>
        <w:t>Huishouden:</w:t>
      </w:r>
      <w:r w:rsidRPr="00012BC3">
        <w:rPr>
          <w:sz w:val="22"/>
          <w:szCs w:val="22"/>
        </w:rPr>
        <w:t xml:space="preserve"> Lijst met alle inwoners die in de woning verblijven.</w:t>
      </w:r>
    </w:p>
    <w:p w14:paraId="2A5B0392" w14:textId="77777777" w:rsidR="00FF7413" w:rsidRPr="00012BC3" w:rsidRDefault="00FF7413" w:rsidP="00FF7413">
      <w:pPr>
        <w:numPr>
          <w:ilvl w:val="0"/>
          <w:numId w:val="9"/>
        </w:numPr>
        <w:rPr>
          <w:sz w:val="22"/>
          <w:szCs w:val="22"/>
        </w:rPr>
      </w:pPr>
      <w:r w:rsidRPr="00012BC3">
        <w:rPr>
          <w:b/>
          <w:bCs/>
          <w:sz w:val="22"/>
          <w:szCs w:val="22"/>
        </w:rPr>
        <w:t>Energiecontract:</w:t>
      </w:r>
      <w:r w:rsidRPr="00012BC3">
        <w:rPr>
          <w:sz w:val="22"/>
          <w:szCs w:val="22"/>
        </w:rPr>
        <w:t xml:space="preserve"> Specificaties over het type energie, de kosten per maand en het opzegtarief, in de vorm van een </w:t>
      </w:r>
      <w:proofErr w:type="spellStart"/>
      <w:r w:rsidRPr="00012BC3">
        <w:rPr>
          <w:sz w:val="22"/>
          <w:szCs w:val="22"/>
        </w:rPr>
        <w:t>dictionary</w:t>
      </w:r>
      <w:proofErr w:type="spellEnd"/>
      <w:r w:rsidRPr="00012BC3">
        <w:rPr>
          <w:sz w:val="22"/>
          <w:szCs w:val="22"/>
        </w:rPr>
        <w:t> </w:t>
      </w:r>
    </w:p>
    <w:p w14:paraId="00A4B14A" w14:textId="77777777" w:rsidR="00FF7413" w:rsidRDefault="00FF7413" w:rsidP="00FF7413">
      <w:pPr>
        <w:numPr>
          <w:ilvl w:val="0"/>
          <w:numId w:val="9"/>
        </w:numPr>
        <w:rPr>
          <w:sz w:val="22"/>
          <w:szCs w:val="22"/>
        </w:rPr>
      </w:pPr>
      <w:proofErr w:type="spellStart"/>
      <w:r w:rsidRPr="05EEF56E">
        <w:rPr>
          <w:b/>
          <w:bCs/>
          <w:sz w:val="22"/>
          <w:szCs w:val="22"/>
        </w:rPr>
        <w:t>Energieopbrenst</w:t>
      </w:r>
      <w:proofErr w:type="spellEnd"/>
      <w:r w:rsidRPr="05EEF56E">
        <w:rPr>
          <w:b/>
          <w:bCs/>
          <w:sz w:val="22"/>
          <w:szCs w:val="22"/>
        </w:rPr>
        <w:t>:</w:t>
      </w:r>
      <w:r w:rsidRPr="05EEF56E">
        <w:rPr>
          <w:sz w:val="22"/>
          <w:szCs w:val="22"/>
        </w:rPr>
        <w:t xml:space="preserve"> Hoeveel energie een </w:t>
      </w:r>
      <w:proofErr w:type="spellStart"/>
      <w:r w:rsidRPr="05EEF56E">
        <w:rPr>
          <w:sz w:val="22"/>
          <w:szCs w:val="22"/>
        </w:rPr>
        <w:t>zonnepanneel</w:t>
      </w:r>
      <w:proofErr w:type="spellEnd"/>
      <w:r w:rsidRPr="05EEF56E">
        <w:rPr>
          <w:sz w:val="22"/>
          <w:szCs w:val="22"/>
        </w:rPr>
        <w:t xml:space="preserve"> van een woning per jaar </w:t>
      </w:r>
      <w:proofErr w:type="spellStart"/>
      <w:r w:rsidRPr="05EEF56E">
        <w:rPr>
          <w:sz w:val="22"/>
          <w:szCs w:val="22"/>
        </w:rPr>
        <w:t>opleverd</w:t>
      </w:r>
      <w:proofErr w:type="spellEnd"/>
      <w:r w:rsidRPr="05EEF56E">
        <w:rPr>
          <w:sz w:val="22"/>
          <w:szCs w:val="22"/>
        </w:rPr>
        <w:t>.</w:t>
      </w:r>
    </w:p>
    <w:p w14:paraId="49320EAB" w14:textId="77777777" w:rsidR="00FF7413" w:rsidRPr="00012BC3" w:rsidRDefault="00FF7413" w:rsidP="00FF7413">
      <w:pPr>
        <w:numPr>
          <w:ilvl w:val="0"/>
          <w:numId w:val="10"/>
        </w:numPr>
        <w:rPr>
          <w:sz w:val="22"/>
          <w:szCs w:val="22"/>
        </w:rPr>
      </w:pPr>
      <w:r w:rsidRPr="00012BC3">
        <w:rPr>
          <w:b/>
          <w:bCs/>
          <w:sz w:val="22"/>
          <w:szCs w:val="22"/>
        </w:rPr>
        <w:t>Energieverbruik:</w:t>
      </w:r>
      <w:r w:rsidRPr="00012BC3">
        <w:rPr>
          <w:sz w:val="22"/>
          <w:szCs w:val="22"/>
        </w:rPr>
        <w:t xml:space="preserve"> Lijst met overzicht van het energieverbruik per tijdstap </w:t>
      </w:r>
    </w:p>
    <w:p w14:paraId="20698519" w14:textId="77777777" w:rsidR="00FF7413" w:rsidRPr="00012BC3" w:rsidRDefault="00FF7413" w:rsidP="00FF7413">
      <w:pPr>
        <w:numPr>
          <w:ilvl w:val="0"/>
          <w:numId w:val="11"/>
        </w:numPr>
        <w:rPr>
          <w:sz w:val="22"/>
          <w:szCs w:val="22"/>
        </w:rPr>
      </w:pPr>
      <w:r w:rsidRPr="00012BC3">
        <w:rPr>
          <w:b/>
          <w:bCs/>
          <w:sz w:val="22"/>
          <w:szCs w:val="22"/>
        </w:rPr>
        <w:t>Kosten:</w:t>
      </w:r>
      <w:r w:rsidRPr="00012BC3">
        <w:rPr>
          <w:sz w:val="22"/>
          <w:szCs w:val="22"/>
        </w:rPr>
        <w:t xml:space="preserve"> De totale maandelijkse woonlasten, inclusief huur of hypotheek, WOZ-belasting en energiekosten. </w:t>
      </w:r>
    </w:p>
    <w:p w14:paraId="0B23E042" w14:textId="77777777" w:rsidR="00FF7413" w:rsidRPr="00012BC3" w:rsidRDefault="00FF7413" w:rsidP="00FF7413">
      <w:pPr>
        <w:numPr>
          <w:ilvl w:val="0"/>
          <w:numId w:val="12"/>
        </w:numPr>
        <w:rPr>
          <w:sz w:val="22"/>
          <w:szCs w:val="22"/>
        </w:rPr>
      </w:pPr>
      <w:r w:rsidRPr="00012BC3">
        <w:rPr>
          <w:b/>
          <w:bCs/>
          <w:sz w:val="22"/>
          <w:szCs w:val="22"/>
        </w:rPr>
        <w:lastRenderedPageBreak/>
        <w:t>Buren:</w:t>
      </w:r>
      <w:r w:rsidRPr="00012BC3">
        <w:rPr>
          <w:sz w:val="22"/>
          <w:szCs w:val="22"/>
        </w:rPr>
        <w:t xml:space="preserve"> Een lijst met nabijgelegen woningen, zodat sociale invloed op energiegedrag gemodelleerd kan worden.</w:t>
      </w:r>
    </w:p>
    <w:p w14:paraId="7A5F0516" w14:textId="77777777" w:rsidR="00FF7413" w:rsidRPr="00012BC3" w:rsidRDefault="00FF7413" w:rsidP="00FF7413">
      <w:pPr>
        <w:pStyle w:val="Kop3"/>
      </w:pPr>
      <w:bookmarkStart w:id="4" w:name="_Toc195655759"/>
      <w:r w:rsidRPr="00012BC3">
        <w:t>Woonwijk</w:t>
      </w:r>
      <w:bookmarkEnd w:id="4"/>
    </w:p>
    <w:p w14:paraId="2A531747" w14:textId="77777777" w:rsidR="00FF7413" w:rsidRPr="00012BC3" w:rsidRDefault="00FF7413" w:rsidP="00FF7413">
      <w:pPr>
        <w:rPr>
          <w:sz w:val="22"/>
          <w:szCs w:val="22"/>
        </w:rPr>
      </w:pPr>
      <w:r w:rsidRPr="00012BC3">
        <w:rPr>
          <w:sz w:val="22"/>
          <w:szCs w:val="22"/>
        </w:rPr>
        <w:t>De woonwijk vormt de bredere omgeving waarin inwoners en woningen zich bevinden. Dit niveau bevat informatie die invloed heeft op de gehele simulatie:</w:t>
      </w:r>
    </w:p>
    <w:p w14:paraId="50B0C30D" w14:textId="77777777" w:rsidR="00FF7413" w:rsidRPr="00012BC3" w:rsidRDefault="00FF7413" w:rsidP="00FF7413">
      <w:pPr>
        <w:numPr>
          <w:ilvl w:val="0"/>
          <w:numId w:val="13"/>
        </w:numPr>
        <w:rPr>
          <w:sz w:val="22"/>
          <w:szCs w:val="22"/>
        </w:rPr>
      </w:pPr>
      <w:r w:rsidRPr="00012BC3">
        <w:rPr>
          <w:b/>
          <w:bCs/>
          <w:sz w:val="22"/>
          <w:szCs w:val="22"/>
        </w:rPr>
        <w:t>Woningen:</w:t>
      </w:r>
      <w:r w:rsidRPr="00012BC3">
        <w:rPr>
          <w:sz w:val="22"/>
          <w:szCs w:val="22"/>
        </w:rPr>
        <w:t xml:space="preserve"> Een lijst met alle woning-objecten binnen de wijk, waarmee inzicht wordt verkregen in energiecontracten en bewoners.</w:t>
      </w:r>
    </w:p>
    <w:p w14:paraId="2837B5C5" w14:textId="77777777" w:rsidR="00FF7413" w:rsidRPr="00012BC3" w:rsidRDefault="00FF7413" w:rsidP="00FF7413">
      <w:pPr>
        <w:numPr>
          <w:ilvl w:val="0"/>
          <w:numId w:val="14"/>
        </w:numPr>
        <w:rPr>
          <w:sz w:val="22"/>
          <w:szCs w:val="22"/>
        </w:rPr>
      </w:pPr>
      <w:r w:rsidRPr="00012BC3">
        <w:rPr>
          <w:b/>
          <w:bCs/>
          <w:sz w:val="22"/>
          <w:szCs w:val="22"/>
        </w:rPr>
        <w:t>Energieprijzen:</w:t>
      </w:r>
      <w:r w:rsidRPr="00012BC3">
        <w:rPr>
          <w:sz w:val="22"/>
          <w:szCs w:val="22"/>
        </w:rPr>
        <w:t xml:space="preserve"> Een </w:t>
      </w:r>
      <w:proofErr w:type="spellStart"/>
      <w:r w:rsidRPr="00012BC3">
        <w:rPr>
          <w:sz w:val="22"/>
          <w:szCs w:val="22"/>
        </w:rPr>
        <w:t>dictionary</w:t>
      </w:r>
      <w:proofErr w:type="spellEnd"/>
      <w:r w:rsidRPr="00012BC3">
        <w:rPr>
          <w:sz w:val="22"/>
          <w:szCs w:val="22"/>
        </w:rPr>
        <w:t xml:space="preserve"> met de maandelijkse kosten voor ieder type energieaansluiting. De prijzen van de beschikbare energiecontracten zullen hierop gebaseerd worden </w:t>
      </w:r>
      <w:r w:rsidRPr="05EEF56E">
        <w:rPr>
          <w:sz w:val="22"/>
          <w:szCs w:val="22"/>
        </w:rPr>
        <w:t>.</w:t>
      </w:r>
    </w:p>
    <w:p w14:paraId="7C451D8E" w14:textId="77777777" w:rsidR="00FF7413" w:rsidRPr="00012BC3" w:rsidRDefault="00FF7413" w:rsidP="00FF7413">
      <w:pPr>
        <w:numPr>
          <w:ilvl w:val="0"/>
          <w:numId w:val="15"/>
        </w:numPr>
        <w:rPr>
          <w:sz w:val="22"/>
          <w:szCs w:val="22"/>
        </w:rPr>
      </w:pPr>
      <w:r w:rsidRPr="00012BC3">
        <w:rPr>
          <w:b/>
          <w:bCs/>
          <w:sz w:val="22"/>
          <w:szCs w:val="22"/>
        </w:rPr>
        <w:t xml:space="preserve">Event-geschiedenis: </w:t>
      </w:r>
      <w:r w:rsidRPr="00012BC3">
        <w:rPr>
          <w:sz w:val="22"/>
          <w:szCs w:val="22"/>
        </w:rPr>
        <w:t>Een verzameling macro-economische en maatschappelijke gebeurtenissen die invloed hebben op de simulatie. Denk hierbij aan veranderingen in wetgeving, prijsfluctuaties en technologische ontwikkelingen die de overstap naar duurzame energie beïnvloeden.</w:t>
      </w:r>
    </w:p>
    <w:p w14:paraId="028BCC5F" w14:textId="77777777" w:rsidR="00FF7413" w:rsidRPr="00012BC3" w:rsidRDefault="00FF7413" w:rsidP="00F077E6">
      <w:pPr>
        <w:pStyle w:val="Kop1"/>
      </w:pPr>
      <w:bookmarkStart w:id="5" w:name="_Toc195655760"/>
      <w:r w:rsidRPr="00012BC3">
        <w:t>Beslismodel en gedragsregels</w:t>
      </w:r>
      <w:bookmarkEnd w:id="5"/>
    </w:p>
    <w:p w14:paraId="482C0EAF" w14:textId="77777777" w:rsidR="00FF7413" w:rsidRPr="00012BC3" w:rsidRDefault="00FF7413" w:rsidP="00FF7413">
      <w:pPr>
        <w:pStyle w:val="Kop3"/>
      </w:pPr>
      <w:bookmarkStart w:id="6" w:name="_Toc195655761"/>
      <w:proofErr w:type="spellStart"/>
      <w:r w:rsidRPr="00012BC3">
        <w:t>Theory</w:t>
      </w:r>
      <w:proofErr w:type="spellEnd"/>
      <w:r w:rsidRPr="00012BC3">
        <w:t xml:space="preserve"> of </w:t>
      </w:r>
      <w:proofErr w:type="spellStart"/>
      <w:r w:rsidRPr="00012BC3">
        <w:t>Planned</w:t>
      </w:r>
      <w:proofErr w:type="spellEnd"/>
      <w:r w:rsidRPr="00012BC3">
        <w:t xml:space="preserve"> </w:t>
      </w:r>
      <w:proofErr w:type="spellStart"/>
      <w:r w:rsidRPr="00012BC3">
        <w:t>Behavior</w:t>
      </w:r>
      <w:bookmarkEnd w:id="6"/>
      <w:proofErr w:type="spellEnd"/>
    </w:p>
    <w:p w14:paraId="5D3C35ED" w14:textId="77777777" w:rsidR="00FF7413" w:rsidRPr="00012BC3" w:rsidRDefault="00FF7413" w:rsidP="00FF7413">
      <w:pPr>
        <w:rPr>
          <w:sz w:val="22"/>
          <w:szCs w:val="22"/>
        </w:rPr>
      </w:pPr>
      <w:r w:rsidRPr="00012BC3">
        <w:rPr>
          <w:sz w:val="22"/>
          <w:szCs w:val="22"/>
        </w:rPr>
        <w:t xml:space="preserve">In overleg met de product </w:t>
      </w:r>
      <w:proofErr w:type="spellStart"/>
      <w:r w:rsidRPr="00012BC3">
        <w:rPr>
          <w:sz w:val="22"/>
          <w:szCs w:val="22"/>
        </w:rPr>
        <w:t>owner</w:t>
      </w:r>
      <w:proofErr w:type="spellEnd"/>
      <w:r w:rsidRPr="00012BC3">
        <w:rPr>
          <w:sz w:val="22"/>
          <w:szCs w:val="22"/>
        </w:rPr>
        <w:t xml:space="preserve"> is vastgesteld dat de keuze van een agent om over te stappen naar een duurzame energiebron voor zijn woning, verklaart moet worden met het </w:t>
      </w:r>
      <w:proofErr w:type="spellStart"/>
      <w:r w:rsidRPr="00012BC3">
        <w:rPr>
          <w:sz w:val="22"/>
          <w:szCs w:val="22"/>
        </w:rPr>
        <w:t>Theory</w:t>
      </w:r>
      <w:proofErr w:type="spellEnd"/>
      <w:r w:rsidRPr="00012BC3">
        <w:rPr>
          <w:sz w:val="22"/>
          <w:szCs w:val="22"/>
        </w:rPr>
        <w:t xml:space="preserve"> of </w:t>
      </w:r>
      <w:proofErr w:type="spellStart"/>
      <w:r w:rsidRPr="00012BC3">
        <w:rPr>
          <w:sz w:val="22"/>
          <w:szCs w:val="22"/>
        </w:rPr>
        <w:t>Planned</w:t>
      </w:r>
      <w:proofErr w:type="spellEnd"/>
      <w:r w:rsidRPr="00012BC3">
        <w:rPr>
          <w:sz w:val="22"/>
          <w:szCs w:val="22"/>
        </w:rPr>
        <w:t xml:space="preserve"> </w:t>
      </w:r>
      <w:proofErr w:type="spellStart"/>
      <w:r w:rsidRPr="00012BC3">
        <w:rPr>
          <w:sz w:val="22"/>
          <w:szCs w:val="22"/>
        </w:rPr>
        <w:t>Behavior</w:t>
      </w:r>
      <w:proofErr w:type="spellEnd"/>
      <w:r w:rsidRPr="00012BC3">
        <w:rPr>
          <w:sz w:val="22"/>
          <w:szCs w:val="22"/>
        </w:rPr>
        <w:t xml:space="preserve"> (TPB) gedragsmodel. De TPB stelt dat het gedrag van een individu voortkomt uit de intentie om dat gedrag uit te voeren (</w:t>
      </w:r>
      <w:proofErr w:type="spellStart"/>
      <w:r w:rsidRPr="00012BC3">
        <w:rPr>
          <w:sz w:val="22"/>
          <w:szCs w:val="22"/>
        </w:rPr>
        <w:t>Ajzen</w:t>
      </w:r>
      <w:proofErr w:type="spellEnd"/>
      <w:r w:rsidRPr="00012BC3">
        <w:rPr>
          <w:sz w:val="22"/>
          <w:szCs w:val="22"/>
        </w:rPr>
        <w:t xml:space="preserve">, 1991). De beslissing van de agent wordt beïnvloed door drie kernfactoren, die geïntroduceerd zijn door de product </w:t>
      </w:r>
      <w:proofErr w:type="spellStart"/>
      <w:r w:rsidRPr="00012BC3">
        <w:rPr>
          <w:sz w:val="22"/>
          <w:szCs w:val="22"/>
        </w:rPr>
        <w:t>owner</w:t>
      </w:r>
      <w:proofErr w:type="spellEnd"/>
      <w:r w:rsidRPr="00012BC3">
        <w:rPr>
          <w:sz w:val="22"/>
          <w:szCs w:val="22"/>
        </w:rPr>
        <w:t>. De drie kernfactoren zijn professioneel herzien, en kunnen worden omschreven als:</w:t>
      </w:r>
    </w:p>
    <w:p w14:paraId="69EDBA95" w14:textId="77777777" w:rsidR="00FF7413" w:rsidRPr="00012BC3" w:rsidRDefault="00FF7413" w:rsidP="00FF7413">
      <w:pPr>
        <w:numPr>
          <w:ilvl w:val="0"/>
          <w:numId w:val="16"/>
        </w:numPr>
        <w:rPr>
          <w:sz w:val="22"/>
          <w:szCs w:val="22"/>
        </w:rPr>
      </w:pPr>
      <w:r w:rsidRPr="00012BC3">
        <w:rPr>
          <w:b/>
          <w:bCs/>
          <w:sz w:val="22"/>
          <w:szCs w:val="22"/>
        </w:rPr>
        <w:t>Attitude (AT)</w:t>
      </w:r>
      <w:r w:rsidRPr="00012BC3">
        <w:rPr>
          <w:sz w:val="22"/>
          <w:szCs w:val="22"/>
        </w:rPr>
        <w:t>: De houding van de agent ten opzichte van duurzame energie.</w:t>
      </w:r>
    </w:p>
    <w:p w14:paraId="601BDF23" w14:textId="77777777" w:rsidR="00FF7413" w:rsidRPr="00012BC3" w:rsidRDefault="00FF7413" w:rsidP="00FF7413">
      <w:pPr>
        <w:numPr>
          <w:ilvl w:val="0"/>
          <w:numId w:val="16"/>
        </w:numPr>
        <w:rPr>
          <w:sz w:val="22"/>
          <w:szCs w:val="22"/>
        </w:rPr>
      </w:pPr>
      <w:proofErr w:type="spellStart"/>
      <w:r w:rsidRPr="00012BC3">
        <w:rPr>
          <w:b/>
          <w:bCs/>
          <w:sz w:val="22"/>
          <w:szCs w:val="22"/>
        </w:rPr>
        <w:t>Subjective</w:t>
      </w:r>
      <w:proofErr w:type="spellEnd"/>
      <w:r w:rsidRPr="00012BC3">
        <w:rPr>
          <w:b/>
          <w:bCs/>
          <w:sz w:val="22"/>
          <w:szCs w:val="22"/>
        </w:rPr>
        <w:t xml:space="preserve"> norm (SN)</w:t>
      </w:r>
      <w:r w:rsidRPr="00012BC3">
        <w:rPr>
          <w:sz w:val="22"/>
          <w:szCs w:val="22"/>
        </w:rPr>
        <w:t>: De sociale druk die de agent ervaart op basis van het gedrag en de mening van de buren.</w:t>
      </w:r>
    </w:p>
    <w:p w14:paraId="284C28F8" w14:textId="77777777" w:rsidR="00FF7413" w:rsidRPr="00012BC3" w:rsidRDefault="00FF7413" w:rsidP="00FF7413">
      <w:pPr>
        <w:numPr>
          <w:ilvl w:val="0"/>
          <w:numId w:val="16"/>
        </w:numPr>
        <w:rPr>
          <w:sz w:val="22"/>
          <w:szCs w:val="22"/>
        </w:rPr>
      </w:pPr>
      <w:proofErr w:type="spellStart"/>
      <w:r w:rsidRPr="00012BC3">
        <w:rPr>
          <w:b/>
          <w:bCs/>
          <w:sz w:val="22"/>
          <w:szCs w:val="22"/>
        </w:rPr>
        <w:t>Perceived</w:t>
      </w:r>
      <w:proofErr w:type="spellEnd"/>
      <w:r w:rsidRPr="00012BC3">
        <w:rPr>
          <w:b/>
          <w:bCs/>
          <w:sz w:val="22"/>
          <w:szCs w:val="22"/>
        </w:rPr>
        <w:t xml:space="preserve"> </w:t>
      </w:r>
      <w:proofErr w:type="spellStart"/>
      <w:r w:rsidRPr="00012BC3">
        <w:rPr>
          <w:b/>
          <w:bCs/>
          <w:sz w:val="22"/>
          <w:szCs w:val="22"/>
        </w:rPr>
        <w:t>Behavioral</w:t>
      </w:r>
      <w:proofErr w:type="spellEnd"/>
      <w:r w:rsidRPr="00012BC3">
        <w:rPr>
          <w:b/>
          <w:bCs/>
          <w:sz w:val="22"/>
          <w:szCs w:val="22"/>
        </w:rPr>
        <w:t xml:space="preserve"> Control (PBC)</w:t>
      </w:r>
      <w:r w:rsidRPr="00012BC3">
        <w:rPr>
          <w:sz w:val="22"/>
          <w:szCs w:val="22"/>
        </w:rPr>
        <w:t>: De financiële haalbaarheid van de overstap, waaronder betaalbaarheid, terugverdientijd en economische voordelen.</w:t>
      </w:r>
    </w:p>
    <w:p w14:paraId="0CCC711D" w14:textId="77777777" w:rsidR="00FF7413" w:rsidRPr="00012BC3" w:rsidRDefault="00FF7413" w:rsidP="00FF7413">
      <w:pPr>
        <w:rPr>
          <w:sz w:val="22"/>
          <w:szCs w:val="22"/>
        </w:rPr>
      </w:pPr>
      <w:r w:rsidRPr="00012BC3">
        <w:rPr>
          <w:sz w:val="22"/>
          <w:szCs w:val="22"/>
        </w:rPr>
        <w:t>Deze kernfactoren vertonen sterke overeenkomsten met de factoren uit een onderzoek uit 2017 naar recyclinggedrag binnen het TPB-model (</w:t>
      </w:r>
      <w:proofErr w:type="spellStart"/>
      <w:r w:rsidRPr="00012BC3">
        <w:rPr>
          <w:sz w:val="22"/>
          <w:szCs w:val="22"/>
        </w:rPr>
        <w:t>Scalco</w:t>
      </w:r>
      <w:proofErr w:type="spellEnd"/>
      <w:r w:rsidRPr="00012BC3">
        <w:rPr>
          <w:sz w:val="22"/>
          <w:szCs w:val="22"/>
        </w:rPr>
        <w:t xml:space="preserve"> et al., 2017). In dat onderzoek werd onderzocht hoe de intentie van huishoudens om te recyclen wordt beïnvloed door attitude, subjectieve norm, </w:t>
      </w:r>
      <w:proofErr w:type="spellStart"/>
      <w:r w:rsidRPr="00012BC3">
        <w:rPr>
          <w:sz w:val="22"/>
          <w:szCs w:val="22"/>
        </w:rPr>
        <w:t>perceived</w:t>
      </w:r>
      <w:proofErr w:type="spellEnd"/>
      <w:r w:rsidRPr="00012BC3">
        <w:rPr>
          <w:sz w:val="22"/>
          <w:szCs w:val="22"/>
        </w:rPr>
        <w:t xml:space="preserve"> </w:t>
      </w:r>
      <w:proofErr w:type="spellStart"/>
      <w:r w:rsidRPr="00012BC3">
        <w:rPr>
          <w:sz w:val="22"/>
          <w:szCs w:val="22"/>
        </w:rPr>
        <w:t>behavioral</w:t>
      </w:r>
      <w:proofErr w:type="spellEnd"/>
      <w:r w:rsidRPr="00012BC3">
        <w:rPr>
          <w:sz w:val="22"/>
          <w:szCs w:val="22"/>
        </w:rPr>
        <w:t xml:space="preserve"> control en </w:t>
      </w:r>
      <w:proofErr w:type="spellStart"/>
      <w:r w:rsidRPr="00012BC3">
        <w:rPr>
          <w:sz w:val="22"/>
          <w:szCs w:val="22"/>
        </w:rPr>
        <w:t>moral</w:t>
      </w:r>
      <w:proofErr w:type="spellEnd"/>
      <w:r w:rsidRPr="00012BC3">
        <w:rPr>
          <w:sz w:val="22"/>
          <w:szCs w:val="22"/>
        </w:rPr>
        <w:t xml:space="preserve"> </w:t>
      </w:r>
      <w:proofErr w:type="spellStart"/>
      <w:r w:rsidRPr="00012BC3">
        <w:rPr>
          <w:sz w:val="22"/>
          <w:szCs w:val="22"/>
        </w:rPr>
        <w:t>obligation</w:t>
      </w:r>
      <w:proofErr w:type="spellEnd"/>
      <w:r w:rsidRPr="00012BC3">
        <w:rPr>
          <w:sz w:val="22"/>
          <w:szCs w:val="22"/>
        </w:rPr>
        <w:t xml:space="preserve">. Attitude en subjectieve norm komen direct overeen met de factoren die in ons onderzoek worden gebruikt, terwijl </w:t>
      </w:r>
      <w:proofErr w:type="spellStart"/>
      <w:r w:rsidRPr="00012BC3">
        <w:rPr>
          <w:sz w:val="22"/>
          <w:szCs w:val="22"/>
        </w:rPr>
        <w:t>perceived</w:t>
      </w:r>
      <w:proofErr w:type="spellEnd"/>
      <w:r w:rsidRPr="00012BC3">
        <w:rPr>
          <w:sz w:val="22"/>
          <w:szCs w:val="22"/>
        </w:rPr>
        <w:t xml:space="preserve"> </w:t>
      </w:r>
      <w:proofErr w:type="spellStart"/>
      <w:r w:rsidRPr="00012BC3">
        <w:rPr>
          <w:sz w:val="22"/>
          <w:szCs w:val="22"/>
        </w:rPr>
        <w:t>behavioral</w:t>
      </w:r>
      <w:proofErr w:type="spellEnd"/>
      <w:r w:rsidRPr="00012BC3">
        <w:rPr>
          <w:sz w:val="22"/>
          <w:szCs w:val="22"/>
        </w:rPr>
        <w:t xml:space="preserve"> control een alternatieve invulling vormt van de factor, die in het recyclingonderzoek verwees naar de mate waarin iemand recycling als praktisch haalbaar beschouwt.</w:t>
      </w:r>
    </w:p>
    <w:p w14:paraId="1A1C0FCC" w14:textId="77777777" w:rsidR="00FF7413" w:rsidRPr="00012BC3" w:rsidRDefault="00FF7413" w:rsidP="00FF7413">
      <w:pPr>
        <w:rPr>
          <w:sz w:val="22"/>
          <w:szCs w:val="22"/>
        </w:rPr>
      </w:pPr>
      <w:r w:rsidRPr="00012BC3">
        <w:rPr>
          <w:sz w:val="22"/>
          <w:szCs w:val="22"/>
        </w:rPr>
        <w:t xml:space="preserve">Net zoals het TPB-model in het eerdere onderzoek werd toegepast om recyclinggedrag te verklaren, biedt het ook een solide theoretisch kader voor het begrijpen van de overstap naar duurzame energie. Beide situaties betreffen een gedragsverandering richting een duurzamer </w:t>
      </w:r>
      <w:r w:rsidRPr="00012BC3">
        <w:rPr>
          <w:sz w:val="22"/>
          <w:szCs w:val="22"/>
        </w:rPr>
        <w:lastRenderedPageBreak/>
        <w:t xml:space="preserve">alternatief, waarbij sociale normen, persoonlijke overtuigingen en praktische haalbaarheid een doorslaggevende rol spelen. </w:t>
      </w:r>
    </w:p>
    <w:p w14:paraId="4196C9AB" w14:textId="77777777" w:rsidR="00FF7413" w:rsidRPr="00012BC3" w:rsidRDefault="00FF7413" w:rsidP="00FF7413">
      <w:pPr>
        <w:pStyle w:val="Kop3"/>
      </w:pPr>
      <w:bookmarkStart w:id="7" w:name="_Toc195655762"/>
      <w:r w:rsidRPr="00012BC3">
        <w:t>Toepassing en besluitvorming</w:t>
      </w:r>
      <w:bookmarkEnd w:id="7"/>
    </w:p>
    <w:p w14:paraId="50C386AD" w14:textId="77777777" w:rsidR="00FF7413" w:rsidRPr="00012BC3" w:rsidRDefault="00FF7413" w:rsidP="00FF7413">
      <w:pPr>
        <w:rPr>
          <w:sz w:val="22"/>
          <w:szCs w:val="22"/>
        </w:rPr>
      </w:pPr>
      <w:r w:rsidRPr="00012BC3">
        <w:rPr>
          <w:sz w:val="22"/>
          <w:szCs w:val="22"/>
        </w:rPr>
        <w:t>Een agent zal overstappen wanneer deze “tevreden” is volgens de waarden die de kernfactoren aannemen. De tevredenheid of intentie van een agent zullen berekend worden met de volgende formule:</w:t>
      </w:r>
    </w:p>
    <w:p w14:paraId="781287B7" w14:textId="77777777" w:rsidR="00FF7413" w:rsidRPr="00012BC3" w:rsidRDefault="00FF7413" w:rsidP="00FF7413">
      <w:pPr>
        <w:rPr>
          <w:sz w:val="22"/>
          <w:szCs w:val="22"/>
        </w:rPr>
      </w:pPr>
      <m:oMathPara>
        <m:oMath>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AT</m:t>
              </m:r>
            </m:sub>
          </m:sSub>
          <m:r>
            <w:rPr>
              <w:rFonts w:ascii="Cambria Math" w:hAnsi="Cambria Math"/>
              <w:sz w:val="22"/>
              <w:szCs w:val="22"/>
            </w:rPr>
            <m:t>∙AT+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SN</m:t>
              </m:r>
            </m:sub>
          </m:sSub>
          <m:r>
            <w:rPr>
              <w:rFonts w:ascii="Cambria Math" w:hAnsi="Cambria Math"/>
              <w:sz w:val="22"/>
              <w:szCs w:val="22"/>
            </w:rPr>
            <m:t>∙SN+</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PBC</m:t>
              </m:r>
            </m:sub>
          </m:sSub>
          <m:r>
            <w:rPr>
              <w:rFonts w:ascii="Cambria Math" w:hAnsi="Cambria Math"/>
              <w:sz w:val="22"/>
              <w:szCs w:val="22"/>
            </w:rPr>
            <m:t>∙PBC</m:t>
          </m:r>
        </m:oMath>
      </m:oMathPara>
    </w:p>
    <w:p w14:paraId="79ED74C2" w14:textId="77777777" w:rsidR="00FF7413" w:rsidRPr="00012BC3" w:rsidRDefault="00FF7413" w:rsidP="00FF7413">
      <w:pPr>
        <w:rPr>
          <w:sz w:val="22"/>
          <w:szCs w:val="22"/>
        </w:rPr>
      </w:pPr>
      <w:r w:rsidRPr="00012BC3">
        <w:rPr>
          <w:sz w:val="22"/>
          <w:szCs w:val="22"/>
        </w:rPr>
        <w:t>Waarbij:</w:t>
      </w:r>
    </w:p>
    <w:p w14:paraId="25A52B4B" w14:textId="77777777" w:rsidR="00FF7413" w:rsidRPr="00012BC3" w:rsidRDefault="00FF7413" w:rsidP="00FF7413">
      <w:pPr>
        <w:pStyle w:val="Lijstalinea"/>
        <w:numPr>
          <w:ilvl w:val="0"/>
          <w:numId w:val="17"/>
        </w:numPr>
        <w:rPr>
          <w:rFonts w:eastAsiaTheme="minorEastAsia"/>
          <w:sz w:val="22"/>
          <w:szCs w:val="22"/>
        </w:rPr>
      </w:pPr>
      <m:oMath>
        <m:r>
          <w:rPr>
            <w:rFonts w:ascii="Cambria Math" w:hAnsi="Cambria Math"/>
            <w:sz w:val="22"/>
            <w:szCs w:val="22"/>
          </w:rPr>
          <m:t>I</m:t>
        </m:r>
      </m:oMath>
      <w:r w:rsidRPr="00012BC3">
        <w:rPr>
          <w:rFonts w:eastAsiaTheme="minorEastAsia"/>
          <w:sz w:val="22"/>
          <w:szCs w:val="22"/>
        </w:rPr>
        <w:t xml:space="preserve"> de intentie voor de agent vertegenwoordigt om over te stappen.</w:t>
      </w:r>
    </w:p>
    <w:p w14:paraId="4C7A969D" w14:textId="77777777" w:rsidR="00FF7413" w:rsidRPr="00012BC3" w:rsidRDefault="00000000" w:rsidP="00FF7413">
      <w:pPr>
        <w:pStyle w:val="Lijstalinea"/>
        <w:numPr>
          <w:ilvl w:val="0"/>
          <w:numId w:val="17"/>
        </w:num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AT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SN</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PBC</m:t>
            </m:r>
          </m:sub>
        </m:sSub>
      </m:oMath>
      <w:r w:rsidR="00FF7413" w:rsidRPr="00012BC3">
        <w:rPr>
          <w:rFonts w:eastAsiaTheme="minorEastAsia"/>
          <w:sz w:val="22"/>
          <w:szCs w:val="22"/>
        </w:rPr>
        <w:t xml:space="preserve"> de wegingen van de factoren zijn, die per agent kunnen verschillen.</w:t>
      </w:r>
    </w:p>
    <w:p w14:paraId="15F0F1FC" w14:textId="77777777" w:rsidR="00FF7413" w:rsidRPr="00012BC3" w:rsidRDefault="00FF7413" w:rsidP="00FF7413">
      <w:pPr>
        <w:pStyle w:val="Lijstalinea"/>
        <w:numPr>
          <w:ilvl w:val="0"/>
          <w:numId w:val="17"/>
        </w:numPr>
        <w:rPr>
          <w:rFonts w:eastAsiaTheme="minorEastAsia"/>
          <w:sz w:val="22"/>
          <w:szCs w:val="22"/>
        </w:rPr>
      </w:pPr>
      <m:oMath>
        <m:r>
          <w:rPr>
            <w:rFonts w:ascii="Cambria Math" w:hAnsi="Cambria Math"/>
            <w:sz w:val="22"/>
            <w:szCs w:val="22"/>
          </w:rPr>
          <m:t>AT, SN, PBC</m:t>
        </m:r>
      </m:oMath>
      <w:r w:rsidRPr="00012BC3">
        <w:rPr>
          <w:rFonts w:eastAsiaTheme="minorEastAsia"/>
          <w:sz w:val="22"/>
          <w:szCs w:val="22"/>
        </w:rPr>
        <w:t xml:space="preserve"> de respectieve waarden van de factoren zijn.</w:t>
      </w:r>
    </w:p>
    <w:p w14:paraId="57800811" w14:textId="77777777" w:rsidR="00FF7413" w:rsidRPr="00012BC3" w:rsidRDefault="00FF7413" w:rsidP="00FF7413">
      <w:pPr>
        <w:rPr>
          <w:sz w:val="22"/>
          <w:szCs w:val="22"/>
        </w:rPr>
      </w:pPr>
      <w:r w:rsidRPr="00012BC3">
        <w:rPr>
          <w:sz w:val="22"/>
          <w:szCs w:val="22"/>
        </w:rPr>
        <w:t xml:space="preserve">De factoren </w:t>
      </w:r>
      <m:oMath>
        <m:r>
          <w:rPr>
            <w:rFonts w:ascii="Cambria Math" w:hAnsi="Cambria Math"/>
            <w:sz w:val="22"/>
            <w:szCs w:val="22"/>
          </w:rPr>
          <m:t>AT, SN, PBC</m:t>
        </m:r>
      </m:oMath>
      <w:r w:rsidRPr="00012BC3">
        <w:rPr>
          <w:sz w:val="22"/>
          <w:szCs w:val="22"/>
        </w:rPr>
        <w:t xml:space="preserve"> hebben een waarde tussen 0 en 1, waarmee wordt uitgedrukt hoe gunstig de overstap naar duurzame energie is voor de agent. Daarnaast krijgt elke agent een unieke set willekeurig bepaalde wegingen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AT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SN</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PBC</m:t>
            </m:r>
          </m:sub>
        </m:sSub>
      </m:oMath>
      <w:r w:rsidRPr="00012BC3">
        <w:rPr>
          <w:rFonts w:ascii="Arial" w:hAnsi="Arial" w:cs="Arial"/>
          <w:sz w:val="22"/>
          <w:szCs w:val="22"/>
        </w:rPr>
        <w:t>​</w:t>
      </w:r>
      <w:r w:rsidRPr="00012BC3">
        <w:rPr>
          <w:sz w:val="22"/>
          <w:szCs w:val="22"/>
        </w:rPr>
        <w:t>, die eveneens een waarde tussen 0 en 1 kunnen aannemen. Deze wegingen representeren hoeveel waarde een agent hecht aan de verschillende factoren, en bepalen hoe zwaar een agent de verschillende factoren meeweegt in zijn besluitvorming.</w:t>
      </w:r>
    </w:p>
    <w:p w14:paraId="65C264DE" w14:textId="77777777" w:rsidR="00FF7413" w:rsidRPr="00012BC3" w:rsidRDefault="00FF7413" w:rsidP="00FF7413">
      <w:r w:rsidRPr="00012BC3">
        <w:rPr>
          <w:sz w:val="22"/>
          <w:szCs w:val="22"/>
        </w:rPr>
        <w:t xml:space="preserve">Een agent zal overstappen naar een duurzame energiebron zodra de berekende intentiewaarde </w:t>
      </w:r>
      <m:oMath>
        <m:r>
          <w:rPr>
            <w:rFonts w:ascii="Cambria Math" w:hAnsi="Cambria Math"/>
            <w:sz w:val="22"/>
            <w:szCs w:val="22"/>
          </w:rPr>
          <m:t>I</m:t>
        </m:r>
      </m:oMath>
      <w:r w:rsidRPr="00012BC3">
        <w:rPr>
          <w:sz w:val="22"/>
          <w:szCs w:val="22"/>
        </w:rPr>
        <w:t xml:space="preserve"> hoger is dan een vooraf ingestelde threshold. Deze threshold vertegenwoordigt de minimale motivatie die nodig is om de overstap daadwerkelijk te maken. Bij elke tijdstap wordt de intentie opnieuw berekend op basis van de huidige waarden van attitude, subjectieve norm en perceived behavioural control. Zodra </w:t>
      </w:r>
      <m:oMath>
        <m:r>
          <w:rPr>
            <w:rFonts w:ascii="Cambria Math" w:hAnsi="Cambria Math"/>
            <w:sz w:val="22"/>
            <w:szCs w:val="22"/>
          </w:rPr>
          <m:t>I</m:t>
        </m:r>
      </m:oMath>
      <w:r w:rsidRPr="00012BC3">
        <w:rPr>
          <w:sz w:val="22"/>
          <w:szCs w:val="22"/>
        </w:rPr>
        <w:t xml:space="preserve"> de drempel overschrijdt, neemt de agent de beslissing om over te stappen.</w:t>
      </w:r>
      <w:r w:rsidRPr="00012BC3">
        <w:t xml:space="preserve"> </w:t>
      </w:r>
    </w:p>
    <w:p w14:paraId="6DA479AE" w14:textId="77777777" w:rsidR="00FF7413" w:rsidRPr="00012BC3" w:rsidRDefault="00FF7413" w:rsidP="00FF7413">
      <w:pPr>
        <w:pStyle w:val="Kop3"/>
      </w:pPr>
      <w:bookmarkStart w:id="8" w:name="_Toc195655763"/>
      <w:r w:rsidRPr="00012BC3">
        <w:t>Besluitvorming binnen een huishouden</w:t>
      </w:r>
      <w:bookmarkEnd w:id="8"/>
    </w:p>
    <w:p w14:paraId="59DCEAAA" w14:textId="77777777" w:rsidR="00FF7413" w:rsidRPr="00012BC3" w:rsidRDefault="00FF7413" w:rsidP="00FF7413">
      <w:pPr>
        <w:rPr>
          <w:sz w:val="22"/>
          <w:szCs w:val="22"/>
        </w:rPr>
      </w:pPr>
      <w:r w:rsidRPr="00012BC3">
        <w:rPr>
          <w:sz w:val="22"/>
          <w:szCs w:val="22"/>
        </w:rPr>
        <w:t xml:space="preserve">In een huishouden met meerdere inwoners wordt de gezamenlijke intentie om over te stappen op duurzame energie bepaald door de individuele intentiewaarden </w:t>
      </w:r>
      <m:oMath>
        <m:r>
          <w:rPr>
            <w:rFonts w:ascii="Cambria Math" w:hAnsi="Cambria Math"/>
            <w:sz w:val="22"/>
            <w:szCs w:val="22"/>
          </w:rPr>
          <m:t>I</m:t>
        </m:r>
      </m:oMath>
      <w:r w:rsidRPr="00012BC3">
        <w:rPr>
          <w:sz w:val="22"/>
          <w:szCs w:val="22"/>
        </w:rPr>
        <w:t xml:space="preserve"> van alle bewoners. De mening van iedere bewoner in een huishouden telt in deze simulatie even zwaar mee. Dit betekent dat de meningen van alle bewoners worden opgeteld, en vervolgens worden gedeeld door het totaal aantal bewoners, om tot de uiteindelijke beslissing te komen.</w:t>
      </w:r>
    </w:p>
    <w:p w14:paraId="0B236FAD" w14:textId="77777777" w:rsidR="00FF7413" w:rsidRPr="00012BC3" w:rsidRDefault="00FF7413" w:rsidP="00FF7413">
      <w:pPr>
        <w:rPr>
          <w:sz w:val="22"/>
          <w:szCs w:val="22"/>
        </w:rPr>
      </w:pPr>
      <w:r w:rsidRPr="00012BC3">
        <w:rPr>
          <w:sz w:val="22"/>
          <w:szCs w:val="22"/>
        </w:rPr>
        <w:t xml:space="preserve">De gezamenlijke intentiewaarde van het huishouden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oMath>
      <w:r w:rsidRPr="00012BC3">
        <w:rPr>
          <w:sz w:val="22"/>
          <w:szCs w:val="22"/>
        </w:rPr>
        <w:t xml:space="preserve"> wordt berekend met de volgende formule:</w:t>
      </w:r>
    </w:p>
    <w:p w14:paraId="697FF33F" w14:textId="77777777" w:rsidR="00FF7413" w:rsidRPr="00012BC3" w:rsidRDefault="00000000" w:rsidP="00FF7413">
      <w:pPr>
        <w:ind w:left="1416" w:firstLine="708"/>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b</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e>
          </m:nary>
        </m:oMath>
      </m:oMathPara>
    </w:p>
    <w:p w14:paraId="6CA3A8F3" w14:textId="77777777" w:rsidR="00FF7413" w:rsidRPr="00012BC3" w:rsidRDefault="00FF7413" w:rsidP="00FF7413">
      <w:pPr>
        <w:rPr>
          <w:sz w:val="22"/>
          <w:szCs w:val="22"/>
        </w:rPr>
      </w:pPr>
      <w:r w:rsidRPr="00012BC3">
        <w:rPr>
          <w:sz w:val="22"/>
          <w:szCs w:val="22"/>
        </w:rPr>
        <w:t>Waarbij:</w:t>
      </w:r>
    </w:p>
    <w:p w14:paraId="5D957626" w14:textId="77777777" w:rsidR="00FF7413" w:rsidRPr="00012BC3" w:rsidRDefault="00000000" w:rsidP="00FF7413">
      <w:pPr>
        <w:pStyle w:val="Lijstalinea"/>
        <w:numPr>
          <w:ilvl w:val="0"/>
          <w:numId w:val="18"/>
        </w:numPr>
        <w:rPr>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oMath>
      <w:r w:rsidR="00FF7413" w:rsidRPr="00012BC3">
        <w:rPr>
          <w:rFonts w:eastAsiaTheme="minorEastAsia"/>
          <w:sz w:val="22"/>
          <w:szCs w:val="22"/>
        </w:rPr>
        <w:t xml:space="preserve"> de intentiewaarde van het huishouden is.</w:t>
      </w:r>
    </w:p>
    <w:p w14:paraId="49E28405" w14:textId="77777777" w:rsidR="00FF7413" w:rsidRPr="00012BC3" w:rsidRDefault="00FF7413" w:rsidP="00FF7413">
      <w:pPr>
        <w:pStyle w:val="Lijstalinea"/>
        <w:numPr>
          <w:ilvl w:val="0"/>
          <w:numId w:val="18"/>
        </w:numPr>
        <w:rPr>
          <w:sz w:val="22"/>
          <w:szCs w:val="22"/>
        </w:rPr>
      </w:pPr>
      <m:oMath>
        <m:r>
          <w:rPr>
            <w:rFonts w:ascii="Cambria Math" w:hAnsi="Cambria Math"/>
            <w:sz w:val="22"/>
            <w:szCs w:val="22"/>
          </w:rPr>
          <m:t>n</m:t>
        </m:r>
      </m:oMath>
      <w:r w:rsidRPr="00012BC3">
        <w:rPr>
          <w:rFonts w:eastAsiaTheme="minorEastAsia"/>
          <w:sz w:val="22"/>
          <w:szCs w:val="22"/>
        </w:rPr>
        <w:t xml:space="preserve"> het aantal inwoners in het huishouden is.</w:t>
      </w:r>
    </w:p>
    <w:p w14:paraId="11EF8318" w14:textId="77777777" w:rsidR="00FF7413" w:rsidRPr="00012BC3" w:rsidRDefault="00000000" w:rsidP="00FF7413">
      <w:pPr>
        <w:pStyle w:val="Lijstalinea"/>
        <w:numPr>
          <w:ilvl w:val="0"/>
          <w:numId w:val="18"/>
        </w:numPr>
        <w:rPr>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oMath>
      <w:r w:rsidR="00FF7413" w:rsidRPr="00012BC3">
        <w:rPr>
          <w:rFonts w:eastAsiaTheme="minorEastAsia"/>
          <w:sz w:val="22"/>
          <w:szCs w:val="22"/>
        </w:rPr>
        <w:t xml:space="preserve"> de intentiewaarde van bewoner </w:t>
      </w:r>
      <m:oMath>
        <m:r>
          <w:rPr>
            <w:rFonts w:ascii="Cambria Math" w:hAnsi="Cambria Math"/>
            <w:sz w:val="22"/>
            <w:szCs w:val="22"/>
          </w:rPr>
          <m:t>b</m:t>
        </m:r>
      </m:oMath>
      <w:r w:rsidR="00FF7413" w:rsidRPr="00012BC3">
        <w:rPr>
          <w:rFonts w:eastAsiaTheme="minorEastAsia"/>
          <w:sz w:val="22"/>
          <w:szCs w:val="22"/>
        </w:rPr>
        <w:t xml:space="preserve"> is.</w:t>
      </w:r>
    </w:p>
    <w:p w14:paraId="2C84E9F1" w14:textId="77777777" w:rsidR="00FF7413" w:rsidRPr="00012BC3" w:rsidRDefault="00000000" w:rsidP="00FF7413">
      <w:pPr>
        <w:pStyle w:val="Lijstalinea"/>
        <w:numPr>
          <w:ilvl w:val="0"/>
          <w:numId w:val="18"/>
        </w:numPr>
        <w:rPr>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b</m:t>
            </m:r>
          </m:sub>
        </m:sSub>
      </m:oMath>
      <w:r w:rsidR="00FF7413" w:rsidRPr="00012BC3">
        <w:rPr>
          <w:rFonts w:eastAsiaTheme="minorEastAsia"/>
          <w:sz w:val="22"/>
          <w:szCs w:val="22"/>
        </w:rPr>
        <w:t xml:space="preserve"> de weging van bewoner </w:t>
      </w:r>
      <m:oMath>
        <m:r>
          <w:rPr>
            <w:rFonts w:ascii="Cambria Math" w:hAnsi="Cambria Math"/>
            <w:sz w:val="22"/>
            <w:szCs w:val="22"/>
          </w:rPr>
          <m:t>b</m:t>
        </m:r>
      </m:oMath>
      <w:r w:rsidR="00FF7413" w:rsidRPr="00012BC3">
        <w:rPr>
          <w:sz w:val="22"/>
          <w:szCs w:val="22"/>
        </w:rPr>
        <w:t xml:space="preserve"> bepaald als:</w:t>
      </w:r>
    </w:p>
    <w:p w14:paraId="020F7B33" w14:textId="77777777" w:rsidR="00FF7413" w:rsidRPr="00012BC3" w:rsidRDefault="00000000" w:rsidP="00FF7413">
      <w:pPr>
        <w:pStyle w:val="Lijstalinea"/>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b</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Inkomen</m:t>
                  </m:r>
                </m:e>
                <m:sub>
                  <m:r>
                    <w:rPr>
                      <w:rFonts w:ascii="Cambria Math" w:hAnsi="Cambria Math"/>
                      <w:sz w:val="22"/>
                      <w:szCs w:val="22"/>
                    </w:rPr>
                    <m:t>b</m:t>
                  </m:r>
                </m:sub>
              </m:sSub>
            </m:num>
            <m:den>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Inkomen</m:t>
                      </m:r>
                    </m:e>
                    <m:sub>
                      <m:r>
                        <w:rPr>
                          <w:rFonts w:ascii="Cambria Math" w:hAnsi="Cambria Math"/>
                          <w:sz w:val="22"/>
                          <w:szCs w:val="22"/>
                        </w:rPr>
                        <m:t>j</m:t>
                      </m:r>
                    </m:sub>
                  </m:sSub>
                </m:e>
              </m:nary>
            </m:den>
          </m:f>
        </m:oMath>
      </m:oMathPara>
    </w:p>
    <w:p w14:paraId="26F6134B" w14:textId="77777777" w:rsidR="00FF7413" w:rsidRPr="00012BC3" w:rsidRDefault="00FF7413" w:rsidP="00FF7413">
      <w:pPr>
        <w:pStyle w:val="Lijstalinea"/>
        <w:rPr>
          <w:sz w:val="22"/>
          <w:szCs w:val="22"/>
        </w:rPr>
      </w:pPr>
    </w:p>
    <w:p w14:paraId="494EEDD4" w14:textId="77777777" w:rsidR="00FF7413" w:rsidRPr="00012BC3" w:rsidRDefault="00FF7413" w:rsidP="00FF7413">
      <w:pPr>
        <w:rPr>
          <w:sz w:val="22"/>
          <w:szCs w:val="22"/>
        </w:rPr>
      </w:pPr>
      <w:r w:rsidRPr="00012BC3">
        <w:rPr>
          <w:sz w:val="22"/>
          <w:szCs w:val="22"/>
        </w:rPr>
        <w:t xml:space="preserve">Hieruit volgt dat inwoners met een hoger inkomen een grotere invloed hebben op de uiteindelijke beslissing. De bewoner met het hoogste individuele inkomen binnen het huishouden wordt beschouwd als de kostwinner en is de uiteindelijke besluitvormer. Dit betekent dat de overstap naar duurzame energie alleen plaatsvindt wanneer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oMath>
      <w:r w:rsidRPr="00012BC3">
        <w:rPr>
          <w:rFonts w:ascii="Arial" w:hAnsi="Arial" w:cs="Arial"/>
          <w:sz w:val="22"/>
          <w:szCs w:val="22"/>
        </w:rPr>
        <w:t>​</w:t>
      </w:r>
      <w:r w:rsidRPr="00012BC3">
        <w:rPr>
          <w:sz w:val="22"/>
          <w:szCs w:val="22"/>
        </w:rPr>
        <w:t xml:space="preserve"> boven de vooraf ingestelde drempelwaarde komt én de kostwinner hier achter staat. </w:t>
      </w:r>
    </w:p>
    <w:p w14:paraId="7406B6BA" w14:textId="77777777" w:rsidR="00FF7413" w:rsidRPr="00012BC3" w:rsidRDefault="00FF7413" w:rsidP="00FF7413">
      <w:pPr>
        <w:pStyle w:val="Kop3"/>
      </w:pPr>
      <w:bookmarkStart w:id="9" w:name="_Toc195655764"/>
      <w:r w:rsidRPr="00012BC3">
        <w:t>Berekening factoren</w:t>
      </w:r>
      <w:bookmarkEnd w:id="9"/>
    </w:p>
    <w:p w14:paraId="409D002C" w14:textId="77777777" w:rsidR="00FF7413" w:rsidRPr="00012BC3" w:rsidRDefault="00FF7413" w:rsidP="00FF7413">
      <w:pPr>
        <w:rPr>
          <w:b/>
        </w:rPr>
      </w:pPr>
      <w:r w:rsidRPr="00012BC3">
        <w:rPr>
          <w:b/>
          <w:bCs/>
        </w:rPr>
        <w:t>Attitude</w:t>
      </w:r>
    </w:p>
    <w:p w14:paraId="621C6289" w14:textId="77777777" w:rsidR="00FF7413" w:rsidRPr="00012BC3" w:rsidRDefault="00FF7413" w:rsidP="00FF7413">
      <w:pPr>
        <w:rPr>
          <w:i/>
          <w:iCs/>
        </w:rPr>
      </w:pPr>
      <w:r w:rsidRPr="00012BC3">
        <w:rPr>
          <w:i/>
          <w:iCs/>
        </w:rPr>
        <w:t xml:space="preserve">We weten nog niet hoe we deze factor kunnen berekenen met de variabelen die we gebruiken. Tot we een oplossing hebben gevonden zullen we deze willekeurig bepalen met een uniforme verdeling tussen 0 en 1. </w:t>
      </w:r>
    </w:p>
    <w:p w14:paraId="75FD17B4" w14:textId="77777777" w:rsidR="00FF7413" w:rsidRPr="00012BC3" w:rsidRDefault="00FF7413" w:rsidP="00FF7413">
      <w:pPr>
        <w:rPr>
          <w:b/>
          <w:bCs/>
        </w:rPr>
      </w:pPr>
      <w:proofErr w:type="spellStart"/>
      <w:r w:rsidRPr="00012BC3">
        <w:rPr>
          <w:b/>
          <w:bCs/>
        </w:rPr>
        <w:t>Subjective</w:t>
      </w:r>
      <w:proofErr w:type="spellEnd"/>
      <w:r w:rsidRPr="00012BC3">
        <w:rPr>
          <w:b/>
          <w:bCs/>
        </w:rPr>
        <w:t xml:space="preserve"> Norm</w:t>
      </w:r>
    </w:p>
    <w:p w14:paraId="098350DA" w14:textId="77777777" w:rsidR="00FF7413" w:rsidRPr="00012BC3" w:rsidRDefault="00FF7413" w:rsidP="00FF7413">
      <w:r w:rsidRPr="00012BC3">
        <w:t xml:space="preserve">De </w:t>
      </w:r>
      <w:proofErr w:type="spellStart"/>
      <w:r w:rsidRPr="00012BC3">
        <w:t>Subjective</w:t>
      </w:r>
      <w:proofErr w:type="spellEnd"/>
      <w:r w:rsidRPr="00012BC3">
        <w:t xml:space="preserve"> Norm (SN) in het </w:t>
      </w:r>
      <w:proofErr w:type="spellStart"/>
      <w:r w:rsidRPr="00012BC3">
        <w:t>Theory</w:t>
      </w:r>
      <w:proofErr w:type="spellEnd"/>
      <w:r w:rsidRPr="00012BC3">
        <w:t xml:space="preserve"> of </w:t>
      </w:r>
      <w:proofErr w:type="spellStart"/>
      <w:r w:rsidRPr="00012BC3">
        <w:t>Planned</w:t>
      </w:r>
      <w:proofErr w:type="spellEnd"/>
      <w:r w:rsidRPr="00012BC3">
        <w:t xml:space="preserve"> </w:t>
      </w:r>
      <w:proofErr w:type="spellStart"/>
      <w:r w:rsidRPr="00012BC3">
        <w:t>Behaviour</w:t>
      </w:r>
      <w:proofErr w:type="spellEnd"/>
      <w:r w:rsidRPr="00012BC3">
        <w:t>-model wordt berekend als een waarde tussen 0 en 1, waarbij de sociale druk wordt beïnvloed door het aantal buren met zonnepanelen. Directe buren hebben hierbij de grootste invloed, terwijl buren verder weg minder impact hebben.</w:t>
      </w:r>
    </w:p>
    <w:p w14:paraId="0DC1636F" w14:textId="77777777" w:rsidR="00FF7413" w:rsidRPr="00012BC3" w:rsidRDefault="00FF7413" w:rsidP="00FF7413">
      <w:r w:rsidRPr="00012BC3">
        <w:t xml:space="preserve">De SN-waarde voor een agent </w:t>
      </w:r>
      <m:oMath>
        <m:r>
          <w:rPr>
            <w:rFonts w:ascii="Cambria Math" w:hAnsi="Cambria Math"/>
          </w:rPr>
          <m:t>i</m:t>
        </m:r>
      </m:oMath>
      <w:r w:rsidRPr="00012BC3">
        <w:t xml:space="preserve"> wordt als volgt berekend:</w:t>
      </w:r>
    </w:p>
    <w:p w14:paraId="4F10618E" w14:textId="77777777" w:rsidR="00FF7413" w:rsidRPr="00012BC3" w:rsidRDefault="00000000" w:rsidP="00FF7413">
      <w:pPr>
        <w:rPr>
          <w:rFonts w:eastAsiaTheme="minorEastAsia"/>
        </w:rPr>
      </w:pPr>
      <m:oMathPara>
        <m:oMath>
          <m:sSub>
            <m:sSubPr>
              <m:ctrlPr>
                <w:rPr>
                  <w:rFonts w:ascii="Cambria Math" w:hAnsi="Cambria Math"/>
                  <w:i/>
                </w:rPr>
              </m:ctrlPr>
            </m:sSubPr>
            <m:e>
              <m:r>
                <w:rPr>
                  <w:rFonts w:ascii="Cambria Math" w:hAnsi="Cambria Math"/>
                </w:rPr>
                <m:t>SN</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j∈B</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nary>
            </m:num>
            <m:den>
              <m:nary>
                <m:naryPr>
                  <m:chr m:val="∑"/>
                  <m:limLoc m:val="subSup"/>
                  <m:supHide m:val="1"/>
                  <m:ctrlPr>
                    <w:rPr>
                      <w:rFonts w:ascii="Cambria Math" w:hAnsi="Cambria Math"/>
                      <w:i/>
                    </w:rPr>
                  </m:ctrlPr>
                </m:naryPr>
                <m:sub>
                  <m:r>
                    <w:rPr>
                      <w:rFonts w:ascii="Cambria Math" w:hAnsi="Cambria Math"/>
                    </w:rPr>
                    <m:t>j∈B</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m:oMathPara>
    </w:p>
    <w:p w14:paraId="427B6252" w14:textId="77777777" w:rsidR="00FF7413" w:rsidRPr="00012BC3" w:rsidRDefault="00FF7413" w:rsidP="00FF7413">
      <w:pPr>
        <w:rPr>
          <w:rFonts w:eastAsiaTheme="minorEastAsia"/>
        </w:rPr>
      </w:pPr>
      <w:r w:rsidRPr="00012BC3">
        <w:rPr>
          <w:rFonts w:eastAsiaTheme="minorEastAsia"/>
        </w:rPr>
        <w:t>Waarbij:</w:t>
      </w:r>
    </w:p>
    <w:p w14:paraId="1277C68C" w14:textId="77777777" w:rsidR="00FF7413" w:rsidRPr="00012BC3" w:rsidRDefault="00FF7413" w:rsidP="00FF7413">
      <w:pPr>
        <w:pStyle w:val="Lijstalinea"/>
        <w:numPr>
          <w:ilvl w:val="0"/>
          <w:numId w:val="22"/>
        </w:numPr>
      </w:pPr>
      <m:oMath>
        <m:r>
          <w:rPr>
            <w:rFonts w:ascii="Cambria Math" w:hAnsi="Cambria Math"/>
          </w:rPr>
          <m:t>B</m:t>
        </m:r>
      </m:oMath>
      <w:r w:rsidRPr="00012BC3">
        <w:rPr>
          <w:rFonts w:eastAsiaTheme="minorEastAsia"/>
        </w:rPr>
        <w:t xml:space="preserve"> de verzameling van alle buren binnen een straal van twee huizen is.</w:t>
      </w:r>
    </w:p>
    <w:p w14:paraId="1808ABC6" w14:textId="77777777" w:rsidR="00FF7413" w:rsidRPr="00012BC3" w:rsidRDefault="00000000" w:rsidP="00FF7413">
      <w:pPr>
        <w:pStyle w:val="Lijstalinea"/>
        <w:numPr>
          <w:ilvl w:val="0"/>
          <w:numId w:val="22"/>
        </w:num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F7413" w:rsidRPr="00012BC3">
        <w:rPr>
          <w:rFonts w:eastAsiaTheme="minorEastAsia"/>
        </w:rPr>
        <w:t xml:space="preserve"> een indicator is die 1 is als buur </w:t>
      </w:r>
      <m:oMath>
        <m:r>
          <w:rPr>
            <w:rFonts w:ascii="Cambria Math" w:hAnsi="Cambria Math"/>
          </w:rPr>
          <m:t>j</m:t>
        </m:r>
      </m:oMath>
      <w:r w:rsidR="00FF7413" w:rsidRPr="00012BC3">
        <w:rPr>
          <w:rFonts w:eastAsiaTheme="minorEastAsia"/>
        </w:rPr>
        <w:t xml:space="preserve"> zonnepanelen heeft en 0 als dat niet zo is.</w:t>
      </w:r>
    </w:p>
    <w:p w14:paraId="1FB28646" w14:textId="77777777" w:rsidR="00FF7413" w:rsidRPr="00012BC3" w:rsidRDefault="00000000" w:rsidP="00FF7413">
      <w:pPr>
        <w:pStyle w:val="Lijstalinea"/>
        <w:numPr>
          <w:ilvl w:val="0"/>
          <w:numId w:val="22"/>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F7413" w:rsidRPr="00012BC3">
        <w:rPr>
          <w:rFonts w:eastAsiaTheme="minorEastAsia"/>
        </w:rPr>
        <w:t xml:space="preserve"> de weging van buur </w:t>
      </w:r>
      <m:oMath>
        <m:r>
          <w:rPr>
            <w:rFonts w:ascii="Cambria Math" w:hAnsi="Cambria Math"/>
          </w:rPr>
          <m:t>j</m:t>
        </m:r>
      </m:oMath>
      <w:r w:rsidR="00FF7413" w:rsidRPr="00012BC3">
        <w:rPr>
          <w:rFonts w:eastAsiaTheme="minorEastAsia"/>
        </w:rPr>
        <w:t xml:space="preserve"> is, afhankelijk van de afstand tot agent </w:t>
      </w:r>
      <m:oMath>
        <m:r>
          <w:rPr>
            <w:rFonts w:ascii="Cambria Math" w:hAnsi="Cambria Math"/>
          </w:rPr>
          <m:t>i</m:t>
        </m:r>
      </m:oMath>
      <w:r w:rsidR="00FF7413" w:rsidRPr="00012BC3">
        <w:rPr>
          <w:rFonts w:eastAsiaTheme="minorEastAsia"/>
        </w:rPr>
        <w:t>:</w:t>
      </w:r>
    </w:p>
    <w:p w14:paraId="1ED5FFE0" w14:textId="77777777" w:rsidR="00FF7413" w:rsidRPr="00012BC3" w:rsidRDefault="00FF7413" w:rsidP="00FF7413">
      <w:pPr>
        <w:pStyle w:val="Lijstalinea"/>
        <w:numPr>
          <w:ilvl w:val="1"/>
          <w:numId w:val="22"/>
        </w:numPr>
      </w:pPr>
      <w:r w:rsidRPr="00012BC3">
        <w:t>1.0 voor directe buren (d=1)</w:t>
      </w:r>
    </w:p>
    <w:p w14:paraId="12C6030E" w14:textId="77777777" w:rsidR="00FF7413" w:rsidRPr="00012BC3" w:rsidRDefault="00FF7413" w:rsidP="00FF7413">
      <w:pPr>
        <w:pStyle w:val="Lijstalinea"/>
        <w:numPr>
          <w:ilvl w:val="1"/>
          <w:numId w:val="22"/>
        </w:numPr>
      </w:pPr>
      <w:r w:rsidRPr="00012BC3">
        <w:t>0.5 voor buren één woning verder (d=2)</w:t>
      </w:r>
    </w:p>
    <w:p w14:paraId="516FD8EC" w14:textId="77777777" w:rsidR="00FF7413" w:rsidRPr="00012BC3" w:rsidRDefault="00FF7413" w:rsidP="00FF7413">
      <w:pPr>
        <w:pStyle w:val="Lijstalinea"/>
        <w:numPr>
          <w:ilvl w:val="1"/>
          <w:numId w:val="22"/>
        </w:numPr>
      </w:pPr>
      <w:r w:rsidRPr="00012BC3">
        <w:t>0.1 voor buren twee woningen verder (d=3)</w:t>
      </w:r>
    </w:p>
    <w:p w14:paraId="4AE1AF59" w14:textId="77777777" w:rsidR="00FF7413" w:rsidRPr="00012BC3" w:rsidRDefault="00FF7413" w:rsidP="00FF7413">
      <w:r w:rsidRPr="00012BC3">
        <w:t xml:space="preserve">Het aantal zonnepanelen waar buren over beschikken maakt voor deze </w:t>
      </w:r>
      <w:proofErr w:type="spellStart"/>
      <w:r w:rsidRPr="00012BC3">
        <w:t>bereking</w:t>
      </w:r>
      <w:proofErr w:type="spellEnd"/>
      <w:r w:rsidRPr="00012BC3">
        <w:t xml:space="preserve"> niet uit.</w:t>
      </w:r>
    </w:p>
    <w:p w14:paraId="4F10CC76" w14:textId="77777777" w:rsidR="00FF7413" w:rsidRPr="00012BC3" w:rsidRDefault="00FF7413" w:rsidP="00FF7413">
      <w:pPr>
        <w:rPr>
          <w:b/>
          <w:bCs/>
        </w:rPr>
      </w:pPr>
      <w:proofErr w:type="spellStart"/>
      <w:r w:rsidRPr="00012BC3">
        <w:rPr>
          <w:b/>
          <w:bCs/>
        </w:rPr>
        <w:t>Perceived</w:t>
      </w:r>
      <w:proofErr w:type="spellEnd"/>
      <w:r w:rsidRPr="00012BC3">
        <w:rPr>
          <w:b/>
          <w:bCs/>
        </w:rPr>
        <w:t xml:space="preserve"> </w:t>
      </w:r>
      <w:proofErr w:type="spellStart"/>
      <w:r w:rsidRPr="00012BC3">
        <w:rPr>
          <w:b/>
          <w:bCs/>
        </w:rPr>
        <w:t>Behavioral</w:t>
      </w:r>
      <w:proofErr w:type="spellEnd"/>
      <w:r w:rsidRPr="00012BC3">
        <w:rPr>
          <w:b/>
          <w:bCs/>
        </w:rPr>
        <w:t xml:space="preserve"> Control</w:t>
      </w:r>
    </w:p>
    <w:p w14:paraId="5280B09E" w14:textId="77777777" w:rsidR="00FF7413" w:rsidRPr="00012BC3" w:rsidRDefault="00FF7413" w:rsidP="00FF7413">
      <w:r w:rsidRPr="00012BC3">
        <w:t xml:space="preserve">De </w:t>
      </w:r>
      <w:proofErr w:type="spellStart"/>
      <w:r w:rsidRPr="00012BC3">
        <w:t>Perceived</w:t>
      </w:r>
      <w:proofErr w:type="spellEnd"/>
      <w:r w:rsidRPr="00012BC3">
        <w:t xml:space="preserve"> </w:t>
      </w:r>
      <w:proofErr w:type="spellStart"/>
      <w:r w:rsidRPr="00012BC3">
        <w:t>Behavioral</w:t>
      </w:r>
      <w:proofErr w:type="spellEnd"/>
      <w:r w:rsidRPr="00012BC3">
        <w:t xml:space="preserve"> Control (PBC) in het </w:t>
      </w:r>
      <w:proofErr w:type="spellStart"/>
      <w:r w:rsidRPr="00012BC3">
        <w:t>Theory</w:t>
      </w:r>
      <w:proofErr w:type="spellEnd"/>
      <w:r w:rsidRPr="00012BC3">
        <w:t xml:space="preserve"> of </w:t>
      </w:r>
      <w:proofErr w:type="spellStart"/>
      <w:r w:rsidRPr="00012BC3">
        <w:t>Planned</w:t>
      </w:r>
      <w:proofErr w:type="spellEnd"/>
      <w:r w:rsidRPr="00012BC3">
        <w:t xml:space="preserve"> </w:t>
      </w:r>
      <w:proofErr w:type="spellStart"/>
      <w:r w:rsidRPr="00012BC3">
        <w:t>Behaviour</w:t>
      </w:r>
      <w:proofErr w:type="spellEnd"/>
      <w:r w:rsidRPr="00012BC3">
        <w:t>-model wordt berekend als een waarde tussen 0 en 1, waarbij de financiële haalbaarheid van zonnepanelen wordt beïnvloed door het inkomen van de agent en de terugverdientijd van de investering.</w:t>
      </w:r>
    </w:p>
    <w:p w14:paraId="2E0490DD" w14:textId="77777777" w:rsidR="00FF7413" w:rsidRPr="00012BC3" w:rsidRDefault="00FF7413" w:rsidP="00FF7413">
      <w:r w:rsidRPr="00012BC3">
        <w:t xml:space="preserve">De PBC-waarde voor een agent </w:t>
      </w:r>
      <m:oMath>
        <m:r>
          <w:rPr>
            <w:rFonts w:ascii="Cambria Math" w:hAnsi="Cambria Math"/>
          </w:rPr>
          <m:t>i</m:t>
        </m:r>
      </m:oMath>
      <w:r w:rsidRPr="00012BC3">
        <w:t xml:space="preserve"> wordt als volgt berekend:</w:t>
      </w:r>
    </w:p>
    <w:p w14:paraId="0036449B" w14:textId="77777777" w:rsidR="00FF7413" w:rsidRPr="00012BC3" w:rsidRDefault="00000000" w:rsidP="00FF7413">
      <m:oMathPara>
        <m:oMath>
          <m:sSub>
            <m:sSubPr>
              <m:ctrlPr>
                <w:rPr>
                  <w:rFonts w:ascii="Cambria Math" w:hAnsi="Cambria Math"/>
                  <w:i/>
                </w:rPr>
              </m:ctrlPr>
            </m:sSubPr>
            <m:e>
              <m:r>
                <w:rPr>
                  <w:rFonts w:ascii="Cambria Math" w:hAnsi="Cambria Math"/>
                </w:rPr>
                <m:t>PBC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I</m:t>
                      </m:r>
                    </m:e>
                    <m:sub>
                      <m:r>
                        <w:rPr>
                          <w:rFonts w:ascii="Cambria Math" w:hAnsi="Cambria Math"/>
                        </w:rPr>
                        <m:t>i</m:t>
                      </m:r>
                    </m:sub>
                  </m:sSub>
                </m:den>
              </m:f>
            </m:e>
          </m:d>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max</m:t>
                  </m:r>
                </m:sub>
              </m:sSub>
            </m:den>
          </m:f>
          <m:r>
            <w:rPr>
              <w:rFonts w:ascii="Cambria Math" w:hAnsi="Cambria Math"/>
            </w:rPr>
            <m:t>)</m:t>
          </m:r>
        </m:oMath>
      </m:oMathPara>
    </w:p>
    <w:p w14:paraId="3CF2AB60" w14:textId="77777777" w:rsidR="00FF7413" w:rsidRPr="00012BC3" w:rsidRDefault="00FF7413" w:rsidP="00FF7413">
      <w:r w:rsidRPr="00012BC3">
        <w:t>Waarbij:</w:t>
      </w:r>
    </w:p>
    <w:p w14:paraId="44A55D24" w14:textId="77777777" w:rsidR="00FF7413" w:rsidRPr="00012BC3" w:rsidRDefault="00FF7413" w:rsidP="00FF7413">
      <w:pPr>
        <w:pStyle w:val="Lijstalinea"/>
        <w:numPr>
          <w:ilvl w:val="0"/>
          <w:numId w:val="23"/>
        </w:numPr>
      </w:pPr>
      <m:oMath>
        <m:r>
          <w:rPr>
            <w:rFonts w:ascii="Cambria Math" w:hAnsi="Cambria Math"/>
          </w:rPr>
          <m:t>C</m:t>
        </m:r>
      </m:oMath>
      <w:r w:rsidRPr="00012BC3">
        <w:rPr>
          <w:rFonts w:eastAsiaTheme="minorEastAsia"/>
        </w:rPr>
        <w:t xml:space="preserve"> de gemiddelde kosten van 8 zonnepanelen is.</w:t>
      </w:r>
    </w:p>
    <w:p w14:paraId="16F2F916" w14:textId="77777777" w:rsidR="00FF7413" w:rsidRPr="00012BC3" w:rsidRDefault="00000000" w:rsidP="00FF7413">
      <w:pPr>
        <w:pStyle w:val="Lijstalinea"/>
        <w:numPr>
          <w:ilvl w:val="0"/>
          <w:numId w:val="23"/>
        </w:numPr>
      </w:pP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FF7413" w:rsidRPr="00012BC3">
        <w:rPr>
          <w:rFonts w:eastAsiaTheme="minorEastAsia"/>
        </w:rPr>
        <w:t xml:space="preserve"> het jaarinkomen van agent </w:t>
      </w:r>
      <m:oMath>
        <m:r>
          <w:rPr>
            <w:rFonts w:ascii="Cambria Math" w:hAnsi="Cambria Math"/>
          </w:rPr>
          <m:t>i</m:t>
        </m:r>
      </m:oMath>
      <w:r w:rsidR="00FF7413" w:rsidRPr="00012BC3">
        <w:rPr>
          <w:rFonts w:eastAsiaTheme="minorEastAsia"/>
        </w:rPr>
        <w:t xml:space="preserve"> is.</w:t>
      </w:r>
    </w:p>
    <w:p w14:paraId="024A6DA7" w14:textId="77777777" w:rsidR="00FF7413" w:rsidRPr="00012BC3" w:rsidRDefault="00000000" w:rsidP="00FF7413">
      <w:pPr>
        <w:pStyle w:val="Lijstalinea"/>
        <w:numPr>
          <w:ilvl w:val="0"/>
          <w:numId w:val="23"/>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F7413" w:rsidRPr="00012BC3">
        <w:rPr>
          <w:rFonts w:eastAsiaTheme="minorEastAsia"/>
        </w:rPr>
        <w:t xml:space="preserve"> de terugverdientijd in jaren is, berekend als:</w:t>
      </w:r>
    </w:p>
    <w:p w14:paraId="7C5D5D08" w14:textId="77777777" w:rsidR="00FF7413" w:rsidRPr="00012BC3" w:rsidRDefault="00000000" w:rsidP="00FF7413">
      <w:pPr>
        <w:pStyle w:val="Lijstalinea"/>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O</m:t>
              </m:r>
            </m:den>
          </m:f>
        </m:oMath>
      </m:oMathPara>
    </w:p>
    <w:p w14:paraId="24C6F30C" w14:textId="77777777" w:rsidR="00FF7413" w:rsidRPr="00012BC3" w:rsidRDefault="00FF7413" w:rsidP="00FF7413">
      <w:r w:rsidRPr="00012BC3">
        <w:t>Met:</w:t>
      </w:r>
    </w:p>
    <w:p w14:paraId="7F66D691" w14:textId="77777777" w:rsidR="00FF7413" w:rsidRPr="00012BC3" w:rsidRDefault="00FF7413" w:rsidP="00FF7413">
      <w:pPr>
        <w:pStyle w:val="Lijstalinea"/>
        <w:numPr>
          <w:ilvl w:val="0"/>
          <w:numId w:val="24"/>
        </w:numPr>
      </w:pPr>
      <m:oMath>
        <m:r>
          <w:rPr>
            <w:rFonts w:ascii="Cambria Math" w:hAnsi="Cambria Math"/>
          </w:rPr>
          <m:t>O</m:t>
        </m:r>
      </m:oMath>
      <w:r w:rsidRPr="00012BC3">
        <w:rPr>
          <w:rFonts w:eastAsiaTheme="minorEastAsia"/>
        </w:rPr>
        <w:t xml:space="preserve"> de jaarlijkse opbrengst van zonnepanelen.</w:t>
      </w:r>
    </w:p>
    <w:p w14:paraId="27427642" w14:textId="77777777" w:rsidR="00FF7413" w:rsidRPr="00012BC3" w:rsidRDefault="00000000" w:rsidP="00FF7413">
      <w:pPr>
        <w:pStyle w:val="Lijstalinea"/>
        <w:numPr>
          <w:ilvl w:val="0"/>
          <w:numId w:val="24"/>
        </w:numPr>
      </w:pP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FF7413" w:rsidRPr="00012BC3">
        <w:rPr>
          <w:rFonts w:eastAsiaTheme="minorEastAsia"/>
        </w:rPr>
        <w:t xml:space="preserve"> een vaste maximale terugverdientijd is van 25 jaar.</w:t>
      </w:r>
    </w:p>
    <w:p w14:paraId="3BBF85F0" w14:textId="77777777" w:rsidR="00FF7413" w:rsidRPr="00012BC3" w:rsidRDefault="00FF7413" w:rsidP="00FF7413">
      <w:pPr>
        <w:pStyle w:val="Lijstalinea"/>
        <w:numPr>
          <w:ilvl w:val="0"/>
          <w:numId w:val="24"/>
        </w:numPr>
      </w:pPr>
      <w:r w:rsidRPr="00012BC3">
        <w:t xml:space="preserve">De factor </w:t>
      </w:r>
      <m:oMath>
        <m:r>
          <w:rPr>
            <w:rFonts w:ascii="Cambria Math" w:hAnsi="Cambria Math"/>
          </w:rPr>
          <m:t>1-</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I</m:t>
                </m:r>
              </m:e>
              <m:sub>
                <m:r>
                  <w:rPr>
                    <w:rFonts w:ascii="Cambria Math" w:hAnsi="Cambria Math"/>
                  </w:rPr>
                  <m:t>i</m:t>
                </m:r>
              </m:sub>
            </m:sSub>
          </m:den>
        </m:f>
      </m:oMath>
      <w:r w:rsidRPr="00012BC3">
        <w:rPr>
          <w:rFonts w:eastAsiaTheme="minorEastAsia"/>
        </w:rPr>
        <w:t xml:space="preserve"> zorgt ervoor dat een kortere terugverdientijd leidt tot een hogere PBC-score.</w:t>
      </w:r>
    </w:p>
    <w:p w14:paraId="3D82185C" w14:textId="77777777" w:rsidR="00FF7413" w:rsidRPr="00012BC3" w:rsidRDefault="00FF7413" w:rsidP="00FF7413">
      <w:pPr>
        <w:pStyle w:val="Lijstalinea"/>
        <w:numPr>
          <w:ilvl w:val="0"/>
          <w:numId w:val="24"/>
        </w:numPr>
      </w:pPr>
      <w:r w:rsidRPr="00012BC3">
        <w:rPr>
          <w:rFonts w:eastAsiaTheme="minorEastAsia"/>
        </w:rPr>
        <w:t xml:space="preserve">De factor </w:t>
      </w: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max</m:t>
                </m:r>
              </m:sub>
            </m:sSub>
          </m:den>
        </m:f>
      </m:oMath>
      <w:r w:rsidRPr="00012BC3">
        <w:rPr>
          <w:rFonts w:eastAsiaTheme="minorEastAsia"/>
        </w:rPr>
        <w:t xml:space="preserve"> zorgt ervoor dat een kortere terugverdientijd leidt tot een hogere PBC-score.</w:t>
      </w:r>
    </w:p>
    <w:p w14:paraId="42ED68E6" w14:textId="77777777" w:rsidR="00FF7413" w:rsidRPr="00012BC3" w:rsidRDefault="00FF7413" w:rsidP="00FF7413">
      <w:pPr>
        <w:rPr>
          <w:b/>
          <w:bCs/>
        </w:rPr>
      </w:pPr>
    </w:p>
    <w:p w14:paraId="28DE137A" w14:textId="77777777" w:rsidR="00FF7413" w:rsidRPr="00012BC3" w:rsidRDefault="00FF7413" w:rsidP="00F077E6">
      <w:pPr>
        <w:pStyle w:val="Kop1"/>
      </w:pPr>
      <w:bookmarkStart w:id="10" w:name="_Toc195655765"/>
      <w:r w:rsidRPr="00012BC3">
        <w:t>Parameters &amp; initialisatie</w:t>
      </w:r>
      <w:bookmarkEnd w:id="10"/>
    </w:p>
    <w:p w14:paraId="6A9DF394" w14:textId="77777777" w:rsidR="00FF7413" w:rsidRPr="00012BC3" w:rsidRDefault="00FF7413" w:rsidP="00FF7413">
      <w:pPr>
        <w:pStyle w:val="Kop3"/>
      </w:pPr>
      <w:bookmarkStart w:id="11" w:name="_Toc195655766"/>
      <w:r w:rsidRPr="00012BC3">
        <w:t>Aanroepen simulatie</w:t>
      </w:r>
      <w:bookmarkEnd w:id="11"/>
    </w:p>
    <w:p w14:paraId="489660D0" w14:textId="77777777" w:rsidR="00FF7413" w:rsidRPr="00012BC3" w:rsidRDefault="00FF7413" w:rsidP="00FF7413">
      <w:pPr>
        <w:rPr>
          <w:sz w:val="22"/>
          <w:szCs w:val="22"/>
        </w:rPr>
      </w:pPr>
      <w:r w:rsidRPr="00012BC3">
        <w:rPr>
          <w:sz w:val="22"/>
          <w:szCs w:val="22"/>
        </w:rPr>
        <w:t>De gebruiker van de simulatietool kan de simulatie aanroepen op drie manieren: </w:t>
      </w:r>
    </w:p>
    <w:p w14:paraId="4C0CE28E" w14:textId="77777777" w:rsidR="00FF7413" w:rsidRPr="00012BC3" w:rsidRDefault="00FF7413" w:rsidP="00FF7413">
      <w:pPr>
        <w:numPr>
          <w:ilvl w:val="0"/>
          <w:numId w:val="19"/>
        </w:numPr>
        <w:rPr>
          <w:sz w:val="22"/>
          <w:szCs w:val="22"/>
        </w:rPr>
      </w:pPr>
      <w:r w:rsidRPr="00012BC3">
        <w:rPr>
          <w:b/>
          <w:bCs/>
          <w:sz w:val="22"/>
          <w:szCs w:val="22"/>
        </w:rPr>
        <w:t xml:space="preserve">Niet-specifiek: </w:t>
      </w:r>
      <w:r w:rsidRPr="00012BC3">
        <w:rPr>
          <w:sz w:val="22"/>
          <w:szCs w:val="22"/>
        </w:rPr>
        <w:t>De simulatie wordt aangeroepen zonder echte data. De startwaarden zullen berekend worden op basis van de standaardgetallen die gebaseerd zullen zijn op gemiddelde waarden van de echte wereld (zie startwaarden).</w:t>
      </w:r>
    </w:p>
    <w:p w14:paraId="255C3702" w14:textId="77777777" w:rsidR="00FF7413" w:rsidRPr="00012BC3" w:rsidRDefault="00FF7413" w:rsidP="00FF7413">
      <w:pPr>
        <w:numPr>
          <w:ilvl w:val="0"/>
          <w:numId w:val="20"/>
        </w:numPr>
        <w:rPr>
          <w:sz w:val="22"/>
          <w:szCs w:val="22"/>
        </w:rPr>
      </w:pPr>
      <w:r w:rsidRPr="00012BC3">
        <w:rPr>
          <w:b/>
          <w:bCs/>
          <w:sz w:val="22"/>
          <w:szCs w:val="22"/>
        </w:rPr>
        <w:t>Specifiek:</w:t>
      </w:r>
      <w:r w:rsidRPr="00012BC3">
        <w:rPr>
          <w:sz w:val="22"/>
          <w:szCs w:val="22"/>
        </w:rPr>
        <w:t xml:space="preserve"> De simulatie wordt aangeroepen met echte data over een wijk. De gebruiker kan de startwaarden (zie startwaarden) beïnvloeden door het getal te veranderen waar deze op gebaseerd worden. In het geval van de Heuvel/Amstelwijk en vele andere wijken in Nederland, kunnen de statistieken worden gebruik van AlleCijfers.nl (De Heuvel/Amstelwijk (Gemeente Leidschendam-Voorburg) in Cijfers en Grafieken, 2025). </w:t>
      </w:r>
    </w:p>
    <w:p w14:paraId="5DB6FDE6" w14:textId="77777777" w:rsidR="00FF7413" w:rsidRPr="00012BC3" w:rsidRDefault="00FF7413" w:rsidP="00FF7413">
      <w:pPr>
        <w:numPr>
          <w:ilvl w:val="0"/>
          <w:numId w:val="21"/>
        </w:numPr>
        <w:rPr>
          <w:sz w:val="22"/>
          <w:szCs w:val="22"/>
        </w:rPr>
      </w:pPr>
      <w:r w:rsidRPr="00012BC3">
        <w:rPr>
          <w:b/>
          <w:bCs/>
          <w:sz w:val="22"/>
          <w:szCs w:val="22"/>
        </w:rPr>
        <w:t>Eerdere run:</w:t>
      </w:r>
      <w:r w:rsidRPr="00012BC3">
        <w:rPr>
          <w:sz w:val="22"/>
          <w:szCs w:val="22"/>
        </w:rPr>
        <w:t xml:space="preserve"> De simulatie wordt aangeroepen met een databestand van een eerdere simulatierun, zodat de gebruiker deze terug kan zien. Het verloop van de simulatie zal dan ook exact hetzelfde zijn. </w:t>
      </w:r>
    </w:p>
    <w:p w14:paraId="503746E8" w14:textId="77777777" w:rsidR="00FF7413" w:rsidRPr="00012BC3" w:rsidRDefault="00FF7413" w:rsidP="00FF7413">
      <w:pPr>
        <w:pStyle w:val="Kop3"/>
      </w:pPr>
      <w:bookmarkStart w:id="12" w:name="_Toc195655767"/>
      <w:r w:rsidRPr="00012BC3">
        <w:t>Startwaarden</w:t>
      </w:r>
      <w:bookmarkEnd w:id="12"/>
    </w:p>
    <w:p w14:paraId="73A810C3" w14:textId="77777777" w:rsidR="00FF7413" w:rsidRPr="00012BC3" w:rsidRDefault="00FF7413" w:rsidP="00FF7413">
      <w:pPr>
        <w:rPr>
          <w:sz w:val="22"/>
          <w:szCs w:val="22"/>
        </w:rPr>
      </w:pPr>
      <w:r w:rsidRPr="00012BC3">
        <w:rPr>
          <w:sz w:val="22"/>
          <w:szCs w:val="22"/>
        </w:rPr>
        <w:t>Hieronder volgt een tabel die de berekening voor alle variabele in de simulatie toelicht. Iedere variabele waar een berekening of verdeling gehanteerd wordt beschikt over een waarde waarop de variabele wordt afgeleid. Deze waarden zijn afkomstig van de meest recente cijfers van het CBS, en Milieu Centraal. De waarden kunnen door de gebruiker worden aangepast.</w:t>
      </w:r>
    </w:p>
    <w:tbl>
      <w:tblPr>
        <w:tblStyle w:val="Tabelraster"/>
        <w:tblW w:w="0" w:type="auto"/>
        <w:tblLook w:val="04A0" w:firstRow="1" w:lastRow="0" w:firstColumn="1" w:lastColumn="0" w:noHBand="0" w:noVBand="1"/>
      </w:tblPr>
      <w:tblGrid>
        <w:gridCol w:w="2165"/>
        <w:gridCol w:w="1390"/>
        <w:gridCol w:w="5517"/>
      </w:tblGrid>
      <w:tr w:rsidR="00FF7413" w:rsidRPr="00012BC3" w14:paraId="3FBAD5E2" w14:textId="77777777" w:rsidTr="00F077E6">
        <w:tc>
          <w:tcPr>
            <w:tcW w:w="2178" w:type="dxa"/>
            <w:tcBorders>
              <w:top w:val="nil"/>
              <w:left w:val="nil"/>
              <w:bottom w:val="single" w:sz="12" w:space="0" w:color="auto"/>
              <w:right w:val="nil"/>
            </w:tcBorders>
          </w:tcPr>
          <w:p w14:paraId="11980AEB" w14:textId="77777777" w:rsidR="00FF7413" w:rsidRPr="00012BC3" w:rsidRDefault="00FF7413" w:rsidP="00F077E6">
            <w:pPr>
              <w:rPr>
                <w:b/>
                <w:bCs/>
                <w:sz w:val="22"/>
                <w:szCs w:val="22"/>
              </w:rPr>
            </w:pPr>
            <w:r w:rsidRPr="00012BC3">
              <w:rPr>
                <w:b/>
                <w:bCs/>
                <w:sz w:val="22"/>
                <w:szCs w:val="22"/>
              </w:rPr>
              <w:lastRenderedPageBreak/>
              <w:t>Variabele</w:t>
            </w:r>
          </w:p>
        </w:tc>
        <w:tc>
          <w:tcPr>
            <w:tcW w:w="1224" w:type="dxa"/>
            <w:tcBorders>
              <w:top w:val="nil"/>
              <w:left w:val="nil"/>
              <w:bottom w:val="single" w:sz="12" w:space="0" w:color="auto"/>
              <w:right w:val="nil"/>
            </w:tcBorders>
          </w:tcPr>
          <w:p w14:paraId="10E79970" w14:textId="77777777" w:rsidR="00FF7413" w:rsidRPr="00012BC3" w:rsidRDefault="00FF7413" w:rsidP="00F077E6">
            <w:pPr>
              <w:rPr>
                <w:b/>
                <w:bCs/>
                <w:sz w:val="22"/>
                <w:szCs w:val="22"/>
              </w:rPr>
            </w:pPr>
            <w:r w:rsidRPr="00012BC3">
              <w:rPr>
                <w:b/>
                <w:bCs/>
                <w:sz w:val="22"/>
                <w:szCs w:val="22"/>
              </w:rPr>
              <w:t>Waarde</w:t>
            </w:r>
          </w:p>
        </w:tc>
        <w:tc>
          <w:tcPr>
            <w:tcW w:w="5624" w:type="dxa"/>
            <w:tcBorders>
              <w:top w:val="nil"/>
              <w:left w:val="nil"/>
              <w:bottom w:val="single" w:sz="12" w:space="0" w:color="auto"/>
              <w:right w:val="nil"/>
            </w:tcBorders>
          </w:tcPr>
          <w:p w14:paraId="1FF61CC8" w14:textId="77777777" w:rsidR="00FF7413" w:rsidRPr="00012BC3" w:rsidRDefault="00FF7413" w:rsidP="00F077E6">
            <w:pPr>
              <w:rPr>
                <w:b/>
                <w:bCs/>
                <w:sz w:val="22"/>
                <w:szCs w:val="22"/>
              </w:rPr>
            </w:pPr>
            <w:r w:rsidRPr="00012BC3">
              <w:rPr>
                <w:b/>
                <w:bCs/>
                <w:sz w:val="22"/>
                <w:szCs w:val="22"/>
              </w:rPr>
              <w:t>Verdeling en toelichting</w:t>
            </w:r>
          </w:p>
        </w:tc>
      </w:tr>
      <w:tr w:rsidR="00FF7413" w:rsidRPr="00012BC3" w14:paraId="5036F0D9" w14:textId="77777777" w:rsidTr="00F077E6">
        <w:tc>
          <w:tcPr>
            <w:tcW w:w="9026" w:type="dxa"/>
            <w:gridSpan w:val="3"/>
            <w:tcBorders>
              <w:top w:val="single" w:sz="4" w:space="0" w:color="auto"/>
              <w:left w:val="nil"/>
              <w:right w:val="nil"/>
            </w:tcBorders>
            <w:shd w:val="clear" w:color="auto" w:fill="D1D1D1" w:themeFill="background2" w:themeFillShade="E6"/>
          </w:tcPr>
          <w:p w14:paraId="7DAC25E6" w14:textId="77777777" w:rsidR="00FF7413" w:rsidRPr="00012BC3" w:rsidRDefault="00FF7413" w:rsidP="00F077E6">
            <w:pPr>
              <w:jc w:val="center"/>
              <w:rPr>
                <w:b/>
                <w:bCs/>
                <w:sz w:val="22"/>
                <w:szCs w:val="22"/>
              </w:rPr>
            </w:pPr>
            <w:r w:rsidRPr="00012BC3">
              <w:rPr>
                <w:b/>
                <w:bCs/>
                <w:sz w:val="22"/>
                <w:szCs w:val="22"/>
              </w:rPr>
              <w:t>Woonwijk (omgeving)</w:t>
            </w:r>
          </w:p>
        </w:tc>
      </w:tr>
      <w:tr w:rsidR="00FF7413" w:rsidRPr="00012BC3" w14:paraId="2D358F23" w14:textId="77777777" w:rsidTr="00F077E6">
        <w:tc>
          <w:tcPr>
            <w:tcW w:w="2178" w:type="dxa"/>
            <w:tcBorders>
              <w:top w:val="single" w:sz="12" w:space="0" w:color="auto"/>
              <w:left w:val="nil"/>
            </w:tcBorders>
          </w:tcPr>
          <w:p w14:paraId="66C29E41" w14:textId="77777777" w:rsidR="00FF7413" w:rsidRPr="00012BC3" w:rsidRDefault="00FF7413" w:rsidP="00F077E6">
            <w:pPr>
              <w:rPr>
                <w:sz w:val="22"/>
                <w:szCs w:val="22"/>
              </w:rPr>
            </w:pPr>
            <w:r w:rsidRPr="00012BC3">
              <w:rPr>
                <w:sz w:val="22"/>
                <w:szCs w:val="22"/>
              </w:rPr>
              <w:t>Kosten zonnepanelen</w:t>
            </w:r>
          </w:p>
        </w:tc>
        <w:tc>
          <w:tcPr>
            <w:tcW w:w="1224" w:type="dxa"/>
            <w:tcBorders>
              <w:top w:val="single" w:sz="12" w:space="0" w:color="auto"/>
            </w:tcBorders>
          </w:tcPr>
          <w:p w14:paraId="533E1341" w14:textId="77777777" w:rsidR="00FF7413" w:rsidRPr="00012BC3" w:rsidRDefault="00FF7413" w:rsidP="00F077E6">
            <w:pPr>
              <w:rPr>
                <w:sz w:val="22"/>
                <w:szCs w:val="22"/>
              </w:rPr>
            </w:pPr>
            <w:r w:rsidRPr="00012BC3">
              <w:rPr>
                <w:sz w:val="22"/>
                <w:szCs w:val="22"/>
              </w:rPr>
              <w:t>€350</w:t>
            </w:r>
          </w:p>
        </w:tc>
        <w:tc>
          <w:tcPr>
            <w:tcW w:w="5624" w:type="dxa"/>
            <w:tcBorders>
              <w:top w:val="single" w:sz="12" w:space="0" w:color="auto"/>
              <w:right w:val="nil"/>
            </w:tcBorders>
          </w:tcPr>
          <w:p w14:paraId="0F75972F" w14:textId="77777777" w:rsidR="00FF7413" w:rsidRPr="00012BC3" w:rsidRDefault="00FF7413" w:rsidP="00F077E6">
            <w:pPr>
              <w:rPr>
                <w:sz w:val="22"/>
                <w:szCs w:val="22"/>
              </w:rPr>
            </w:pPr>
            <w:r w:rsidRPr="00012BC3">
              <w:rPr>
                <w:sz w:val="22"/>
                <w:szCs w:val="22"/>
              </w:rPr>
              <w:t xml:space="preserve">De prijs van zonnepanelen is gebaseerd op de prijs van een zonnepaneel plus installatiekosten, en kan worden berekend met: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=350N+500</m:t>
              </m:r>
            </m:oMath>
          </w:p>
        </w:tc>
      </w:tr>
      <w:tr w:rsidR="00FF7413" w:rsidRPr="00012BC3" w14:paraId="30AF3543" w14:textId="77777777" w:rsidTr="00F077E6">
        <w:tc>
          <w:tcPr>
            <w:tcW w:w="2178" w:type="dxa"/>
            <w:tcBorders>
              <w:left w:val="nil"/>
            </w:tcBorders>
          </w:tcPr>
          <w:p w14:paraId="7AC0F9DE" w14:textId="77777777" w:rsidR="00FF7413" w:rsidRPr="00012BC3" w:rsidRDefault="00FF7413" w:rsidP="00F077E6">
            <w:pPr>
              <w:rPr>
                <w:sz w:val="22"/>
                <w:szCs w:val="22"/>
              </w:rPr>
            </w:pPr>
            <w:r w:rsidRPr="00012BC3">
              <w:rPr>
                <w:sz w:val="22"/>
                <w:szCs w:val="22"/>
              </w:rPr>
              <w:t>Aantal Inwoners</w:t>
            </w:r>
          </w:p>
        </w:tc>
        <w:tc>
          <w:tcPr>
            <w:tcW w:w="1224" w:type="dxa"/>
          </w:tcPr>
          <w:p w14:paraId="583EB6C7" w14:textId="77777777" w:rsidR="00FF7413" w:rsidRPr="00012BC3" w:rsidRDefault="00FF7413" w:rsidP="00F077E6">
            <w:pPr>
              <w:rPr>
                <w:sz w:val="22"/>
                <w:szCs w:val="22"/>
              </w:rPr>
            </w:pPr>
            <w:r w:rsidRPr="00012BC3">
              <w:rPr>
                <w:sz w:val="22"/>
                <w:szCs w:val="22"/>
              </w:rPr>
              <w:t>10</w:t>
            </w:r>
          </w:p>
        </w:tc>
        <w:tc>
          <w:tcPr>
            <w:tcW w:w="5624" w:type="dxa"/>
            <w:tcBorders>
              <w:right w:val="nil"/>
            </w:tcBorders>
          </w:tcPr>
          <w:p w14:paraId="78F6D751" w14:textId="77777777" w:rsidR="00FF7413" w:rsidRPr="00012BC3" w:rsidRDefault="00FF7413" w:rsidP="00F077E6">
            <w:pPr>
              <w:rPr>
                <w:sz w:val="22"/>
                <w:szCs w:val="22"/>
              </w:rPr>
            </w:pPr>
            <w:r w:rsidRPr="00012BC3">
              <w:rPr>
                <w:sz w:val="22"/>
                <w:szCs w:val="22"/>
              </w:rPr>
              <w:t>N.v.t.</w:t>
            </w:r>
          </w:p>
        </w:tc>
      </w:tr>
      <w:tr w:rsidR="00FF7413" w:rsidRPr="00012BC3" w14:paraId="6848AE7E" w14:textId="77777777" w:rsidTr="00F077E6">
        <w:tc>
          <w:tcPr>
            <w:tcW w:w="2178" w:type="dxa"/>
            <w:tcBorders>
              <w:left w:val="nil"/>
              <w:bottom w:val="single" w:sz="12" w:space="0" w:color="auto"/>
            </w:tcBorders>
          </w:tcPr>
          <w:p w14:paraId="4C9B287A" w14:textId="77777777" w:rsidR="00FF7413" w:rsidRPr="00012BC3" w:rsidRDefault="00FF7413" w:rsidP="00F077E6">
            <w:pPr>
              <w:rPr>
                <w:sz w:val="22"/>
                <w:szCs w:val="22"/>
              </w:rPr>
            </w:pPr>
            <w:r w:rsidRPr="00012BC3">
              <w:rPr>
                <w:sz w:val="22"/>
                <w:szCs w:val="22"/>
              </w:rPr>
              <w:t>Inwoners per woning</w:t>
            </w:r>
          </w:p>
        </w:tc>
        <w:tc>
          <w:tcPr>
            <w:tcW w:w="1224" w:type="dxa"/>
            <w:tcBorders>
              <w:bottom w:val="single" w:sz="12" w:space="0" w:color="auto"/>
            </w:tcBorders>
          </w:tcPr>
          <w:p w14:paraId="776CA1B0" w14:textId="77777777" w:rsidR="00FF7413" w:rsidRPr="00012BC3" w:rsidRDefault="00FF7413" w:rsidP="00F077E6">
            <w:pPr>
              <w:rPr>
                <w:sz w:val="22"/>
                <w:szCs w:val="22"/>
              </w:rPr>
            </w:pPr>
            <w:r w:rsidRPr="00012BC3">
              <w:rPr>
                <w:sz w:val="22"/>
                <w:szCs w:val="22"/>
              </w:rPr>
              <w:t>2.11</w:t>
            </w:r>
          </w:p>
        </w:tc>
        <w:tc>
          <w:tcPr>
            <w:tcW w:w="5624" w:type="dxa"/>
            <w:tcBorders>
              <w:bottom w:val="single" w:sz="12" w:space="0" w:color="auto"/>
              <w:right w:val="nil"/>
            </w:tcBorders>
          </w:tcPr>
          <w:p w14:paraId="1D83E72F" w14:textId="77777777" w:rsidR="00FF7413" w:rsidRPr="00012BC3" w:rsidRDefault="00FF7413" w:rsidP="00F077E6">
            <w:pPr>
              <w:rPr>
                <w:sz w:val="22"/>
                <w:szCs w:val="22"/>
              </w:rPr>
            </w:pPr>
            <w:r w:rsidRPr="00012BC3">
              <w:rPr>
                <w:sz w:val="22"/>
                <w:szCs w:val="22"/>
              </w:rPr>
              <w:t xml:space="preserve">Wordt bepaald met een afgeknotte </w:t>
            </w:r>
            <w:proofErr w:type="spellStart"/>
            <w:r w:rsidRPr="00012BC3">
              <w:rPr>
                <w:sz w:val="22"/>
                <w:szCs w:val="22"/>
              </w:rPr>
              <w:t>Poisson</w:t>
            </w:r>
            <w:proofErr w:type="spellEnd"/>
            <w:r w:rsidRPr="00012BC3">
              <w:rPr>
                <w:sz w:val="22"/>
                <w:szCs w:val="22"/>
              </w:rPr>
              <w:t>-verdeling zodat het aantal niet 0 kan zijn.</w:t>
            </w:r>
          </w:p>
        </w:tc>
      </w:tr>
      <w:tr w:rsidR="00FF7413" w:rsidRPr="00012BC3" w14:paraId="0B69125E" w14:textId="77777777" w:rsidTr="00F077E6">
        <w:tc>
          <w:tcPr>
            <w:tcW w:w="9026" w:type="dxa"/>
            <w:gridSpan w:val="3"/>
            <w:tcBorders>
              <w:left w:val="nil"/>
              <w:right w:val="nil"/>
            </w:tcBorders>
            <w:shd w:val="clear" w:color="auto" w:fill="D1D1D1" w:themeFill="background2" w:themeFillShade="E6"/>
          </w:tcPr>
          <w:p w14:paraId="475B0F5C" w14:textId="77777777" w:rsidR="00FF7413" w:rsidRPr="00012BC3" w:rsidRDefault="00FF7413" w:rsidP="00F077E6">
            <w:pPr>
              <w:jc w:val="center"/>
              <w:rPr>
                <w:b/>
                <w:bCs/>
                <w:sz w:val="22"/>
                <w:szCs w:val="22"/>
              </w:rPr>
            </w:pPr>
            <w:r w:rsidRPr="00012BC3">
              <w:rPr>
                <w:b/>
                <w:bCs/>
                <w:sz w:val="22"/>
                <w:szCs w:val="22"/>
              </w:rPr>
              <w:t>Woning</w:t>
            </w:r>
          </w:p>
        </w:tc>
      </w:tr>
      <w:tr w:rsidR="00FF7413" w:rsidRPr="00012BC3" w14:paraId="1248B136" w14:textId="77777777" w:rsidTr="00F077E6">
        <w:tc>
          <w:tcPr>
            <w:tcW w:w="2178" w:type="dxa"/>
            <w:tcBorders>
              <w:top w:val="single" w:sz="12" w:space="0" w:color="auto"/>
              <w:left w:val="nil"/>
            </w:tcBorders>
          </w:tcPr>
          <w:p w14:paraId="58F260BC" w14:textId="77777777" w:rsidR="00FF7413" w:rsidRPr="00012BC3" w:rsidRDefault="00FF7413" w:rsidP="00F077E6">
            <w:pPr>
              <w:rPr>
                <w:sz w:val="22"/>
                <w:szCs w:val="22"/>
              </w:rPr>
            </w:pPr>
            <w:r w:rsidRPr="00012BC3">
              <w:rPr>
                <w:sz w:val="22"/>
                <w:szCs w:val="22"/>
              </w:rPr>
              <w:t>Type Woning</w:t>
            </w:r>
          </w:p>
        </w:tc>
        <w:tc>
          <w:tcPr>
            <w:tcW w:w="1224" w:type="dxa"/>
            <w:tcBorders>
              <w:top w:val="single" w:sz="12" w:space="0" w:color="auto"/>
            </w:tcBorders>
          </w:tcPr>
          <w:p w14:paraId="6575FC2A" w14:textId="77777777" w:rsidR="00FF7413" w:rsidRPr="00012BC3" w:rsidRDefault="00FF7413" w:rsidP="00F077E6">
            <w:pPr>
              <w:rPr>
                <w:sz w:val="22"/>
                <w:szCs w:val="22"/>
              </w:rPr>
            </w:pPr>
            <w:r w:rsidRPr="00012BC3">
              <w:rPr>
                <w:sz w:val="22"/>
                <w:szCs w:val="22"/>
              </w:rPr>
              <w:t>-</w:t>
            </w:r>
          </w:p>
        </w:tc>
        <w:tc>
          <w:tcPr>
            <w:tcW w:w="5624" w:type="dxa"/>
            <w:tcBorders>
              <w:top w:val="single" w:sz="12" w:space="0" w:color="auto"/>
              <w:right w:val="nil"/>
            </w:tcBorders>
          </w:tcPr>
          <w:p w14:paraId="7A57B85D" w14:textId="77777777" w:rsidR="00FF7413" w:rsidRPr="00012BC3" w:rsidRDefault="00FF7413" w:rsidP="00F077E6">
            <w:pPr>
              <w:rPr>
                <w:sz w:val="22"/>
                <w:szCs w:val="22"/>
              </w:rPr>
            </w:pPr>
            <w:r w:rsidRPr="289C9A82">
              <w:rPr>
                <w:sz w:val="22"/>
                <w:szCs w:val="22"/>
              </w:rPr>
              <w:t>100% koopwoningen en 0% huurwoningen</w:t>
            </w:r>
          </w:p>
        </w:tc>
      </w:tr>
      <w:tr w:rsidR="00FF7413" w:rsidRPr="00012BC3" w14:paraId="30A2EF47" w14:textId="77777777" w:rsidTr="00F077E6">
        <w:tc>
          <w:tcPr>
            <w:tcW w:w="2178" w:type="dxa"/>
            <w:tcBorders>
              <w:left w:val="nil"/>
              <w:bottom w:val="single" w:sz="12" w:space="0" w:color="auto"/>
            </w:tcBorders>
          </w:tcPr>
          <w:p w14:paraId="09C32DFA" w14:textId="77777777" w:rsidR="00FF7413" w:rsidRPr="00012BC3" w:rsidRDefault="00FF7413" w:rsidP="00F077E6">
            <w:pPr>
              <w:rPr>
                <w:sz w:val="22"/>
                <w:szCs w:val="22"/>
              </w:rPr>
            </w:pPr>
            <w:r w:rsidRPr="00012BC3">
              <w:rPr>
                <w:sz w:val="22"/>
                <w:szCs w:val="22"/>
              </w:rPr>
              <w:t>Energiecontract</w:t>
            </w:r>
          </w:p>
        </w:tc>
        <w:tc>
          <w:tcPr>
            <w:tcW w:w="1224" w:type="dxa"/>
            <w:tcBorders>
              <w:bottom w:val="single" w:sz="12" w:space="0" w:color="auto"/>
            </w:tcBorders>
          </w:tcPr>
          <w:p w14:paraId="1FC77CA1" w14:textId="77777777" w:rsidR="00FF7413" w:rsidRPr="00012BC3" w:rsidRDefault="00FF7413" w:rsidP="00F077E6">
            <w:pPr>
              <w:rPr>
                <w:sz w:val="22"/>
                <w:szCs w:val="22"/>
              </w:rPr>
            </w:pPr>
          </w:p>
        </w:tc>
        <w:tc>
          <w:tcPr>
            <w:tcW w:w="5624" w:type="dxa"/>
            <w:tcBorders>
              <w:bottom w:val="single" w:sz="12" w:space="0" w:color="auto"/>
              <w:right w:val="nil"/>
            </w:tcBorders>
          </w:tcPr>
          <w:p w14:paraId="4304F7CB" w14:textId="77777777" w:rsidR="00FF7413" w:rsidRPr="00012BC3" w:rsidRDefault="00FF7413" w:rsidP="00F077E6">
            <w:pPr>
              <w:rPr>
                <w:sz w:val="22"/>
                <w:szCs w:val="22"/>
              </w:rPr>
            </w:pPr>
          </w:p>
        </w:tc>
      </w:tr>
      <w:tr w:rsidR="00FF7413" w:rsidRPr="00012BC3" w14:paraId="399F33E8" w14:textId="77777777" w:rsidTr="00F077E6">
        <w:tc>
          <w:tcPr>
            <w:tcW w:w="9026" w:type="dxa"/>
            <w:gridSpan w:val="3"/>
            <w:tcBorders>
              <w:left w:val="nil"/>
              <w:right w:val="nil"/>
            </w:tcBorders>
            <w:shd w:val="clear" w:color="auto" w:fill="D1D1D1" w:themeFill="background2" w:themeFillShade="E6"/>
          </w:tcPr>
          <w:p w14:paraId="75C24A09" w14:textId="77777777" w:rsidR="00FF7413" w:rsidRPr="00012BC3" w:rsidRDefault="00FF7413" w:rsidP="00F077E6">
            <w:pPr>
              <w:jc w:val="center"/>
              <w:rPr>
                <w:b/>
                <w:bCs/>
                <w:sz w:val="22"/>
                <w:szCs w:val="22"/>
              </w:rPr>
            </w:pPr>
            <w:r w:rsidRPr="00012BC3">
              <w:rPr>
                <w:b/>
                <w:bCs/>
                <w:sz w:val="22"/>
                <w:szCs w:val="22"/>
              </w:rPr>
              <w:t>Inwoner</w:t>
            </w:r>
          </w:p>
        </w:tc>
      </w:tr>
      <w:tr w:rsidR="00FF7413" w:rsidRPr="00012BC3" w14:paraId="479A2936" w14:textId="77777777" w:rsidTr="00F077E6">
        <w:tc>
          <w:tcPr>
            <w:tcW w:w="2178" w:type="dxa"/>
            <w:tcBorders>
              <w:top w:val="single" w:sz="12" w:space="0" w:color="auto"/>
              <w:left w:val="nil"/>
            </w:tcBorders>
          </w:tcPr>
          <w:p w14:paraId="2B970FD8" w14:textId="77777777" w:rsidR="00FF7413" w:rsidRPr="00012BC3" w:rsidRDefault="00FF7413" w:rsidP="00F077E6">
            <w:pPr>
              <w:rPr>
                <w:sz w:val="22"/>
                <w:szCs w:val="22"/>
              </w:rPr>
            </w:pPr>
            <w:r w:rsidRPr="00012BC3">
              <w:rPr>
                <w:sz w:val="22"/>
                <w:szCs w:val="22"/>
              </w:rPr>
              <w:t>Leeftijd</w:t>
            </w:r>
          </w:p>
        </w:tc>
        <w:tc>
          <w:tcPr>
            <w:tcW w:w="1224" w:type="dxa"/>
            <w:tcBorders>
              <w:top w:val="single" w:sz="12" w:space="0" w:color="auto"/>
            </w:tcBorders>
          </w:tcPr>
          <w:p w14:paraId="5D478CA9" w14:textId="77777777" w:rsidR="00FF7413" w:rsidRPr="00012BC3" w:rsidRDefault="00FF7413" w:rsidP="00F077E6">
            <w:pPr>
              <w:rPr>
                <w:sz w:val="22"/>
                <w:szCs w:val="22"/>
              </w:rPr>
            </w:pPr>
            <w:r w:rsidRPr="00012BC3">
              <w:rPr>
                <w:sz w:val="22"/>
                <w:szCs w:val="22"/>
              </w:rPr>
              <w:t>42.4,</w:t>
            </w:r>
          </w:p>
          <w:p w14:paraId="1CEC1C45" w14:textId="77777777" w:rsidR="00FF7413" w:rsidRPr="00012BC3" w:rsidRDefault="00FF7413" w:rsidP="00F077E6">
            <w:pPr>
              <w:rPr>
                <w:sz w:val="22"/>
                <w:szCs w:val="22"/>
              </w:rPr>
            </w:pPr>
            <w:r w:rsidRPr="00012BC3">
              <w:rPr>
                <w:sz w:val="22"/>
                <w:szCs w:val="22"/>
              </w:rPr>
              <w:t>σ 12-15</w:t>
            </w:r>
          </w:p>
        </w:tc>
        <w:tc>
          <w:tcPr>
            <w:tcW w:w="5624" w:type="dxa"/>
            <w:tcBorders>
              <w:top w:val="single" w:sz="12" w:space="0" w:color="auto"/>
              <w:right w:val="nil"/>
            </w:tcBorders>
          </w:tcPr>
          <w:p w14:paraId="2905339F" w14:textId="77777777" w:rsidR="00FF7413" w:rsidRPr="00012BC3" w:rsidRDefault="00FF7413" w:rsidP="00F077E6">
            <w:pPr>
              <w:rPr>
                <w:sz w:val="22"/>
                <w:szCs w:val="22"/>
              </w:rPr>
            </w:pPr>
            <w:r w:rsidRPr="00012BC3">
              <w:rPr>
                <w:sz w:val="22"/>
                <w:szCs w:val="22"/>
              </w:rPr>
              <w:t>Wordt berekend d.m.v. een afgeknotte normale verdeling, met 18 als minimumleeftijd.</w:t>
            </w:r>
          </w:p>
        </w:tc>
      </w:tr>
      <w:tr w:rsidR="00FF7413" w:rsidRPr="00012BC3" w14:paraId="45DBECF7" w14:textId="77777777" w:rsidTr="00F077E6">
        <w:tc>
          <w:tcPr>
            <w:tcW w:w="2178" w:type="dxa"/>
            <w:tcBorders>
              <w:left w:val="nil"/>
            </w:tcBorders>
          </w:tcPr>
          <w:p w14:paraId="002BDD47" w14:textId="77777777" w:rsidR="00FF7413" w:rsidRPr="00012BC3" w:rsidRDefault="00FF7413" w:rsidP="00F077E6">
            <w:r w:rsidRPr="00012BC3">
              <w:t>Inkomen</w:t>
            </w:r>
          </w:p>
        </w:tc>
        <w:tc>
          <w:tcPr>
            <w:tcW w:w="1224" w:type="dxa"/>
          </w:tcPr>
          <w:p w14:paraId="2DD4AC69" w14:textId="77777777" w:rsidR="00FF7413" w:rsidRPr="00012BC3" w:rsidRDefault="00FF7413" w:rsidP="00F077E6">
            <w:r w:rsidRPr="00012BC3">
              <w:t>€46.900,</w:t>
            </w:r>
          </w:p>
          <w:p w14:paraId="52E6F3CA" w14:textId="77777777" w:rsidR="00FF7413" w:rsidRPr="00012BC3" w:rsidRDefault="00FF7413" w:rsidP="00F077E6">
            <w:r w:rsidRPr="00012BC3">
              <w:t>σ 0.8-1.2</w:t>
            </w:r>
          </w:p>
        </w:tc>
        <w:tc>
          <w:tcPr>
            <w:tcW w:w="5624" w:type="dxa"/>
            <w:tcBorders>
              <w:right w:val="nil"/>
            </w:tcBorders>
          </w:tcPr>
          <w:p w14:paraId="012364BA" w14:textId="77777777" w:rsidR="00FF7413" w:rsidRPr="00012BC3" w:rsidRDefault="00FF7413" w:rsidP="00F077E6">
            <w:r w:rsidRPr="00012BC3">
              <w:t>Lognormale verdeling waarbij de meerderheid van de bevolking onder het gemiddelde verdient, en er een aantal uitschieters zijn voor een realistisch beeld.</w:t>
            </w:r>
          </w:p>
        </w:tc>
      </w:tr>
      <w:tr w:rsidR="00FF7413" w:rsidRPr="00012BC3" w14:paraId="1E0982EB" w14:textId="77777777" w:rsidTr="00F077E6">
        <w:tc>
          <w:tcPr>
            <w:tcW w:w="2178" w:type="dxa"/>
            <w:tcBorders>
              <w:left w:val="nil"/>
            </w:tcBorders>
          </w:tcPr>
          <w:p w14:paraId="211E9ED1" w14:textId="77777777" w:rsidR="00FF7413" w:rsidRPr="00012BC3" w:rsidRDefault="00FF7413" w:rsidP="00F077E6">
            <w:pPr>
              <w:rPr>
                <w:sz w:val="22"/>
                <w:szCs w:val="22"/>
              </w:rPr>
            </w:pPr>
            <w:r w:rsidRPr="00012BC3">
              <w:rPr>
                <w:sz w:val="22"/>
                <w:szCs w:val="22"/>
              </w:rPr>
              <w:t>TPB-factoren</w:t>
            </w:r>
          </w:p>
        </w:tc>
        <w:tc>
          <w:tcPr>
            <w:tcW w:w="1224" w:type="dxa"/>
          </w:tcPr>
          <w:p w14:paraId="2EBF8A20" w14:textId="77777777" w:rsidR="00FF7413" w:rsidRPr="00012BC3" w:rsidRDefault="00FF7413" w:rsidP="00F077E6">
            <w:pPr>
              <w:rPr>
                <w:sz w:val="22"/>
                <w:szCs w:val="22"/>
              </w:rPr>
            </w:pPr>
            <w:r w:rsidRPr="00012BC3">
              <w:rPr>
                <w:sz w:val="22"/>
                <w:szCs w:val="22"/>
              </w:rPr>
              <w:t>-</w:t>
            </w:r>
          </w:p>
        </w:tc>
        <w:tc>
          <w:tcPr>
            <w:tcW w:w="5624" w:type="dxa"/>
            <w:tcBorders>
              <w:right w:val="nil"/>
            </w:tcBorders>
          </w:tcPr>
          <w:p w14:paraId="0522AB12" w14:textId="77777777" w:rsidR="00FF7413" w:rsidRPr="00012BC3" w:rsidRDefault="00FF7413" w:rsidP="00F077E6">
            <w:pPr>
              <w:rPr>
                <w:sz w:val="22"/>
                <w:szCs w:val="22"/>
              </w:rPr>
            </w:pPr>
            <w:r w:rsidRPr="00012BC3">
              <w:rPr>
                <w:sz w:val="22"/>
                <w:szCs w:val="22"/>
              </w:rPr>
              <w:t>(zie Berekening factoren en wegingen)</w:t>
            </w:r>
          </w:p>
        </w:tc>
      </w:tr>
      <w:tr w:rsidR="00FF7413" w:rsidRPr="00012BC3" w14:paraId="4389D481" w14:textId="77777777" w:rsidTr="00F077E6">
        <w:tc>
          <w:tcPr>
            <w:tcW w:w="2178" w:type="dxa"/>
            <w:tcBorders>
              <w:left w:val="nil"/>
            </w:tcBorders>
          </w:tcPr>
          <w:p w14:paraId="6DF03FBE" w14:textId="77777777" w:rsidR="00FF7413" w:rsidRPr="00012BC3" w:rsidRDefault="00FF7413" w:rsidP="00F077E6">
            <w:pPr>
              <w:rPr>
                <w:sz w:val="22"/>
                <w:szCs w:val="22"/>
              </w:rPr>
            </w:pPr>
            <w:r w:rsidRPr="00012BC3">
              <w:rPr>
                <w:sz w:val="22"/>
                <w:szCs w:val="22"/>
              </w:rPr>
              <w:t>TPB-</w:t>
            </w:r>
            <w:proofErr w:type="spellStart"/>
            <w:r w:rsidRPr="00012BC3">
              <w:rPr>
                <w:sz w:val="22"/>
                <w:szCs w:val="22"/>
              </w:rPr>
              <w:t>weights</w:t>
            </w:r>
            <w:proofErr w:type="spellEnd"/>
          </w:p>
        </w:tc>
        <w:tc>
          <w:tcPr>
            <w:tcW w:w="1224" w:type="dxa"/>
          </w:tcPr>
          <w:p w14:paraId="34CA5C14" w14:textId="77777777" w:rsidR="00FF7413" w:rsidRPr="00012BC3" w:rsidRDefault="00FF7413" w:rsidP="00F077E6">
            <w:pPr>
              <w:rPr>
                <w:sz w:val="22"/>
                <w:szCs w:val="22"/>
              </w:rPr>
            </w:pPr>
            <w:r w:rsidRPr="00012BC3">
              <w:rPr>
                <w:sz w:val="22"/>
                <w:szCs w:val="22"/>
              </w:rPr>
              <w:t>Willekeurige waarde tussen 0 en 1</w:t>
            </w:r>
          </w:p>
        </w:tc>
        <w:tc>
          <w:tcPr>
            <w:tcW w:w="5624" w:type="dxa"/>
            <w:tcBorders>
              <w:right w:val="nil"/>
            </w:tcBorders>
          </w:tcPr>
          <w:p w14:paraId="523B2F13" w14:textId="77777777" w:rsidR="00FF7413" w:rsidRPr="00012BC3" w:rsidRDefault="00FF7413" w:rsidP="00F077E6">
            <w:pPr>
              <w:rPr>
                <w:sz w:val="22"/>
                <w:szCs w:val="22"/>
              </w:rPr>
            </w:pPr>
            <w:r w:rsidRPr="00012BC3">
              <w:rPr>
                <w:sz w:val="22"/>
                <w:szCs w:val="22"/>
              </w:rPr>
              <w:t>N.v.t.</w:t>
            </w:r>
          </w:p>
        </w:tc>
      </w:tr>
    </w:tbl>
    <w:p w14:paraId="19AA2239" w14:textId="77777777" w:rsidR="00FF7413" w:rsidRPr="00012BC3" w:rsidRDefault="00FF7413" w:rsidP="00FF7413"/>
    <w:p w14:paraId="2EEF9184" w14:textId="77777777" w:rsidR="00FF7413" w:rsidRPr="00012BC3" w:rsidRDefault="00FF7413" w:rsidP="00FF7413">
      <w:pPr>
        <w:pStyle w:val="Kop3"/>
      </w:pPr>
      <w:bookmarkStart w:id="13" w:name="_Toc195655768"/>
      <w:r w:rsidRPr="00012BC3">
        <w:t>Aantal inwoners per huishouden</w:t>
      </w:r>
      <w:bookmarkEnd w:id="13"/>
    </w:p>
    <w:p w14:paraId="37AE4042" w14:textId="77777777" w:rsidR="00FF7413" w:rsidRPr="00012BC3" w:rsidRDefault="00FF7413" w:rsidP="00FF7413">
      <w:pPr>
        <w:rPr>
          <w:sz w:val="22"/>
          <w:szCs w:val="22"/>
        </w:rPr>
      </w:pPr>
      <w:r w:rsidRPr="00012BC3">
        <w:rPr>
          <w:sz w:val="22"/>
          <w:szCs w:val="22"/>
        </w:rPr>
        <w:t xml:space="preserve">In de simulatie wordt het aantal inwoners verdeeld over woningen, waarbij het gemiddelde aantal inwoners per woning 2,11 bedraagt. Omdat een woning altijd minstens één bewoner moet hebben, wordt hiervoor een afgeknotte </w:t>
      </w:r>
      <w:proofErr w:type="spellStart"/>
      <w:r w:rsidRPr="00012BC3">
        <w:rPr>
          <w:sz w:val="22"/>
          <w:szCs w:val="22"/>
        </w:rPr>
        <w:t>Poisson</w:t>
      </w:r>
      <w:proofErr w:type="spellEnd"/>
      <w:r w:rsidRPr="00012BC3">
        <w:rPr>
          <w:sz w:val="22"/>
          <w:szCs w:val="22"/>
        </w:rPr>
        <w:t>-verdeling gebruikt, zodat het aantal inwoners per woning nooit nul kan zijn (zie Startwaarden).</w:t>
      </w:r>
    </w:p>
    <w:p w14:paraId="32E3EC82" w14:textId="77777777" w:rsidR="00FF7413" w:rsidRPr="00012BC3" w:rsidRDefault="00FF7413" w:rsidP="00FF7413">
      <w:r w:rsidRPr="00012BC3">
        <w:rPr>
          <w:sz w:val="22"/>
          <w:szCs w:val="22"/>
        </w:rPr>
        <w:t xml:space="preserve">Het totale aantal woningen wordt niet vooraf vastgesteld. In plaats daarvan worden de inwoners verdeeld over woningen volgens de afgeknotte </w:t>
      </w:r>
      <w:proofErr w:type="spellStart"/>
      <w:r w:rsidRPr="00012BC3">
        <w:rPr>
          <w:sz w:val="22"/>
          <w:szCs w:val="22"/>
        </w:rPr>
        <w:t>Poisson</w:t>
      </w:r>
      <w:proofErr w:type="spellEnd"/>
      <w:r w:rsidRPr="00012BC3">
        <w:rPr>
          <w:sz w:val="22"/>
          <w:szCs w:val="22"/>
        </w:rPr>
        <w:t>-verdeling. Omdat een woning altijd een geheel aantal inwoners moet hebben, kan het voorkomen dat er een "overblijver" is die niet binnen de standaardverdeling past. In dat geval krijgt deze overblijvende inwoner een eigen woning toegewezen. Dit zorgt ervoor dat het aantal woningen zich dynamisch aanpast aan het aantal inwoners in de simulatie.</w:t>
      </w:r>
    </w:p>
    <w:p w14:paraId="6F11B5DE" w14:textId="77777777" w:rsidR="00D47867" w:rsidRDefault="00D47867"/>
    <w:sectPr w:rsidR="00D47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949"/>
    <w:multiLevelType w:val="multilevel"/>
    <w:tmpl w:val="551E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E7B0F"/>
    <w:multiLevelType w:val="hybridMultilevel"/>
    <w:tmpl w:val="7FE6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E950DA"/>
    <w:multiLevelType w:val="hybridMultilevel"/>
    <w:tmpl w:val="188C2A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9920B3"/>
    <w:multiLevelType w:val="multilevel"/>
    <w:tmpl w:val="5BB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D4F95"/>
    <w:multiLevelType w:val="multilevel"/>
    <w:tmpl w:val="B0DEA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9258E"/>
    <w:multiLevelType w:val="multilevel"/>
    <w:tmpl w:val="EEB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14504"/>
    <w:multiLevelType w:val="hybridMultilevel"/>
    <w:tmpl w:val="B57020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0661CE"/>
    <w:multiLevelType w:val="multilevel"/>
    <w:tmpl w:val="B82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61B4F"/>
    <w:multiLevelType w:val="multilevel"/>
    <w:tmpl w:val="B34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A14806"/>
    <w:multiLevelType w:val="multilevel"/>
    <w:tmpl w:val="8E4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B46A0"/>
    <w:multiLevelType w:val="multilevel"/>
    <w:tmpl w:val="49C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5761CB"/>
    <w:multiLevelType w:val="multilevel"/>
    <w:tmpl w:val="DBF034AE"/>
    <w:lvl w:ilvl="0">
      <w:start w:val="2"/>
      <w:numFmt w:val="decimal"/>
      <w:lvlText w:val="%1."/>
      <w:lvlJc w:val="left"/>
      <w:pPr>
        <w:ind w:left="756" w:hanging="756"/>
      </w:pPr>
      <w:rPr>
        <w:rFonts w:hint="default"/>
      </w:rPr>
    </w:lvl>
    <w:lvl w:ilvl="1">
      <w:start w:val="1"/>
      <w:numFmt w:val="decimal"/>
      <w:lvlText w:val="%1.%2."/>
      <w:lvlJc w:val="left"/>
      <w:pPr>
        <w:ind w:left="936" w:hanging="756"/>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2" w15:restartNumberingAfterBreak="0">
    <w:nsid w:val="469D3984"/>
    <w:multiLevelType w:val="multilevel"/>
    <w:tmpl w:val="757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58334A"/>
    <w:multiLevelType w:val="multilevel"/>
    <w:tmpl w:val="DC7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6473CE"/>
    <w:multiLevelType w:val="multilevel"/>
    <w:tmpl w:val="E43E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CA73FA"/>
    <w:multiLevelType w:val="hybridMultilevel"/>
    <w:tmpl w:val="4246E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04B264C"/>
    <w:multiLevelType w:val="multilevel"/>
    <w:tmpl w:val="D9DA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14972"/>
    <w:multiLevelType w:val="multilevel"/>
    <w:tmpl w:val="D78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DB46C0"/>
    <w:multiLevelType w:val="multilevel"/>
    <w:tmpl w:val="DB5E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4C1841"/>
    <w:multiLevelType w:val="multilevel"/>
    <w:tmpl w:val="44D2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885BD7"/>
    <w:multiLevelType w:val="multilevel"/>
    <w:tmpl w:val="05F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0B34E5"/>
    <w:multiLevelType w:val="multilevel"/>
    <w:tmpl w:val="CF6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F83DD8"/>
    <w:multiLevelType w:val="hybridMultilevel"/>
    <w:tmpl w:val="8A5453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22D0B1A"/>
    <w:multiLevelType w:val="hybridMultilevel"/>
    <w:tmpl w:val="51A48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34D229D"/>
    <w:multiLevelType w:val="multilevel"/>
    <w:tmpl w:val="16366EFC"/>
    <w:lvl w:ilvl="0">
      <w:start w:val="2"/>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916635">
    <w:abstractNumId w:val="18"/>
  </w:num>
  <w:num w:numId="2" w16cid:durableId="859898969">
    <w:abstractNumId w:val="5"/>
  </w:num>
  <w:num w:numId="3" w16cid:durableId="1519852651">
    <w:abstractNumId w:val="21"/>
  </w:num>
  <w:num w:numId="4" w16cid:durableId="1186290710">
    <w:abstractNumId w:val="7"/>
  </w:num>
  <w:num w:numId="5" w16cid:durableId="2002659682">
    <w:abstractNumId w:val="17"/>
  </w:num>
  <w:num w:numId="6" w16cid:durableId="1411389649">
    <w:abstractNumId w:val="3"/>
  </w:num>
  <w:num w:numId="7" w16cid:durableId="1044448908">
    <w:abstractNumId w:val="9"/>
  </w:num>
  <w:num w:numId="8" w16cid:durableId="884294136">
    <w:abstractNumId w:val="19"/>
  </w:num>
  <w:num w:numId="9" w16cid:durableId="919943168">
    <w:abstractNumId w:val="10"/>
  </w:num>
  <w:num w:numId="10" w16cid:durableId="459031587">
    <w:abstractNumId w:val="0"/>
  </w:num>
  <w:num w:numId="11" w16cid:durableId="813569771">
    <w:abstractNumId w:val="20"/>
  </w:num>
  <w:num w:numId="12" w16cid:durableId="410205268">
    <w:abstractNumId w:val="14"/>
  </w:num>
  <w:num w:numId="13" w16cid:durableId="704908255">
    <w:abstractNumId w:val="8"/>
  </w:num>
  <w:num w:numId="14" w16cid:durableId="1509248137">
    <w:abstractNumId w:val="13"/>
  </w:num>
  <w:num w:numId="15" w16cid:durableId="1381981621">
    <w:abstractNumId w:val="12"/>
  </w:num>
  <w:num w:numId="16" w16cid:durableId="518003850">
    <w:abstractNumId w:val="1"/>
  </w:num>
  <w:num w:numId="17" w16cid:durableId="396392545">
    <w:abstractNumId w:val="22"/>
  </w:num>
  <w:num w:numId="18" w16cid:durableId="1285379933">
    <w:abstractNumId w:val="15"/>
  </w:num>
  <w:num w:numId="19" w16cid:durableId="198863661">
    <w:abstractNumId w:val="16"/>
  </w:num>
  <w:num w:numId="20" w16cid:durableId="147669737">
    <w:abstractNumId w:val="24"/>
  </w:num>
  <w:num w:numId="21" w16cid:durableId="633953339">
    <w:abstractNumId w:val="4"/>
  </w:num>
  <w:num w:numId="22" w16cid:durableId="384836262">
    <w:abstractNumId w:val="2"/>
  </w:num>
  <w:num w:numId="23" w16cid:durableId="259022027">
    <w:abstractNumId w:val="6"/>
  </w:num>
  <w:num w:numId="24" w16cid:durableId="385882573">
    <w:abstractNumId w:val="23"/>
  </w:num>
  <w:num w:numId="25" w16cid:durableId="10617097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9156AB"/>
    <w:rsid w:val="000A0370"/>
    <w:rsid w:val="001354A2"/>
    <w:rsid w:val="004E70DC"/>
    <w:rsid w:val="007A26C5"/>
    <w:rsid w:val="00AE77DA"/>
    <w:rsid w:val="00D215AA"/>
    <w:rsid w:val="00D47867"/>
    <w:rsid w:val="00DD2CC1"/>
    <w:rsid w:val="00F077E6"/>
    <w:rsid w:val="00FF7413"/>
    <w:rsid w:val="369156AB"/>
    <w:rsid w:val="3FE0A3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56AB"/>
  <w15:chartTrackingRefBased/>
  <w15:docId w15:val="{8D16543E-A0B9-4371-9C69-0C0A3A7A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77E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Kop2">
    <w:name w:val="heading 2"/>
    <w:basedOn w:val="Standaard"/>
    <w:next w:val="Standaard"/>
    <w:link w:val="Kop2Char"/>
    <w:uiPriority w:val="9"/>
    <w:unhideWhenUsed/>
    <w:qFormat/>
    <w:rsid w:val="00FF7413"/>
    <w:pPr>
      <w:keepNext/>
      <w:keepLines/>
      <w:spacing w:before="40" w:after="0"/>
      <w:outlineLvl w:val="1"/>
    </w:pPr>
    <w:rPr>
      <w:rFonts w:asciiTheme="majorHAnsi" w:eastAsiaTheme="majorEastAsia" w:hAnsiTheme="majorHAnsi" w:cstheme="majorBidi"/>
      <w:color w:val="0F4761" w:themeColor="accent1" w:themeShade="BF"/>
      <w:sz w:val="32"/>
      <w:szCs w:val="26"/>
    </w:rPr>
  </w:style>
  <w:style w:type="paragraph" w:styleId="Kop3">
    <w:name w:val="heading 3"/>
    <w:basedOn w:val="Standaard"/>
    <w:next w:val="Standaard"/>
    <w:link w:val="Kop3Char"/>
    <w:uiPriority w:val="9"/>
    <w:unhideWhenUsed/>
    <w:qFormat/>
    <w:rsid w:val="00FF7413"/>
    <w:pPr>
      <w:keepNext/>
      <w:keepLines/>
      <w:spacing w:before="40" w:after="0"/>
      <w:outlineLvl w:val="2"/>
    </w:pPr>
    <w:rPr>
      <w:rFonts w:asciiTheme="majorHAnsi" w:eastAsiaTheme="majorEastAsia" w:hAnsiTheme="majorHAnsi" w:cstheme="majorBidi"/>
      <w:color w:val="0A2F40" w:themeColor="accent1" w:themeShade="7F"/>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F7413"/>
    <w:rPr>
      <w:rFonts w:asciiTheme="majorHAnsi" w:eastAsiaTheme="majorEastAsia" w:hAnsiTheme="majorHAnsi" w:cstheme="majorBidi"/>
      <w:color w:val="0F4761" w:themeColor="accent1" w:themeShade="BF"/>
      <w:sz w:val="32"/>
      <w:szCs w:val="26"/>
    </w:rPr>
  </w:style>
  <w:style w:type="character" w:customStyle="1" w:styleId="Kop3Char">
    <w:name w:val="Kop 3 Char"/>
    <w:basedOn w:val="Standaardalinea-lettertype"/>
    <w:link w:val="Kop3"/>
    <w:uiPriority w:val="9"/>
    <w:rsid w:val="00FF7413"/>
    <w:rPr>
      <w:rFonts w:asciiTheme="majorHAnsi" w:eastAsiaTheme="majorEastAsia" w:hAnsiTheme="majorHAnsi" w:cstheme="majorBidi"/>
      <w:color w:val="0A2F40" w:themeColor="accent1" w:themeShade="7F"/>
      <w:sz w:val="26"/>
    </w:rPr>
  </w:style>
  <w:style w:type="paragraph" w:styleId="Lijstalinea">
    <w:name w:val="List Paragraph"/>
    <w:basedOn w:val="Standaard"/>
    <w:uiPriority w:val="34"/>
    <w:qFormat/>
    <w:rsid w:val="00FF7413"/>
    <w:pPr>
      <w:ind w:left="720"/>
      <w:contextualSpacing/>
    </w:pPr>
  </w:style>
  <w:style w:type="character" w:styleId="Verwijzingopmerking">
    <w:name w:val="annotation reference"/>
    <w:basedOn w:val="Standaardalinea-lettertype"/>
    <w:uiPriority w:val="99"/>
    <w:semiHidden/>
    <w:unhideWhenUsed/>
    <w:rsid w:val="00FF7413"/>
    <w:rPr>
      <w:sz w:val="16"/>
      <w:szCs w:val="16"/>
    </w:rPr>
  </w:style>
  <w:style w:type="paragraph" w:styleId="Tekstopmerking">
    <w:name w:val="annotation text"/>
    <w:basedOn w:val="Standaard"/>
    <w:link w:val="TekstopmerkingChar"/>
    <w:uiPriority w:val="99"/>
    <w:unhideWhenUsed/>
    <w:rsid w:val="00FF7413"/>
    <w:pPr>
      <w:spacing w:line="240" w:lineRule="auto"/>
    </w:pPr>
    <w:rPr>
      <w:sz w:val="20"/>
      <w:szCs w:val="20"/>
    </w:rPr>
  </w:style>
  <w:style w:type="character" w:customStyle="1" w:styleId="TekstopmerkingChar">
    <w:name w:val="Tekst opmerking Char"/>
    <w:basedOn w:val="Standaardalinea-lettertype"/>
    <w:link w:val="Tekstopmerking"/>
    <w:uiPriority w:val="99"/>
    <w:rsid w:val="00FF7413"/>
    <w:rPr>
      <w:sz w:val="20"/>
      <w:szCs w:val="20"/>
    </w:rPr>
  </w:style>
  <w:style w:type="table" w:styleId="Tabelraster">
    <w:name w:val="Table Grid"/>
    <w:basedOn w:val="Standaardtabel"/>
    <w:uiPriority w:val="39"/>
    <w:rsid w:val="00FF7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077E6"/>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1957</Words>
  <Characters>10765</Characters>
  <Application>Microsoft Office Word</Application>
  <DocSecurity>0</DocSecurity>
  <Lines>89</Lines>
  <Paragraphs>25</Paragraphs>
  <ScaleCrop>false</ScaleCrop>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Nieuwpoort</dc:creator>
  <cp:keywords/>
  <dc:description/>
  <cp:lastModifiedBy>Stijn van Nieuwpoort</cp:lastModifiedBy>
  <cp:revision>8</cp:revision>
  <cp:lastPrinted>2025-06-27T10:09:00Z</cp:lastPrinted>
  <dcterms:created xsi:type="dcterms:W3CDTF">2025-06-27T10:00:00Z</dcterms:created>
  <dcterms:modified xsi:type="dcterms:W3CDTF">2025-06-27T10:10:00Z</dcterms:modified>
</cp:coreProperties>
</file>