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20"/>
      </w:pPr>
      <w:r>
        <w:rPr>
          <w:rFonts w:ascii="Calibri" w:cs="Calibri" w:eastAsia="Calibri" w:hAnsi="Calibri"/>
          <w:b/>
          <w:bCs/>
          <w:color w:val="C47D10"/>
          <w:spacing w:val="30"/>
          <w:sz w:val="16"/>
          <w:szCs w:val="16"/>
        </w:rPr>
        <w:t xml:space="preserve">PLOTFORGE</w:t>
      </w:r>
    </w:p>
    <w:p>
      <w:pPr>
        <w:pStyle w:val="Heading1"/>
        <w:spacing w:after="200" w:before="360" w:line="28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Implementation Plan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Visual Design Specification</w:t>
      </w:r>
    </w:p>
    <w:p>
      <w:pPr>
        <w:spacing w:after="20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 complete design system for rendering the 19-item plan as a long-form spec document. The aesthetic matches PlotForge itself: dark drafting-desk surface, amber and electric-blue accents, a clear grid rhythm, and typographic discipline so a designer or engineer can scan to a tier in under three seconds.</w:t>
      </w:r>
    </w:p>
    <w:p>
      <w:pPr>
        <w:spacing w:after="0" w:before="0" w:line="300"/>
        <w:jc w:val="left"/>
      </w:pPr>
      <w:r>
        <w:rPr>
          <w:rFonts w:ascii="Calibri" w:cs="Calibri" w:eastAsia="Calibri" w:hAnsi="Calibri"/>
          <w:color w:val="5D6878"/>
          <w:sz w:val="22"/>
          <w:szCs w:val="22"/>
        </w:rPr>
        <w:t xml:space="preserve">Document version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1.0</w:t>
      </w:r>
      <w:r>
        <w:rPr>
          <w:rFonts w:ascii="Calibri" w:cs="Calibri" w:eastAsia="Calibri" w:hAnsi="Calibri"/>
          <w:color w:val="5D6878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5D6878"/>
          <w:sz w:val="22"/>
          <w:szCs w:val="22"/>
        </w:rPr>
        <w:t xml:space="preserve">Source: PlotForge Phase-1 implementation plan</w:t>
      </w:r>
    </w:p>
    <w:p>
      <w:pPr>
        <w:pBdr>
          <w:bottom w:val="single" w:color="3A4658" w:sz="6" w:space="1"/>
        </w:pBdr>
        <w:spacing w:after="320" w:before="320"/>
      </w:pPr>
      <w:r>
        <w:t xml:space="preserve"/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Color System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 single coherent palette built from two accent hues (amber for emphasis, electric blue for navigation and links) layered over a neutral graphite scale. Status colors are reserved for severity signaling only — never decorative.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:root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/* Surfaces — graphite scale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--bg-base:        #0a0d12;   /* page background, edge of viewport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--bg-elevated:    #0e131a;   /* sticky bars, callout backgrounds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--bg-surface:     #11161f;   /* card body, table cell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--bg-surface-2:   #161c27;   /* hover, table header, alt row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/* Lines &amp; dividers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--line-soft:      #1f2630;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--line-strong:    #2a3340;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--line-rule:      #3a4658;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/* Ink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--ink-primary:    #e7ecf2;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--ink-secondary:  #b3bdcc;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--ink-muted:      #8c97a8;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--ink-dim:        #5d6878;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/* Brand accents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--amber:          #ffb547;   /* highest emphasis, P0 flag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--amber-soft:     rgba(255,181,71,.14);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--blue:           #4cc9ff;   /* links, eyebrows, info callouts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--blue-soft:      rgba(76,201,255,.12);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/* Status — reserved for severity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--green:          #58e896;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--yellow:         #f5cf5f;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--red:            #ff6b6b;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  <w:b/>
          <w:bCs/>
          <w:color w:val="2A2E36"/>
          <w:sz w:val="22"/>
          <w:szCs w:val="22"/>
        </w:rPr>
        <w:t xml:space="preserve">Usage rules.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Amber is for the one thing on screen that matters most: the P0 tier flag, the rank number, the title-block accent. Never decorative.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Electric blue is for navigation, inline links, code identifiers, and the eyebrow text on each tier header.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Status colors (green/yellow/red) appear only in priority badges, severity icons, and conflict markers — never in body copy.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2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Typography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One sans for everything readable, one mono for code, file paths, IDs, and table mono-columns. Fluid sizes via clamp() so the spec reads cleanly from a 13-inch laptop up to a 4K monitor.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:root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--font-sans: "Inter", system-ui, sans-serif;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--font-mono: "JetBrains Mono", ui-monospace, monospace;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--fs-h1:    clamp(30px, 3.4vw, 40px);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--fs-h2:    clamp(22px, 2.4vw, 28px);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--fs-h3:    clamp(17px, 1.6vw, 19px);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--fs-body:  15px;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--fs-small: 13px;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--fs-micro: 11px;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--lh-tight: 1.18;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--lh-snug:  1.35;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--lh-body:  1.55;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--tracking-display: -0.022em;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--tracking-eyebrow:  0.12em;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h1 { font-size: var(--fs-h1); line-height: var(--lh-tight); font-weight: 700;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h2 { font-size: var(--fs-h2); line-height: var(--lh-tight); font-weight: 700;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h3 { font-size: var(--fs-h3); line-height: var(--lh-snug);  font-weight: 600;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p { margin: 0 0 14px; max-width: 72ch;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code, .mono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0.92em;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var(--bg-surface-2);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var(--blue);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1px 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4px;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3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Layout &amp; Rhythm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 reading column capped at 880px keeps the spec scannable on wide displays without sacrificing density.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.spec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max-width: 880px;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margin: 0 auto;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64px 28px 96px;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.spec &gt; * + *  { margin-top: 14px;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.spec &gt; h2     { margin-top: 56px;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.spec &gt; h3     { margin-top: 28px;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.spec &gt; table  { margin-top: 18px; }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.spec &gt; hr     { margin: 40px 0; 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4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Section Dividers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Three weights of divider, used hierarchically. Never decorative — each marks a real semantic boundary.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/* Major divider — between priority tiers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hr.tier-rule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height: 1px;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linear-gradient(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90deg, transparent,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var(--line-rule) 12%, var(--line-rule) 88%,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transparent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margin: 48px 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/* Mid divider — between recommendations within a tier */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hr.item-rule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0; height: 1px;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var(--line-soft);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margin: 32px 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/* Hairline — inside cards */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.hairline { border-top: 1px solid var(--line-soft); 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5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Priority Tier Headers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Each tier (P0, P1, P2, P3) gets a flag-style header that color-codes the tier and tells the reader where they are in the document. Severity color is the only difference between tiers — typography, spacing, and weight stay identical.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.tier-header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display: flex;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align-items: center;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gap: 16px;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18px 22px;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var(--bg-elevated);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1px solid var(--line-strong);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border-left: 4px solid var(--tier-color, var(--amber));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10px;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margin: 48px 0 24px;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.tier-header .flag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min-width: 44px;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height: 28px;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0 10px;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var(--tier-color, var(--amber));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#1a1100;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12px;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font-weight: 700;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.tier-p0 { --tier-color: var(--amber); 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.tier-p1 { --tier-color: var(--green); 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.tier-p2 { --tier-color: var(--yellow); }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.tier-p3 { --tier-color: var(--blue);   }</w:t>
      </w:r>
    </w:p>
    <w:p>
      <w:pPr>
        <w:spacing w:after="80" w:before="0" w:line="300"/>
        <w:jc w:val="left"/>
      </w:pPr>
      <w:r>
        <w:rPr>
          <w:rFonts w:ascii="Calibri" w:cs="Calibri" w:eastAsia="Calibri" w:hAnsi="Calibri"/>
          <w:b/>
          <w:bCs/>
          <w:color w:val="2A2E36"/>
          <w:sz w:val="22"/>
          <w:szCs w:val="22"/>
        </w:rPr>
        <w:t xml:space="preserve">Render pattern.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&lt;header class="tier-header tier-p0"&gt;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&lt;span class="flag"&gt;P0&lt;/span&gt;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&lt;span class="label"&gt;Ship before the next real-world walkthrough&lt;/span&gt;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&lt;span class="sub"&gt;4 items · ~8 days&lt;/span&gt;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&lt;/header&gt;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6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Recommendation Card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The recurring building block of the document. Each numbered item (P0-1 … P3-4) sits inside a card with a unique rank chip, a title row, and a property table inside. The card edge inherits the tier color so a reader can identify which tier any item belongs to at a glance.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.rec-card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var(--bg-surface);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1px solid var(--line-soft);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12px;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24px 26px;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margin: 24px 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position: relative;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.rec-card::before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content: "";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position: absolute;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inset: 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inherit;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border-left: 3px solid var(--tier-color, var(--amber));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pointer-events: none;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.rec-card .rank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min-width: 56px;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4px 10px;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var(--bg-surface-2);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1px solid var(--line-strong);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var(--amber);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11px;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font-weight: 700;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7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Property Tables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The two-column property table is the workhorse of the spec. Tight padding, mono labels, generous body text. Borders are minimal — separation comes from row dividers, not boxes.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.prop-table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width: 100%;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border-collapse: collapse;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table-layout: fixed;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.prop-table th, .prop-table td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text-align: left;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vertical-align: top;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12px 14px;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border-top: 1px solid var(--line-soft);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.prop-table th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width: 168px;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11px;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text-transform: uppercase;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letter-spacing: 0.12em;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var(--ink-muted);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font-weight: 500;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.prop-table .critical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font-weight: 700;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var(--amber);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8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Summary &amp; Sequencing Tables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The Sprint Sequencing table at the end of the document deserves a different treatment from property tables: rows are scannable, headers are pinned-style, alternating zebra is subtle, and the outcome column gets the dominant weight.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.summary-table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width: 100%;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border-collapse: separate;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border-spacing: 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var(--bg-surface);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1px solid var(--line-strong);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10px;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overflow: hidden;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.summary-table thead th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12px 16px;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var(--bg-surface-2);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border-bottom: 1px solid var(--line-strong);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11px;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text-transform: uppercase;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letter-spacing: 0.12em;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var(--ink-secondary);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.summary-table td.outcome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var(--ink-primary);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font-weight: 500;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max-width: 360px;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line-height: 1.35;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.summary-table td.meta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color: var(--ink-muted);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11px;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9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Callouts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Four callout variants for the kinds of statements that recur in the plan: insight, warning, blocker, and outcome. They share a common shell — only the left rail color and icon change.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.callout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display: grid;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grid-template-columns: 28px 1fr;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gap: 14px;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14px 18px;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var(--bg-elevated);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1px solid var(--line-soft);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border-left: 3px solid var(--callout-color, var(--blue));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8px;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.callout-insight  { --callout-color: var(--blue);  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.callout-warning  { --callout-color: var(--yellow);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.callout-blocker  { --callout-color: var(--red);    }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.callout-outcome  { --callout-color: var(--amber);  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10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Icons &amp; Glyphs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 small, consistent icon vocabulary. SVG glyphs sized to 16×16 or 18×18, all stroked at 1.75px, color inherited from the surrounding text. Use these and nothing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shd w:fill="EFEC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25"/>
                <w:sz w:val="18"/>
                <w:szCs w:val="18"/>
              </w:rPr>
              <w:t xml:space="preserve">Glyph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shd w:fill="EFEC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25"/>
                <w:sz w:val="18"/>
                <w:szCs w:val="18"/>
              </w:rPr>
              <w:t xml:space="preserve">Meaning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shd w:fill="EFEC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25"/>
                <w:sz w:val="18"/>
                <w:szCs w:val="18"/>
              </w:rPr>
              <w:t xml:space="preserve">Where it appears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flag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Tier marker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Tier headers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bolt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Wow / demo moment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P3-2, P3-4 cards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triangle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Warning, risk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Risk callouts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circle-slash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Blocker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Blocker callouts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Success criteria met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Success criteria cells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arrow-right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Sequencing, dependency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Dependency cells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half-circle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In progress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Status pills</w:t>
            </w:r>
          </w:p>
        </w:tc>
      </w:tr>
      <w:tr>
        <w:tc>
          <w:tcPr>
            <w:tcW w:type="dxa" w:w="1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dot</w:t>
            </w:r>
          </w:p>
        </w:tc>
        <w:tc>
          <w:tcPr>
            <w:tcW w:type="dxa" w:w="24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A2E36"/>
                <w:sz w:val="21"/>
                <w:szCs w:val="21"/>
              </w:rPr>
              <w:t xml:space="preserve">Tier color reference</w:t>
            </w:r>
          </w:p>
        </w:tc>
        <w:tc>
          <w:tcPr>
            <w:tcW w:type="dxa" w:w="55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5D6878"/>
                <w:sz w:val="21"/>
                <w:szCs w:val="21"/>
              </w:rPr>
              <w:t xml:space="preserve">Card titles, status</w:t>
            </w:r>
          </w:p>
        </w:tc>
      </w:tr>
    </w:tbl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11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Status Pills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Used inside summary tables and tier headers to encode effort and priority at a glance.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display: inline-flex;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align-items: center;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gap: 6px;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padding: 2px 10px;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999px;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font-family: var(--font-mono);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font-size: 10px;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font-weight: 600;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text-transform: uppercase;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border: 1px solid currentColor;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background: color-mix(in srgb, currentColor 12%, transparent);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.pill-low    { color: var(--green); 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.pill-medium { color: var(--yellow);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.pill-high   { color: var(--red);   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.pill-p0 { color: var(--amber);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.pill-p1 { color: var(--green);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.pill-p2 { color: var(--yellow); }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.pill-p3 { color: var(--blue);  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12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Print Stylesheet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The spec must print legibly on letter and tabloid for in-room review. Forces high-contrast monochrome with subtle wash, preserves the grid rhythm, and breaks correctly between cards and tiers.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@media print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:root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--bg-base: #fff;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--bg-elevated: #fafafa;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--bg-surface: #fff;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--bg-surface-2: #f5f5f0;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--line-soft: #d8d6cc;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--line-strong: #b6b3a6;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--ink-primary: #111;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--ink-secondary: #333;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--ink-muted: #555;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body { background: #fff; color: #111;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.rec-card, .summary-table { box-shadow: none;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.tier-header { break-after: avoid;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.rec-card    { break-inside: avoid;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.summary-table tr { break-inside: avoid; 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a { color: #111; border-bottom: 1px solid #888; }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13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Accessibility &amp; Motion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Color contrast ratios meet WCAG AA at minimum: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Body text (ink-primary on bg-base): 15.4 : 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Muted (ink-muted on bg-base): 5.8 : 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Amber on dark surface: 9.1 : 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Blue on dark surface: 9.4 : 1</w:t>
      </w:r>
    </w:p>
    <w:p>
      <w:pPr>
        <w:pBdr>
          <w:top w:val="single" w:color="CFCABC" w:sz="4" w:space="4"/>
        </w:pBdr>
        <w:shd w:fill="F5F4EF" w:color="auto" w:val="clear"/>
        <w:spacing w:after="0" w:before="6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:focus-visible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outline: 2px solid var(--blue);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outline-offset: 2px;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border-radius: 4px;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@media (prefers-reduced-motion: reduce)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*, *::before, *::after {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animation-duration: 0.01ms !important;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  transition-duration: 0.01ms !important;</w:t>
      </w:r>
    </w:p>
    <w:p>
      <w:pPr>
        <w:shd w:fill="F5F4EF" w:color="auto" w:val="clear"/>
        <w:spacing w:after="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  }</w:t>
      </w:r>
    </w:p>
    <w:p>
      <w:pPr>
        <w:shd w:fill="F5F4EF" w:color="auto" w:val="clear"/>
        <w:spacing w:after="200" w:before="0" w:line="260"/>
      </w:pPr>
      <w:r>
        <w:rPr>
          <w:rFonts w:ascii="Consolas" w:cs="Consolas" w:eastAsia="Consolas" w:hAnsi="Consolas"/>
          <w:color w:val="2A2E36"/>
          <w:sz w:val="18"/>
          <w:szCs w:val="18"/>
        </w:rPr>
        <w:t xml:space="preserve">}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Status colors are never the sole signal — every pill and badge pairs color with a glyph or a text label. Tier flags pair color with the literal text 'P0,' 'P1,' etc.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14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Mapping Existing Markdown To The System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 direct translation table so a developer or workspace integrator can apply this spec to the plan document without semantic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shd w:fill="EFEC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25"/>
                <w:sz w:val="18"/>
                <w:szCs w:val="18"/>
              </w:rPr>
              <w:t xml:space="preserve">Source element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shd w:fill="EFECE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25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## P0 — Ship before…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&lt;header class="tier-header tier-p0"&gt; with flag chip and length sub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### P0-1 · Title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&lt;article class="rec-card tier-p0"&gt; with .rank chip + &lt;h3&gt;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| Field | Value | table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&lt;table class="prop-table"&gt; with mono labels in &lt;th&gt;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**Problem.** lead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&lt;th&gt;Problem&lt;/th&gt; cell with bold-inherited weight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Numbered step list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&lt;ol&gt; inside Steps cell — auto-numbered chips via CSS counters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Effort: Medium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&lt;span class="pill pill-medium"&gt;Medium&lt;/span&gt;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Rank: #N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&lt;span class="rank critical"&gt;#N&lt;/span&gt; in card head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Summary 'Sequencing' table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&lt;table class="summary-table"&gt; with .meta and .outcome cell classes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Final paragraph leads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&lt;aside class="callout callout-outcome"&gt;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Risk paragraphs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&lt;aside class="callout callout-warning"&gt;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Horizontal rule between tiers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&lt;hr class="tier-rule"&gt;</w:t>
            </w:r>
          </w:p>
        </w:tc>
      </w:tr>
      <w:tr>
        <w:tc>
          <w:tcPr>
            <w:tcW w:type="dxa" w:w="420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C47D10"/>
                <w:sz w:val="18"/>
                <w:szCs w:val="18"/>
              </w:rPr>
              <w:t xml:space="preserve">Horizontal rule between items</w:t>
            </w:r>
          </w:p>
        </w:tc>
        <w:tc>
          <w:tcPr>
            <w:tcW w:type="dxa" w:w="5160"/>
            <w:tcBorders>
              <w:top w:val="single" w:color="CFCABC" w:sz="4"/>
              <w:left w:val="single" w:color="CFCABC" w:sz="4"/>
              <w:bottom w:val="single" w:color="CFCABC" w:sz="4"/>
              <w:right w:val="single" w:color="CFCAB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771A8"/>
                <w:sz w:val="18"/>
                <w:szCs w:val="18"/>
              </w:rPr>
              <w:t xml:space="preserve">&lt;hr class="item-rule"&gt;</w:t>
            </w:r>
          </w:p>
        </w:tc>
      </w:tr>
    </w:tbl>
    <w:p>
      <w:pPr>
        <w:spacing w:after="60" w:before="320"/>
      </w:pPr>
      <w:r>
        <w:rPr>
          <w:rFonts w:ascii="Calibri" w:cs="Calibri" w:eastAsia="Calibri" w:hAnsi="Calibri"/>
          <w:b/>
          <w:bCs/>
          <w:color w:val="1771A8"/>
          <w:spacing w:val="30"/>
          <w:sz w:val="16"/>
          <w:szCs w:val="16"/>
        </w:rPr>
        <w:t xml:space="preserve">SECTION 15</w:t>
      </w:r>
    </w:p>
    <w:p>
      <w:pPr>
        <w:pStyle w:val="Heading2"/>
        <w:spacing w:after="180" w:before="320" w:line="28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Implementation Notes For The Developer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Apply the design as additive CSS — no DOM structure change is required. The Markdown table-driven layout maps directly onto the property-table component.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Bundle Inter and JetBrains Mono as subset WOFF2 files (Latin + numerals + a small punctuation set is enough for this document). Total font payload should stay under 60 KB gzipped.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Use a single CSS file under 8 KB minified. No framework, no Tailwind required — the system is small enough to live as hand-written tokens.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Render the document as static HTML for both web and PDF; the print stylesheet handles fidelity at letter and tabloid.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Test by rendering the existing plan markdown unchanged through a Markdown processor configured to add the class hooks from §14. If anything in the spec needs JS, the spec is wrong — reach for CSS first.</w:t>
      </w:r>
    </w:p>
    <w:p>
      <w:pPr>
        <w:pBdr>
          <w:bottom w:val="single" w:color="3A4658" w:sz="6" w:space="1"/>
        </w:pBdr>
        <w:spacing w:after="320" w:before="320"/>
      </w:pPr>
      <w:r>
        <w:t xml:space="preserve"/>
      </w:r>
    </w:p>
    <w:p>
      <w:pPr>
        <w:spacing w:after="60" w:before="100" w:line="300"/>
        <w:jc w:val="left"/>
      </w:pPr>
      <w:r>
        <w:rPr>
          <w:rFonts w:ascii="Calibri" w:cs="Calibri" w:eastAsia="Calibri" w:hAnsi="Calibri"/>
          <w:b/>
          <w:bCs/>
          <w:color w:val="2A2E36"/>
          <w:sz w:val="22"/>
          <w:szCs w:val="22"/>
        </w:rPr>
        <w:t xml:space="preserve">Outcome.</w:t>
      </w:r>
    </w:p>
    <w:p>
      <w:pPr>
        <w:spacing w:after="0" w:before="0" w:line="300"/>
        <w:jc w:val="left"/>
      </w:pPr>
      <w:r>
        <w:rPr>
          <w:rFonts w:ascii="Calibri" w:cs="Calibri" w:eastAsia="Calibri" w:hAnsi="Calibri"/>
          <w:color w:val="2A2E36"/>
          <w:sz w:val="22"/>
          <w:szCs w:val="22"/>
        </w:rPr>
        <w:t xml:space="preserve">A developer applying this spec to the existing plan document gets a readable, scannable, tier-aware long-form spec that matches PlotForge's product aesthetic, prints cleanly, and changes zero words of the source content. The reader's eye can locate any tier in under 3 seconds, any recommendation in under 8 seconds, and the sprint sequencing in a single glance at the bottom of the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before="60"/>
    </w:pPr>
    <w:r>
      <w:rPr>
        <w:rFonts w:ascii="Calibri" w:cs="Calibri" w:eastAsia="Calibri" w:hAnsi="Calibri"/>
        <w:color w:val="5D6878"/>
        <w:sz w:val="16"/>
        <w:szCs w:val="16"/>
      </w:rPr>
      <w:t xml:space="preserve">v1.0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D6878"/>
        <w:sz w:val="16"/>
        <w:szCs w:val="16"/>
      </w:rPr>
      <w:t xml:space="preserve">Page </w:t>
    </w:r>
    <w:r>
      <w:rPr>
        <w:rFonts w:ascii="Calibri" w:cs="Calibri" w:eastAsia="Calibri" w:hAnsi="Calibri"/>
        <w:color w:val="5D68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878"/>
        <w:sz w:val="16"/>
        <w:szCs w:val="16"/>
      </w:rPr>
      <w:t xml:space="preserve"> of </w:t>
    </w:r>
    <w:r>
      <w:rPr>
        <w:rFonts w:ascii="Calibri" w:cs="Calibri" w:eastAsia="Calibri" w:hAnsi="Calibri"/>
        <w:color w:val="5D68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Calibri" w:cs="Calibri" w:eastAsia="Calibri" w:hAnsi="Calibri"/>
        <w:color w:val="5D6878"/>
        <w:spacing w:val="20"/>
        <w:sz w:val="16"/>
        <w:szCs w:val="16"/>
      </w:rPr>
      <w:t xml:space="preserve">PlotForge · Visual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PlotForge Implementation Plan — Visual Design Specification</dc:title>
  <dc:subject>Design system spec</dc:subject>
  <dc:creator>PlotForge</dc:creator>
  <cp:lastModifiedBy>Un-named</cp:lastModifiedBy>
  <cp:revision>1</cp:revision>
  <dcterms:created xsi:type="dcterms:W3CDTF">2026-06-10T20:59:25.675Z</dcterms:created>
  <dcterms:modified xsi:type="dcterms:W3CDTF">2026-06-10T20:59:25.675Z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