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exact" w:before="744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QUANTITATIVE ESTIMATION AND DATA VISUALISATION </w:t>
      </w:r>
    </w:p>
    <w:p>
      <w:pPr>
        <w:autoSpaceDN w:val="0"/>
        <w:autoSpaceDE w:val="0"/>
        <w:widowControl/>
        <w:spacing w:line="240" w:lineRule="exact" w:before="78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FERMI ESTIMATION MINI PROJECT 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INSTRUCTIONS </w:t>
      </w:r>
    </w:p>
    <w:p>
      <w:pPr>
        <w:autoSpaceDN w:val="0"/>
        <w:autoSpaceDE w:val="0"/>
        <w:widowControl/>
        <w:spacing w:line="330" w:lineRule="exact" w:before="12" w:after="0"/>
        <w:ind w:left="360" w:right="36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Answer all 3 questions blow. </w:t>
      </w:r>
      <w:r>
        <w:br/>
      </w: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4"/>
        </w:rPr>
        <w:t>Upload one submission per group by 23:59 pm Friday, 15</w:t>
      </w:r>
      <w:r>
        <w:rPr>
          <w:rFonts w:ascii="Calibri" w:hAnsi="Calibri" w:eastAsia="Calibri"/>
          <w:b w:val="0"/>
          <w:i w:val="0"/>
          <w:color w:val="000000"/>
          <w:sz w:val="16"/>
        </w:rPr>
        <w:t>th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October 2021. </w:t>
      </w:r>
      <w:r>
        <w:br/>
      </w: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All group members should do research: to gain background knowledge and to find </w:t>
      </w:r>
    </w:p>
    <w:p>
      <w:pPr>
        <w:autoSpaceDN w:val="0"/>
        <w:autoSpaceDE w:val="0"/>
        <w:widowControl/>
        <w:spacing w:line="240" w:lineRule="exact" w:before="62" w:after="0"/>
        <w:ind w:left="7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useful information about each question. </w:t>
      </w:r>
    </w:p>
    <w:p>
      <w:pPr>
        <w:autoSpaceDN w:val="0"/>
        <w:autoSpaceDE w:val="0"/>
        <w:widowControl/>
        <w:spacing w:line="330" w:lineRule="exact" w:before="14" w:after="0"/>
        <w:ind w:left="360" w:right="36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4"/>
        </w:rPr>
        <w:t>On Tuesday, 19</w:t>
      </w:r>
      <w:r>
        <w:rPr>
          <w:rFonts w:ascii="Calibri" w:hAnsi="Calibri" w:eastAsia="Calibri"/>
          <w:b w:val="0"/>
          <w:i w:val="0"/>
          <w:color w:val="000000"/>
          <w:sz w:val="16"/>
        </w:rPr>
        <w:t>th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October 2021, each group will have 10 minutes to present their </w:t>
      </w:r>
    </w:p>
    <w:p>
      <w:pPr>
        <w:autoSpaceDN w:val="0"/>
        <w:autoSpaceDE w:val="0"/>
        <w:widowControl/>
        <w:spacing w:line="240" w:lineRule="exact" w:before="62" w:after="0"/>
        <w:ind w:left="7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solution to the class. </w:t>
      </w:r>
    </w:p>
    <w:p>
      <w:pPr>
        <w:autoSpaceDN w:val="0"/>
        <w:autoSpaceDE w:val="0"/>
        <w:widowControl/>
        <w:spacing w:line="240" w:lineRule="exact" w:before="19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preparing your submission, follow these guidelines: </w:t>
      </w:r>
    </w:p>
    <w:p>
      <w:pPr>
        <w:autoSpaceDN w:val="0"/>
        <w:autoSpaceDE w:val="0"/>
        <w:widowControl/>
        <w:spacing w:line="330" w:lineRule="exact" w:before="132" w:after="0"/>
        <w:ind w:left="218" w:right="218" w:firstLine="0"/>
        <w:jc w:val="right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Attribute sources of data that you use, including an author and date if available, and a </w:t>
      </w:r>
    </w:p>
    <w:p>
      <w:pPr>
        <w:autoSpaceDN w:val="0"/>
        <w:autoSpaceDE w:val="0"/>
        <w:widowControl/>
        <w:spacing w:line="332" w:lineRule="exact" w:before="0" w:after="0"/>
        <w:ind w:left="720" w:right="3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website URL. Remember, online sites that do not attribute sources of data and statistics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are not considered credible. </w:t>
      </w:r>
    </w:p>
    <w:p>
      <w:pPr>
        <w:autoSpaceDN w:val="0"/>
        <w:autoSpaceDE w:val="0"/>
        <w:widowControl/>
        <w:spacing w:line="330" w:lineRule="exact" w:before="32" w:after="0"/>
        <w:ind w:left="360" w:right="36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Give a narrative to your solution (“talk us through your solution”), including </w:t>
      </w:r>
    </w:p>
    <w:p>
      <w:pPr>
        <w:autoSpaceDN w:val="0"/>
        <w:autoSpaceDE w:val="0"/>
        <w:widowControl/>
        <w:spacing w:line="240" w:lineRule="exact" w:before="84" w:after="0"/>
        <w:ind w:left="7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assumptions, key steps, decisions, and reasoning </w:t>
      </w:r>
    </w:p>
    <w:p>
      <w:pPr>
        <w:autoSpaceDN w:val="0"/>
        <w:autoSpaceDE w:val="0"/>
        <w:widowControl/>
        <w:spacing w:line="350" w:lineRule="exact" w:before="12" w:after="0"/>
        <w:ind w:left="360" w:right="198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Calculations should be clear and easy to follow and include units of measure </w:t>
      </w:r>
      <w:r>
        <w:br/>
      </w: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final answer should be a complete sentence response to the original question and </w:t>
      </w:r>
    </w:p>
    <w:p>
      <w:pPr>
        <w:autoSpaceDN w:val="0"/>
        <w:autoSpaceDE w:val="0"/>
        <w:widowControl/>
        <w:spacing w:line="240" w:lineRule="exact" w:before="84" w:after="0"/>
        <w:ind w:left="7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include units of measure. </w:t>
      </w:r>
    </w:p>
    <w:p>
      <w:pPr>
        <w:autoSpaceDN w:val="0"/>
        <w:autoSpaceDE w:val="0"/>
        <w:widowControl/>
        <w:spacing w:line="240" w:lineRule="exact" w:before="29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Question 1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36" w:lineRule="exact" w:before="20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How many plastic toothbrushes are thrown away by Ghanaians each year? Estimate the mass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volume of plastic this represents. Give numerical pegs to put the numbers in context. </w:t>
      </w:r>
    </w:p>
    <w:p>
      <w:pPr>
        <w:autoSpaceDN w:val="0"/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Question 2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36" w:lineRule="exact" w:before="20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How many mobile phones are discarded by Ghanaians in one year? How much gold could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potentially be extracted from mobile phones discarded by Ghanaians in one year? How does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compare to the amount of gold produced in Ghana in a year? </w:t>
      </w:r>
    </w:p>
    <w:p>
      <w:pPr>
        <w:autoSpaceDN w:val="0"/>
        <w:autoSpaceDE w:val="0"/>
        <w:widowControl/>
        <w:spacing w:line="240" w:lineRule="exact" w:before="29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Question 3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38" w:lineRule="exact" w:before="20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According to the report </w:t>
      </w:r>
      <w:r>
        <w:rPr>
          <w:rFonts w:ascii="Calibri" w:hAnsi="Calibri" w:eastAsia="Calibri"/>
          <w:b w:val="0"/>
          <w:i/>
          <w:color w:val="000000"/>
          <w:sz w:val="24"/>
        </w:rPr>
        <w:t>2020</w:t>
      </w:r>
      <w:r>
        <w:rPr>
          <w:rFonts w:ascii="Calibri" w:hAnsi="Calibri" w:eastAsia="Calibri"/>
          <w:b w:val="0"/>
          <w:i/>
          <w:color w:val="000000"/>
          <w:sz w:val="24"/>
        </w:rPr>
        <w:hyperlink r:id="rId9" w:history="1">
          <w:r>
            <w:rPr>
              <w:rStyle w:val="Hyperlink"/>
            </w:rPr>
            <w:t xml:space="preserve"> Electricity Supply Plan for Ghana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>, published by T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 Supply Plan </w:t>
      </w:r>
      <w:r>
        <w:rPr>
          <w:rFonts w:ascii="Calibri" w:hAnsi="Calibri" w:eastAsia="Calibri"/>
          <w:b w:val="0"/>
          <w:i w:val="0"/>
          <w:color w:val="000000"/>
          <w:sz w:val="24"/>
        </w:rPr>
        <w:t>Committee and including tec</w:t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>hnical experts from the Energy Commission, GRI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DCo, VRA, BPA, </w:t>
      </w:r>
      <w:r>
        <w:rPr>
          <w:rFonts w:ascii="Calibri" w:hAnsi="Calibri" w:eastAsia="Calibri"/>
          <w:b w:val="0"/>
          <w:i w:val="0"/>
          <w:color w:val="000000"/>
          <w:sz w:val="24"/>
        </w:rPr>
        <w:t>ECG and NEDCo (available at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462C1"/>
          <w:sz w:val="24"/>
          <w:u w:val="single"/>
        </w:rPr>
        <w:hyperlink r:id="rId9" w:history="1">
          <w:r>
            <w:rPr>
              <w:rStyle w:val="Hyperlink"/>
            </w:rPr>
            <w:t>http://www.gridcogh.com/electricitysupplyplan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>)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“The Ghana </w:t>
      </w:r>
      <w:r>
        <w:rPr>
          <w:rFonts w:ascii="Calibri" w:hAnsi="Calibri" w:eastAsia="Calibri"/>
          <w:b w:val="0"/>
          <w:i w:val="0"/>
          <w:color w:val="000000"/>
          <w:sz w:val="24"/>
        </w:rPr>
        <w:t>power system recorded a coi</w:t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>ncident peak demand of 2,803.7 MW in 2019. Th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 occurred 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December 3, 2019” (p. ii). If </w:t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>G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>hana wanted to use solar power to cover 30% o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 peak demand, </w:t>
      </w:r>
      <w:r>
        <w:rPr>
          <w:rFonts w:ascii="Calibri" w:hAnsi="Calibri" w:eastAsia="Calibri"/>
          <w:b w:val="0"/>
          <w:i w:val="0"/>
          <w:color w:val="000000"/>
          <w:sz w:val="24"/>
        </w:rPr>
        <w:t>how many solar panels woul</w:t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>d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 xml:space="preserve"> be needed? About how much space would the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>s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 panels require? </w:t>
      </w:r>
    </w:p>
    <w:sectPr w:rsidR="00FC693F" w:rsidRPr="0006063C" w:rsidSect="00034616">
      <w:pgSz w:w="12240" w:h="15840"/>
      <w:pgMar w:top="744" w:right="1440" w:bottom="11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gridcogh.com/electricitysupplyp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