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8"/>
        </w:rPr>
        <w:t>LIVRABLE TÂCHE 3 : CORRESPONDANCE STRATÉGIQUE CLIENT</w:t>
      </w:r>
    </w:p>
    <w:p>
      <w:pPr>
        <w:spacing w:after="360"/>
      </w:pPr>
      <w:r>
        <w:rPr>
          <w:b/>
        </w:rPr>
        <w:t xml:space="preserve">De : </w:t>
      </w:r>
      <w:r>
        <w:t>David-Emmanuel Nadjo Yedess — Consultant Data Analytics (Quantium)</w:t>
        <w:br/>
      </w:r>
      <w:r>
        <w:rPr>
          <w:b/>
        </w:rPr>
        <w:t xml:space="preserve">À : </w:t>
      </w:r>
      <w:r>
        <w:t>Category Manager (Rayon Snacks &amp; Épicerie — Client Retail)</w:t>
        <w:br/>
      </w:r>
      <w:r>
        <w:rPr>
          <w:b/>
        </w:rPr>
        <w:t xml:space="preserve">Date : </w:t>
      </w:r>
      <w:r>
        <w:t>10 Juin 2026</w:t>
        <w:br/>
      </w:r>
      <w:r>
        <w:rPr>
          <w:b/>
        </w:rPr>
        <w:t xml:space="preserve">Objet : </w:t>
      </w:r>
      <w:r>
        <w:t>Recommandations stratégiques et conclusions de la revue de la catégorie Chips suite aux tests d'implantation (Trial Stores 77, 86 et 88)</w:t>
      </w:r>
    </w:p>
    <w:p>
      <w:pPr>
        <w:spacing w:after="240" w:line="276" w:lineRule="auto"/>
      </w:pPr>
      <w:r>
        <w:t>Bonjour,</w:t>
        <w:br/>
        <w:br/>
        <w:t>Suite à la finalisation de notre revue analytique approfondie de la catégorie des Snacks (segment Chips) et à l'évaluation rigoureuse de nos nouveaux concepts d'agencement en magasin, j'ai le plaisir de vous transmettre la synthèse de nos conclusions ainsi que nos recommandations commerciales stratégiques.</w:t>
        <w:br/>
        <w:br/>
        <w:t>Notre démarche s'est structurée autour de deux piliers majeurs : une modélisation fine du comportement d'achat de vos segments clients et une validation statistique rigoureuse via une méthodologie de magasin contrôle (*Uplift Testing*) pour mesurer l'impact réel du nouveau layout.</w:t>
      </w:r>
    </w:p>
    <w:p>
      <w:pPr>
        <w:spacing w:before="240" w:after="120"/>
      </w:pPr>
      <w:r>
        <w:rPr>
          <w:b/>
          <w:sz w:val="24"/>
        </w:rPr>
        <w:t>1. Insights clés de l'analyse clients</w:t>
      </w:r>
    </w:p>
    <w:p>
      <w:pPr>
        <w:pStyle w:val="ListBullet"/>
        <w:spacing w:after="80"/>
      </w:pPr>
      <w:r>
        <w:rPr>
          <w:b/>
        </w:rPr>
        <w:t xml:space="preserve">Saisonnalité et opportunités festives : </w:t>
      </w:r>
      <w:r>
        <w:t>Les données révèlent une accélération exponentielle des ventes au cours du mois de décembre, culminant de manière extrêmement agressive juste avant le réveillon de Noël. La baisse totale constatée le 25 décembre confirme une fermeture totale attendue des magasins. Cela suggère la nécessité d'implanter des modules promotionnels éphémères à fort volume dès la fin novembre.</w:t>
      </w:r>
    </w:p>
    <w:p>
      <w:pPr>
        <w:pStyle w:val="ListBullet"/>
        <w:spacing w:after="80"/>
      </w:pPr>
      <w:r>
        <w:rPr>
          <w:b/>
        </w:rPr>
        <w:t xml:space="preserve">Identification des leviers par segment : </w:t>
      </w:r>
      <w:r>
        <w:t xml:space="preserve">Le segment des </w:t>
      </w:r>
      <w:r>
        <w:rPr>
          <w:i/>
        </w:rPr>
        <w:t>Mainstream Young Singles/Couples</w:t>
      </w:r>
      <w:r>
        <w:t xml:space="preserve"> représente la population la plus importante en nombre de transactions individuelles. En revanche, les segments </w:t>
      </w:r>
      <w:r>
        <w:rPr>
          <w:i/>
        </w:rPr>
        <w:t>Older Families</w:t>
      </w:r>
      <w:r>
        <w:t xml:space="preserve"> et </w:t>
      </w:r>
      <w:r>
        <w:rPr>
          <w:i/>
        </w:rPr>
        <w:t>Young Families</w:t>
      </w:r>
      <w:r>
        <w:t xml:space="preserve"> génèrent la taille de panier moyenne la plus élevée (quantité d'unités achetées par transaction), et ce, toutes catégories de revenus confondues.</w:t>
      </w:r>
    </w:p>
    <w:p>
      <w:pPr>
        <w:pStyle w:val="ListBullet"/>
        <w:spacing w:after="240"/>
      </w:pPr>
      <w:r>
        <w:rPr>
          <w:b/>
        </w:rPr>
        <w:t xml:space="preserve">Affinités de marques et formats : </w:t>
      </w:r>
      <w:r>
        <w:t xml:space="preserve">Les jeunes célibataires du segment Mainstream affichent une préférence de marque hautement ciblée : ils sont </w:t>
      </w:r>
      <w:r>
        <w:rPr>
          <w:b/>
        </w:rPr>
        <w:t>27 % plus enclins</w:t>
      </w:r>
      <w:r>
        <w:t xml:space="preserve"> à acheter le format de paquet de 270g de la marque </w:t>
      </w:r>
      <w:r>
        <w:rPr>
          <w:i/>
        </w:rPr>
        <w:t>Twisties Cheese</w:t>
      </w:r>
      <w:r>
        <w:t xml:space="preserve"> par rapport au reste de la population de consommateurs.</w:t>
      </w:r>
    </w:p>
    <w:p>
      <w:pPr>
        <w:spacing w:before="240" w:after="120"/>
      </w:pPr>
      <w:r>
        <w:rPr>
          <w:b/>
          <w:sz w:val="24"/>
        </w:rPr>
        <w:t>2. Performance des magasins tests (Trial Stores) et validation statistique</w:t>
      </w:r>
    </w:p>
    <w:p>
      <w:pPr>
        <w:spacing w:after="120"/>
      </w:pPr>
      <w:r>
        <w:t>Pour isoler scientifiquement l'effet de la refonte du rayon sans biais macroéconomique, nous avons configuré un algorithme d'appariement basé sur la corrélation et la distance euclidienne des ventes historiques afin de lier chaque magasin test à un magasin contrôle rigoureusement identique. Les t-tests statistiques menés au seuil de confiance de 95 % révèlent des résultats hétérogènes :</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Magasin Test</w:t>
            </w:r>
          </w:p>
        </w:tc>
        <w:tc>
          <w:tcPr>
            <w:tcW w:type="dxa" w:w="2340"/>
          </w:tcPr>
          <w:p>
            <w:pPr>
              <w:jc w:val="center"/>
            </w:pPr>
            <w:r>
              <w:rPr>
                <w:b/>
              </w:rPr>
              <w:t>Magasin Contrôle</w:t>
            </w:r>
          </w:p>
        </w:tc>
        <w:tc>
          <w:tcPr>
            <w:tcW w:type="dxa" w:w="2340"/>
          </w:tcPr>
          <w:p>
            <w:pPr>
              <w:jc w:val="center"/>
            </w:pPr>
            <w:r>
              <w:rPr>
                <w:b/>
              </w:rPr>
              <w:t>Impact Ventes / Trafic</w:t>
            </w:r>
          </w:p>
        </w:tc>
        <w:tc>
          <w:tcPr>
            <w:tcW w:type="dxa" w:w="2340"/>
          </w:tcPr>
          <w:p>
            <w:pPr>
              <w:jc w:val="center"/>
            </w:pPr>
            <w:r>
              <w:rPr>
                <w:b/>
              </w:rPr>
              <w:t>Conclusion Statistique (p &lt; 0.05)</w:t>
            </w:r>
          </w:p>
        </w:tc>
      </w:tr>
      <w:tr>
        <w:tc>
          <w:tcPr>
            <w:tcW w:type="dxa" w:w="2340"/>
          </w:tcPr>
          <w:p>
            <w:r>
              <w:t>Store 77</w:t>
            </w:r>
          </w:p>
        </w:tc>
        <w:tc>
          <w:tcPr>
            <w:tcW w:type="dxa" w:w="2340"/>
          </w:tcPr>
          <w:p>
            <w:r>
              <w:t>Store 233</w:t>
            </w:r>
          </w:p>
        </w:tc>
        <w:tc>
          <w:tcPr>
            <w:tcW w:type="dxa" w:w="2340"/>
          </w:tcPr>
          <w:p>
            <w:r>
              <w:t>+ Ventes significatives / + Trafic clients</w:t>
            </w:r>
          </w:p>
        </w:tc>
        <w:tc>
          <w:tcPr>
            <w:tcW w:type="dxa" w:w="2340"/>
          </w:tcPr>
          <w:p>
            <w:r>
              <w:rPr>
                <w:b/>
              </w:rPr>
              <w:t>Succès hautement significatif</w:t>
            </w:r>
          </w:p>
        </w:tc>
      </w:tr>
      <w:tr>
        <w:tc>
          <w:tcPr>
            <w:tcW w:type="dxa" w:w="2340"/>
          </w:tcPr>
          <w:p>
            <w:r>
              <w:t>Store 86</w:t>
            </w:r>
          </w:p>
        </w:tc>
        <w:tc>
          <w:tcPr>
            <w:tcW w:type="dxa" w:w="2340"/>
          </w:tcPr>
          <w:p>
            <w:r>
              <w:t>Store 155</w:t>
            </w:r>
          </w:p>
        </w:tc>
        <w:tc>
          <w:tcPr>
            <w:tcW w:type="dxa" w:w="2340"/>
          </w:tcPr>
          <w:p>
            <w:r>
              <w:t>+ Ventes significatives / + Trafic clients</w:t>
            </w:r>
          </w:p>
        </w:tc>
        <w:tc>
          <w:tcPr>
            <w:tcW w:type="dxa" w:w="2340"/>
          </w:tcPr>
          <w:p>
            <w:r>
              <w:rPr>
                <w:b/>
              </w:rPr>
              <w:t>Succès hautement significatif</w:t>
            </w:r>
          </w:p>
        </w:tc>
      </w:tr>
      <w:tr>
        <w:tc>
          <w:tcPr>
            <w:tcW w:type="dxa" w:w="2340"/>
          </w:tcPr>
          <w:p>
            <w:r>
              <w:t>Store 88</w:t>
            </w:r>
          </w:p>
        </w:tc>
        <w:tc>
          <w:tcPr>
            <w:tcW w:type="dxa" w:w="2340"/>
          </w:tcPr>
          <w:p>
            <w:r>
              <w:t>Store 237</w:t>
            </w:r>
          </w:p>
        </w:tc>
        <w:tc>
          <w:tcPr>
            <w:tcW w:type="dxa" w:w="2340"/>
          </w:tcPr>
          <w:p>
            <w:r>
              <w:t>Progression marginale / Neutre</w:t>
            </w:r>
          </w:p>
        </w:tc>
        <w:tc>
          <w:tcPr>
            <w:tcW w:type="dxa" w:w="2340"/>
          </w:tcPr>
          <w:p>
            <w:r>
              <w:t>Non significatif (Facteurs externes localisés)</w:t>
            </w:r>
          </w:p>
        </w:tc>
      </w:tr>
    </w:tbl>
    <w:p>
      <w:pPr>
        <w:spacing w:before="240"/>
      </w:pPr>
    </w:p>
    <w:p>
      <w:pPr>
        <w:spacing w:before="120" w:after="120"/>
      </w:pPr>
      <w:r>
        <w:rPr>
          <w:b/>
          <w:sz w:val="24"/>
        </w:rPr>
        <w:t>3. Plan d'action commercial recommandé</w:t>
      </w:r>
    </w:p>
    <w:p>
      <w:pPr>
        <w:pStyle w:val="ListNumber"/>
        <w:spacing w:after="80"/>
      </w:pPr>
      <w:r>
        <w:rPr>
          <w:b/>
        </w:rPr>
        <w:t xml:space="preserve">Déploiement national ciblé : </w:t>
      </w:r>
      <w:r>
        <w:t>Nous préconisons d'étendre immédiatement le nouveau layout d'implantation testé dans les régions affichant un profil démographique similaire à celui des magasins 77 et 86. Ce format favorise la découvrabilité et stimule mécaniquement la croissance du trafic client.</w:t>
      </w:r>
    </w:p>
    <w:p>
      <w:pPr>
        <w:pStyle w:val="ListNumber"/>
        <w:spacing w:after="80"/>
      </w:pPr>
      <w:r>
        <w:rPr>
          <w:b/>
        </w:rPr>
        <w:t xml:space="preserve">Stratégie de merchandising par cible : </w:t>
      </w:r>
      <w:r>
        <w:t>Exploitez l'appétence du segment Mainstream Young Singles pour les gros paquets (ex. Twisties 270g) en plaçant ces produits sur des présentoirs secondaires en tête de gondole à forte visibilité. Pour les segments Families, concevez des offres groupées multipacks axées sur la valeur durant les pics de vacances scolaires.</w:t>
      </w:r>
    </w:p>
    <w:p>
      <w:pPr>
        <w:pStyle w:val="ListNumber"/>
        <w:spacing w:after="240"/>
      </w:pPr>
      <w:r>
        <w:rPr>
          <w:b/>
        </w:rPr>
        <w:t xml:space="preserve">Audit de la performance de la zone 88 : </w:t>
      </w:r>
      <w:r>
        <w:t>Avant tout déploiement sur la zone entourant le magasin 88, un audit de proximité doit être mené pour vérifier si des barrières logistiques, des actions concurrentielles agressives ou une structure de clientèle différente ont neutralisé l'effet de la refonte.</w:t>
      </w:r>
    </w:p>
    <w:p>
      <w:pPr>
        <w:spacing w:line="276" w:lineRule="auto"/>
      </w:pPr>
      <w:r>
        <w:t>Le rapport de présentation complet de 11 pages (incluant les courbes de confiance et les scripts d'analyse) est joint à ce courrier pour examen par votre comité de direction. Je me tiens à votre entière disposition pour mener des ateliers de travail approfondis avec vos équipes de category management.</w:t>
        <w:br/>
        <w:br/>
        <w:t>Cordialement,</w:t>
        <w:br/>
        <w:br/>
      </w:r>
      <w:r>
        <w:rPr>
          <w:b/>
        </w:rPr>
        <w:t>David-Emmanuel Nadjo Yedess</w:t>
        <w:br/>
      </w:r>
      <w:r>
        <w:t>Consultant Data Analytics &amp; BI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