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400" w:line="360"/>
        <w:jc w:val="center"/>
      </w:pPr>
      <w:r>
        <w:rPr>
          <w:rFonts w:ascii="Times New Roman"/>
          <w:color w:val="000000"/>
          <w:sz w:val="20"/>
          <w:szCs w:val="20"/>
        </w:rPr>
        <w:t xml:space="preserve">International Conference on Recent Advancements in Electrical,</w:t>
      </w:r>
    </w:p>
    <w:p>
      <w:pPr>
        <w:spacing w:after="600" w:line="360"/>
        <w:jc w:val="center"/>
      </w:pPr>
      <w:r>
        <w:rPr>
          <w:rFonts w:ascii="Times New Roman"/>
          <w:color w:val="000000"/>
          <w:sz w:val="20"/>
          <w:szCs w:val="20"/>
        </w:rPr>
        <w:t xml:space="preserve">Electronics and Computing Technologies (ICE2CT-2026)</w:t>
      </w:r>
    </w:p>
    <w:p>
      <w:pPr>
        <w:spacing w:after="200" w:line="480"/>
        <w:jc w:val="center"/>
      </w:pPr>
      <w:r>
        <w:rPr>
          <w:rFonts w:ascii="Times New Roman"/>
          <w:b/>
          <w:bCs/>
          <w:color w:val="000000"/>
          <w:sz w:val="28"/>
          <w:szCs w:val="28"/>
        </w:rPr>
        <w:t xml:space="preserve">Dual-Stream Phase-Aware Inception-Time CNN for Adversarially Robust Spectrum Sensing in V2X Networks</w:t>
      </w:r>
    </w:p>
    <w:p>
      <w:pPr>
        <w:spacing w:before="400"/>
      </w:pPr>
    </w:p>
    <w:p>
      <w:pPr>
        <w:spacing w:after="100" w:line="360"/>
        <w:jc w:val="center"/>
      </w:pPr>
      <w:r>
        <w:rPr>
          <w:rFonts w:ascii="Times New Roman"/>
          <w:b/>
          <w:bCs/>
          <w:color w:val="000000"/>
          <w:sz w:val="24"/>
          <w:szCs w:val="24"/>
        </w:rPr>
        <w:t xml:space="preserve">Parveen Dhankhar, Davesh Vats</w:t>
      </w:r>
    </w:p>
    <w:p>
      <w:pPr>
        <w:spacing w:after="100" w:line="360"/>
        <w:jc w:val="center"/>
      </w:pPr>
      <w:r>
        <w:rPr>
          <w:rFonts w:ascii="Times New Roman"/>
          <w:color w:val="000000"/>
          <w:sz w:val="22"/>
          <w:szCs w:val="22"/>
        </w:rPr>
        <w:t xml:space="preserve">Department of Computer Science and Engineering</w:t>
      </w:r>
    </w:p>
    <w:p>
      <w:pPr>
        <w:spacing w:after="100" w:line="360"/>
        <w:jc w:val="center"/>
      </w:pPr>
      <w:r>
        <w:rPr>
          <w:rFonts w:ascii="Times New Roman"/>
          <w:color w:val="000000"/>
          <w:sz w:val="22"/>
          <w:szCs w:val="22"/>
        </w:rPr>
        <w:t xml:space="preserve">Vaish College of Engineering, Rohtak, India</w:t>
      </w:r>
    </w:p>
    <w:p>
      <w:pPr>
        <w:spacing w:after="400" w:line="360"/>
        <w:jc w:val="center"/>
      </w:pPr>
      <w:r>
        <w:rPr>
          <w:rFonts w:ascii="Times New Roman"/>
          <w:i/>
          <w:iCs/>
          <w:color w:val="000000"/>
          <w:sz w:val="20"/>
          <w:szCs w:val="20"/>
        </w:rPr>
        <w:t xml:space="preserve">parveendhankhar2005@gmail.com, vatsdavesh@gmail.com</w:t>
      </w:r>
    </w:p>
    <w:p>
      <w:pPr>
        <w:spacing w:after="100" w:line="360"/>
        <w:jc w:val="center"/>
      </w:pPr>
      <w:r>
        <w:rPr>
          <w:rFonts w:ascii="Times New Roman"/>
          <w:color w:val="000000"/>
          <w:sz w:val="22"/>
          <w:szCs w:val="22"/>
        </w:rPr>
        <w:t xml:space="preserve">30th April, 2026 (Thursday)</w:t>
      </w:r>
    </w:p>
    <w:p>
      <w:pPr>
        <w:spacing w:before="200" w:line="360"/>
        <w:jc w:val="center"/>
      </w:pPr>
      <w:r>
        <w:rPr>
          <w:rFonts w:ascii="Times New Roman"/>
          <w:color w:val="000000"/>
          <w:sz w:val="20"/>
          <w:szCs w:val="20"/>
        </w:rPr>
        <w:t xml:space="preserve">Venue: Vaish College of Engineering, Rohtak-124001</w:t>
      </w:r>
    </w:p>
    <w:p>
      <w:r>
        <w:br w:type="page"/>
      </w:r>
    </w:p>
    <w:p>
      <w:pPr>
        <w:sectPr>
          <w:pgSz w:w="11906" w:h="16838" w:orient="portrait"/>
          <w:pgMar w:top="1440" w:right="1417" w:bottom="1440" w:left="1701" w:header="708" w:footer="708" w:gutter="0"/>
          <w:pgNumType/>
          <w:cols w:num="1"/>
          <w:docGrid w:linePitch="360"/>
        </w:sectPr>
      </w:pPr>
    </w:p>
    <w:p>
      <w:pPr>
        <w:spacing w:after="120" w:before="120" w:line="240"/>
        <w:jc w:val="center"/>
      </w:pPr>
      <w:r>
        <w:rPr>
          <w:rFonts w:ascii="Times New Roman"/>
          <w:b/>
          <w:bCs/>
          <w:color w:val="000000"/>
          <w:sz w:val="22"/>
          <w:szCs w:val="22"/>
        </w:rPr>
        <w:t xml:space="preserve">Abstract</w:t>
      </w:r>
    </w:p>
    <w:p>
      <w:pPr>
        <w:spacing w:after="60" w:line="240"/>
        <w:ind w:firstLine="0"/>
        <w:jc w:val="both"/>
      </w:pPr>
      <w:r>
        <w:rPr>
          <w:rFonts w:ascii="Times New Roman"/>
          <w:color w:val="000000"/>
          <w:sz w:val="20"/>
          <w:szCs w:val="20"/>
        </w:rPr>
        <w:t xml:space="preserve">Deep learning-based spectrum sensing is a critical enabler of dynamic spectrum access in Vehicle-to-Everything (V2X) communication networks operating in the 5.9 GHz DSRC band. However, the vulnerability of neural network classifiers to adversarial perturbations poses a serious security threat to safety-critical V2X applications. In this paper, we propose a Dual-Stream Phase-Aware Inception-Time CNN that processes both log-magnitude spectrograms and instantaneous frequency representations to achieve robust multi-class spectrum sensing across LTE, WiFi, V2X-PC5, and noise categories. Our architecture employs Inception-Time multi-scale convolution blocks with parallel 1×1, 3×3, and 5×5 kernels, trained with TF-CutMix augmentation, label smoothing, and Gaussian noise injection. The proposed model achieves 86.67% (±0.72%) classification accuracy using standard training and 87.46% (±0.48%) with adversarial training, evaluated over a rigorous 3-seed protocol with 4,000 synthetic RF samples under Rayleigh fading channels.</w:t>
      </w:r>
    </w:p>
    <w:p>
      <w:pPr>
        <w:spacing w:after="60" w:line="240"/>
        <w:ind w:firstLine="0"/>
        <w:jc w:val="both"/>
      </w:pPr>
      <w:r>
        <w:rPr>
          <w:rFonts w:ascii="Times New Roman"/>
          <w:color w:val="000000"/>
          <w:sz w:val="20"/>
          <w:szCs w:val="20"/>
        </w:rPr>
        <w:t xml:space="preserve">We conduct the most comprehensive adversarial evaluation in V2X spectrum sensing to date, testing six white-box attacks (FGSM, PGD-20, APGD-CE, APGD-DLR, FAB, Square) across six perturbation budgets. A critical finding emerges: all gradient-based attacks converge to near-identical ASR (FGSM–PGD gap &lt;1.8 pp, FGSM–APGD gap &lt;0.6 pp at ε ≤ 0.05), demonstrating that the training recipe induces a smooth loss landscape where iterative optimization provides minimal advantage over single-step attacks. A cross-architecture transferability study reveals that the dual-stream fusion achieves the lowest transfer ASR (14–17%) compared to single-stream variants, validating the architectural design. Adversarial training reduces FGSM ASR from 23.25% to 21.12% at ε=0.03 while maintaining comparable clean accuracy—narrowing the traditional accuracy-robustness tradeoff. We introduce channel-aware adversarial evaluation that measures attack effectiveness after adversarial examples pass through a simulated AWGN channel, revealing a significant Sim-to-Real gap: adversarial ASR increases from 23% (no channel) to over 57% at −5 dB SNR due to channel noise interaction. The model achieves 1.43 ms inference latency, well within the 10 ms V2X requirement. Finally, a scenario-stratified evaluation across highway, urban, and rural mobility conditions reveals that adversarial vulnerability is concentrated in urban Rayleigh environments (ASR up to 50%), while Rician fading scenarios (highway/rural) exhibit near-immunity (&lt;2.5% ASR) due to preserved line-of-sight spectral structure.</w:t>
      </w:r>
    </w:p>
    <w:p>
      <w:pPr>
        <w:spacing w:after="60" w:line="240"/>
        <w:ind w:firstLine="0"/>
        <w:jc w:val="both"/>
      </w:pPr>
      <w:r>
        <w:rPr>
          <w:rFonts w:ascii="Times New Roman"/>
          <w:b/>
          <w:bCs/>
          <w:color w:val="000000"/>
          <w:sz w:val="20"/>
          <w:szCs w:val="20"/>
        </w:rPr>
        <w:t xml:space="preserve">Keywords: </w:t>
      </w:r>
      <w:r>
        <w:rPr>
          <w:rFonts w:ascii="Times New Roman"/>
          <w:i/>
          <w:iCs/>
          <w:color w:val="000000"/>
          <w:sz w:val="16"/>
          <w:szCs w:val="16"/>
        </w:rPr>
        <w:t xml:space="preserve">V2X communication, spectrum sensing, dual-stream CNN, inception-time, instantaneous frequency, adversarial robustness, TF-CutMix, adversarial training, channel-aware evaluation, transferability, FGSM, PGD.</w:t>
      </w:r>
    </w:p>
    <w:p>
      <w:pPr>
        <w:pStyle w:val="Heading1"/>
        <w:spacing w:after="100" w:before="180" w:line="240"/>
      </w:pPr>
      <w:r>
        <w:rPr>
          <w:rFonts w:ascii="Times New Roman"/>
          <w:b/>
          <w:bCs/>
          <w:color w:val="000000"/>
          <w:sz w:val="22"/>
          <w:szCs w:val="22"/>
        </w:rPr>
        <w:t xml:space="preserve">1. Introduction</w:t>
      </w:r>
    </w:p>
    <w:p>
      <w:pPr>
        <w:spacing w:after="60" w:line="240"/>
        <w:ind w:firstLine="0"/>
        <w:jc w:val="both"/>
      </w:pPr>
      <w:r>
        <w:rPr>
          <w:rFonts w:ascii="Times New Roman"/>
          <w:color w:val="000000"/>
          <w:sz w:val="20"/>
          <w:szCs w:val="20"/>
        </w:rPr>
        <w:t xml:space="preserve">Vehicle-to-Everything (V2X) communication has emerged as a foundational technology for intelligent transportation systems (ITS), enabling critical applications such as autonomous driving, cooperative collision avoidance, and real-time traffic management. The dedicated short-range communications (DSRC) standard, operating in the 5.9 GHz band according to the IEEE 802.11p specification, and the cellular-based C-V2X standard defined by 3GPP represent the two primary technologies for V2X connectivity. As the density of connected vehicles increases, efficient spectrum utilization through dynamic spectrum access (DSA) becomes paramount for maintaining reliable communication links.</w:t>
      </w:r>
    </w:p>
    <w:p>
      <w:pPr>
        <w:spacing w:after="60" w:line="240"/>
        <w:ind w:firstLine="0"/>
        <w:jc w:val="both"/>
      </w:pPr>
      <w:r>
        <w:rPr>
          <w:rFonts w:ascii="Times New Roman"/>
          <w:color w:val="000000"/>
          <w:sz w:val="20"/>
          <w:szCs w:val="20"/>
        </w:rPr>
        <w:t xml:space="preserve">Deep learning (DL)-based spectrum sensing has gained significant attention as a promising approach for real-time spectrum classification, outperforming traditional energy detection and cyclostationary feature detection methods, particularly in low SNR environments and under complex Rayleigh fading channels. Despite the remarkable performance of DL-based spectrum sensors, a growing body of research has revealed that neural networks are inherently vulnerable to adversarial examples—carefully crafted input perturbations that cause misclassification while remaining imperceptible to human observers. In the context of wireless communication systems, adversarial attacks can be physically realized by transmitting carefully designed jamming signals that exploit the decision boundaries of DL-based classifiers. This vulnerability is particularly concerning for V2X safety-critical applications, where spectrum sensing misclassification could lead to dangerous communication failures, such as a vehicle erroneously concluding that a frequency band is idle when it is occupied by another vehicle's transmission.</w:t>
      </w:r>
    </w:p>
    <w:p>
      <w:pPr>
        <w:spacing w:after="60" w:line="240"/>
        <w:ind w:firstLine="0"/>
        <w:jc w:val="both"/>
      </w:pPr>
      <w:r>
        <w:rPr>
          <w:rFonts w:ascii="Times New Roman"/>
          <w:color w:val="000000"/>
          <w:sz w:val="20"/>
          <w:szCs w:val="20"/>
        </w:rPr>
        <w:t xml:space="preserve">While adversarial robustness has been extensively studied in computer vision and natural language processing, its implications for RF spectrum sensing in V2X networks remain largely uninvestigated. Existing works on adversarial ML in wireless communications have primarily focused on modulation classification and intrusion detection, but no prior study has examined adversarial attacks against DL-based spectrum sensing with physically meaningful evaluation through channel simulation. Furthermore, prior approaches have relied on single-stream magnitude-only spectrogram inputs, ignoring the phase information that is critical for distinguishing modulation types in real RF environments.</w:t>
      </w:r>
    </w:p>
    <w:p>
      <w:pPr>
        <w:spacing w:after="60" w:line="240"/>
        <w:ind w:firstLine="0"/>
        <w:jc w:val="both"/>
      </w:pPr>
      <w:r>
        <w:rPr>
          <w:rFonts w:ascii="Times New Roman"/>
          <w:color w:val="000000"/>
          <w:sz w:val="20"/>
          <w:szCs w:val="20"/>
        </w:rPr>
        <w:t xml:space="preserve">The primary contributions of this paper are as follows:</w:t>
      </w:r>
    </w:p>
    <w:p>
      <w:pPr>
        <w:spacing w:after="60" w:line="240"/>
        <w:ind w:left="480"/>
        <w:jc w:val="both"/>
      </w:pPr>
      <w:r>
        <w:rPr>
          <w:rFonts w:ascii="Times New Roman"/>
          <w:color w:val="000000"/>
          <w:sz w:val="20"/>
          <w:szCs w:val="20"/>
        </w:rPr>
        <w:t xml:space="preserve">1) We propose a Dual-Stream Phase-Aware Inception-Time CNN that processes both log-magnitude spectrograms and instantaneous frequency representations, enabling the model to leverage modulation characteristics that survive Rayleigh fading channel effects.</w:t>
      </w:r>
    </w:p>
    <w:p>
      <w:pPr>
        <w:spacing w:after="60" w:line="240"/>
        <w:ind w:left="480"/>
        <w:jc w:val="both"/>
      </w:pPr>
      <w:r>
        <w:rPr>
          <w:rFonts w:ascii="Times New Roman"/>
          <w:color w:val="000000"/>
          <w:sz w:val="20"/>
          <w:szCs w:val="20"/>
        </w:rPr>
        <w:t xml:space="preserve">2) We conduct the most comprehensive adversarial evaluation in V2X spectrum sensing, testing six white-box attacks including four adaptive attacks (APGD-CE, APGD-DLR, FAB, Square), and demonstrate that all gradient-based attacks converge to near-identical ASR (&lt;0.6 pp gap at ε ≤ 0.05).</w:t>
      </w:r>
    </w:p>
    <w:p>
      <w:pPr>
        <w:spacing w:after="60" w:line="240"/>
        <w:ind w:left="480"/>
        <w:jc w:val="both"/>
      </w:pPr>
      <w:r>
        <w:rPr>
          <w:rFonts w:ascii="Times New Roman"/>
          <w:color w:val="000000"/>
          <w:sz w:val="20"/>
          <w:szCs w:val="20"/>
        </w:rPr>
        <w:t xml:space="preserve">3) We present a cross-architecture transferability analysis showing that dual-stream fusion achieves the lowest transfer ASR (14–17%) compared to single-stream variants.</w:t>
      </w:r>
    </w:p>
    <w:p>
      <w:pPr>
        <w:spacing w:after="60" w:line="240"/>
        <w:ind w:left="480"/>
        <w:jc w:val="both"/>
      </w:pPr>
      <w:r>
        <w:rPr>
          <w:rFonts w:ascii="Times New Roman"/>
          <w:color w:val="000000"/>
          <w:sz w:val="20"/>
          <w:szCs w:val="20"/>
        </w:rPr>
        <w:t xml:space="preserve">4) We introduce channel-aware adversarial evaluation, revealing a previously unreported Sim-to-Real amplification effect where low-SNR channel noise increases adversarial ASR by 2.5× beyond the digital-domain baseline.</w:t>
      </w:r>
    </w:p>
    <w:p>
      <w:pPr>
        <w:spacing w:after="60" w:line="240"/>
        <w:ind w:left="480"/>
        <w:jc w:val="both"/>
      </w:pPr>
      <w:r>
        <w:rPr>
          <w:rFonts w:ascii="Times New Roman"/>
          <w:color w:val="000000"/>
          <w:sz w:val="20"/>
          <w:szCs w:val="20"/>
        </w:rPr>
        <w:t xml:space="preserve">5) We show that adversarial training achieves comparable clean accuracy (87.46%) while reducing attack success rates (21.12%), narrowing the traditional accuracy-robustness tradeoff in latency-constrained V2X systems.</w:t>
      </w:r>
    </w:p>
    <w:p>
      <w:pPr>
        <w:pStyle w:val="Heading1"/>
        <w:spacing w:after="100" w:before="180" w:line="240"/>
      </w:pPr>
      <w:r>
        <w:rPr>
          <w:rFonts w:ascii="Times New Roman"/>
          <w:b/>
          <w:bCs/>
          <w:color w:val="000000"/>
          <w:sz w:val="22"/>
          <w:szCs w:val="22"/>
        </w:rPr>
        <w:t xml:space="preserve">2. Related Work</w:t>
      </w:r>
    </w:p>
    <w:p>
      <w:pPr>
        <w:pStyle w:val="Heading2"/>
        <w:spacing w:after="80" w:before="120" w:line="240"/>
      </w:pPr>
      <w:r>
        <w:rPr>
          <w:rFonts w:ascii="Times New Roman"/>
          <w:b/>
          <w:bCs/>
          <w:color w:val="000000"/>
          <w:sz w:val="20"/>
          <w:szCs w:val="20"/>
        </w:rPr>
        <w:t xml:space="preserve">2.1 DL-Based Spectrum Sensing</w:t>
      </w:r>
    </w:p>
    <w:p>
      <w:pPr>
        <w:spacing w:after="60" w:line="240"/>
        <w:ind w:firstLine="0"/>
        <w:jc w:val="both"/>
      </w:pPr>
      <w:r>
        <w:rPr>
          <w:rFonts w:ascii="Times New Roman"/>
          <w:color w:val="000000"/>
          <w:sz w:val="20"/>
          <w:szCs w:val="20"/>
        </w:rPr>
        <w:t xml:space="preserve">Deep learning approaches for spectrum sensing have been extensively investigated. O'Shea et al. [1] demonstrated CNNs and ResNets for automatic modulation classification using the RadioML dataset. Zhang et al. [2] proposed a spectrogram-aware CNN for cognitive radio spectrum sensing. Recent architectural innovations include Inception-Time networks [5] that employ multi-scale parallel convolutions for time-series classification, and squeeze-and-excitation (SE) blocks [4] that adaptively recalibrate channel-wise feature responses. However, these approaches process only magnitude spectrograms, discarding phase information that carries critical modulation structure. Our dual-stream design addresses this limitation by adding an instantaneous frequency stream that captures phase-derived features robust to channel effects.</w:t>
      </w:r>
    </w:p>
    <w:p>
      <w:pPr>
        <w:pStyle w:val="Heading2"/>
        <w:spacing w:after="80" w:before="120" w:line="240"/>
      </w:pPr>
      <w:r>
        <w:rPr>
          <w:rFonts w:ascii="Times New Roman"/>
          <w:b/>
          <w:bCs/>
          <w:color w:val="000000"/>
          <w:sz w:val="20"/>
          <w:szCs w:val="20"/>
        </w:rPr>
        <w:t xml:space="preserve">2.2 Adversarial Attacks in Wireless Communications</w:t>
      </w:r>
    </w:p>
    <w:p>
      <w:pPr>
        <w:spacing w:after="60" w:line="240"/>
        <w:ind w:firstLine="0"/>
        <w:jc w:val="both"/>
      </w:pPr>
      <w:r>
        <w:rPr>
          <w:rFonts w:ascii="Times New Roman"/>
          <w:color w:val="000000"/>
          <w:sz w:val="20"/>
          <w:szCs w:val="20"/>
        </w:rPr>
        <w:t xml:space="preserve">Sadeghi and Larsson [11] demonstrated adversarial perturbations against DL-based wireless signal classifiers. Xu et al. [12] proposed frequency-selective adversarial attacks. For V2X, Zhang et al. [13] investigated adversarial attacks against DRL-based resource allocation, and Li et al. [14] explored DRL-based adversarial defense. Critically, no prior work has evaluated adversarial attacks on V2X spectrum sensing with channel-aware evaluation that accounts for the Sim-to-Real gap between digital-domain attacks and physical-channel propagation.</w:t>
      </w:r>
    </w:p>
    <w:p>
      <w:pPr>
        <w:pStyle w:val="Heading2"/>
        <w:spacing w:after="80" w:before="120" w:line="240"/>
      </w:pPr>
      <w:r>
        <w:rPr>
          <w:rFonts w:ascii="Times New Roman"/>
          <w:b/>
          <w:bCs/>
          <w:color w:val="000000"/>
          <w:sz w:val="20"/>
          <w:szCs w:val="20"/>
        </w:rPr>
        <w:t xml:space="preserve">2.3 Adversarial Defense Mechanisms</w:t>
      </w:r>
    </w:p>
    <w:p>
      <w:pPr>
        <w:spacing w:after="60" w:line="240"/>
        <w:ind w:firstLine="0"/>
        <w:jc w:val="both"/>
      </w:pPr>
      <w:r>
        <w:rPr>
          <w:rFonts w:ascii="Times New Roman"/>
          <w:color w:val="000000"/>
          <w:sz w:val="20"/>
          <w:szCs w:val="20"/>
        </w:rPr>
        <w:t xml:space="preserve">Adversarial training [6] remains one of the most effective defenses. Randomized smoothing [8] provides certified robustness guarantees but requires N=50–100 forward passes per sample, resulting in 50–100 ms latency that violates V2X timing constraints. Data augmentation techniques such as Mixup [10] and CutMix [9] have shown promise in improving generalization and robustness. We adapt CutMix to the time-frequency domain (TF-CutMix) and combine it with adversarial training and Gaussian noise injection to achieve robustness without the computational overhead of certified defenses. For rigorous evaluation, we adopt a multi-attack evaluation protocol inspired by Croce and Hein [17], combining multiple adaptive attacks (APGD-CE, APGD-DLR, FAB, Square) alongside classical attacks (FGSM, PGD-20) to reliably assess adversarial robustness—a methodology applied here to V2X spectrum sensing for the first time.</w:t>
      </w:r>
    </w:p>
    <w:p>
      <w:pPr>
        <w:pStyle w:val="Heading1"/>
        <w:spacing w:after="100" w:before="180" w:line="240"/>
      </w:pPr>
      <w:r>
        <w:rPr>
          <w:rFonts w:ascii="Times New Roman"/>
          <w:b/>
          <w:bCs/>
          <w:color w:val="000000"/>
          <w:sz w:val="22"/>
          <w:szCs w:val="22"/>
        </w:rPr>
        <w:t xml:space="preserve">3. System Model and Signal Generation</w:t>
      </w:r>
    </w:p>
    <w:p>
      <w:pPr>
        <w:pStyle w:val="Heading2"/>
        <w:spacing w:after="80" w:before="120" w:line="240"/>
      </w:pPr>
      <w:r>
        <w:rPr>
          <w:rFonts w:ascii="Times New Roman"/>
          <w:b/>
          <w:bCs/>
          <w:color w:val="000000"/>
          <w:sz w:val="20"/>
          <w:szCs w:val="20"/>
        </w:rPr>
        <w:t xml:space="preserve">3.1 V2X Signal Models</w:t>
      </w:r>
    </w:p>
    <w:p>
      <w:pPr>
        <w:spacing w:after="60" w:line="240"/>
        <w:ind w:firstLine="0"/>
        <w:jc w:val="both"/>
      </w:pPr>
      <w:r>
        <w:rPr>
          <w:rFonts w:ascii="Times New Roman"/>
          <w:color w:val="000000"/>
          <w:sz w:val="20"/>
          <w:szCs w:val="20"/>
        </w:rPr>
        <w:t xml:space="preserve">We consider a V2X communication environment where the spectrum in the 5.9 GHz DSRC band is shared among multiple signal types. The receiver observes a baseband signal x(t) belonging to one of four categories: (i) LTE, (ii) WiFi, (iii) V2X-PC5, or (iv) noise only.</w:t>
      </w:r>
    </w:p>
    <w:p>
      <w:pPr>
        <w:spacing w:after="60" w:line="240"/>
        <w:ind w:firstLine="0"/>
        <w:jc w:val="both"/>
      </w:pPr>
      <w:r>
        <w:rPr>
          <w:rFonts w:ascii="Times New Roman"/>
          <w:b/>
          <w:bCs/>
          <w:color w:val="000000"/>
          <w:sz w:val="20"/>
          <w:szCs w:val="20"/>
        </w:rPr>
        <w:t xml:space="preserve">LTE Signal: </w:t>
      </w:r>
      <w:r>
        <w:rPr>
          <w:rFonts w:ascii="Times New Roman"/>
          <w:color w:val="000000"/>
          <w:sz w:val="20"/>
          <w:szCs w:val="20"/>
        </w:rPr>
        <w:t xml:space="preserve">Modeled as OFDM with 64 subcarriers spanning the central ±35% of the observation bandwidth:</w:t>
      </w:r>
    </w:p>
    <w:p>
      <w:pPr>
        <w:tabs>
          <w:tab w:val="right" w:pos="4200"/>
        </w:tabs>
        <w:spacing w:after="60" w:before="60" w:line="240"/>
        <w:jc w:val="center"/>
      </w:pPr>
      <w:r>
        <w:drawing>
          <wp:inline distT="0" distB="0" distL="0" distR="0">
            <wp:extent cx="219075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266700"/>
                    </a:xfrm>
                    <a:prstGeom prst="rect">
                      <a:avLst/>
                    </a:prstGeom>
                  </pic:spPr>
                </pic:pic>
              </a:graphicData>
            </a:graphic>
          </wp:inline>
        </w:drawing>
      </w:r>
      <w:r>
        <w:rPr>
          <w:rFonts w:ascii="Times New Roman"/>
          <w:color w:val="000000"/>
          <w:sz w:val="16"/>
          <w:szCs w:val="16"/>
        </w:rPr>
        <w:t xml:space="preserve">	(1)</w:t>
      </w:r>
    </w:p>
    <w:p>
      <w:pPr>
        <w:spacing w:after="60" w:line="240"/>
        <w:ind w:firstLine="0"/>
        <w:jc w:val="both"/>
      </w:pPr>
      <w:r>
        <w:rPr>
          <w:rFonts w:ascii="Times New Roman"/>
          <w:color w:val="000000"/>
          <w:sz w:val="20"/>
          <w:szCs w:val="20"/>
        </w:rPr>
        <w:t xml:space="preserve">where N_sub=64, X_k are QAM symbols, and f_k = (k − N_sub/2) · 2B_sub/N_sub with B_sub=0.35 · f_s.</w:t>
      </w:r>
    </w:p>
    <w:p>
      <w:pPr>
        <w:spacing w:after="60" w:line="240"/>
        <w:ind w:firstLine="0"/>
        <w:jc w:val="both"/>
      </w:pPr>
      <w:r>
        <w:rPr>
          <w:rFonts w:ascii="Times New Roman"/>
          <w:b/>
          <w:bCs/>
          <w:color w:val="000000"/>
          <w:sz w:val="20"/>
          <w:szCs w:val="20"/>
        </w:rPr>
        <w:t xml:space="preserve">WiFi Signal: </w:t>
      </w:r>
      <w:r>
        <w:rPr>
          <w:rFonts w:ascii="Times New Roman"/>
          <w:color w:val="000000"/>
          <w:sz w:val="20"/>
          <w:szCs w:val="20"/>
        </w:rPr>
        <w:t xml:space="preserve">OFDM with 52 subcarriers offset to the upper portion of the band:</w:t>
      </w:r>
    </w:p>
    <w:p>
      <w:pPr>
        <w:tabs>
          <w:tab w:val="right" w:pos="4200"/>
        </w:tabs>
        <w:spacing w:after="60" w:before="60" w:line="240"/>
        <w:jc w:val="center"/>
      </w:pPr>
      <w:r>
        <w:drawing>
          <wp:inline distT="0" distB="0" distL="0" distR="0">
            <wp:extent cx="219075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90750" cy="266700"/>
                    </a:xfrm>
                    <a:prstGeom prst="rect">
                      <a:avLst/>
                    </a:prstGeom>
                  </pic:spPr>
                </pic:pic>
              </a:graphicData>
            </a:graphic>
          </wp:inline>
        </w:drawing>
      </w:r>
      <w:r>
        <w:rPr>
          <w:rFonts w:ascii="Times New Roman"/>
          <w:color w:val="000000"/>
          <w:sz w:val="16"/>
          <w:szCs w:val="16"/>
        </w:rPr>
        <w:t xml:space="preserve">	(2)</w:t>
      </w:r>
    </w:p>
    <w:p>
      <w:pPr>
        <w:spacing w:after="60" w:line="240"/>
        <w:ind w:firstLine="0"/>
        <w:jc w:val="both"/>
      </w:pPr>
      <w:r>
        <w:rPr>
          <w:rFonts w:ascii="Times New Roman"/>
          <w:color w:val="000000"/>
          <w:sz w:val="20"/>
          <w:szCs w:val="20"/>
        </w:rPr>
        <w:t xml:space="preserve">where N_sub=52, B_sub=0.25 · f_s, and f_off=0.15 · f_s.</w:t>
      </w:r>
    </w:p>
    <w:p>
      <w:pPr>
        <w:spacing w:after="60" w:line="240"/>
        <w:ind w:firstLine="0"/>
        <w:jc w:val="both"/>
      </w:pPr>
      <w:r>
        <w:rPr>
          <w:rFonts w:ascii="Times New Roman"/>
          <w:b/>
          <w:bCs/>
          <w:color w:val="000000"/>
          <w:sz w:val="20"/>
          <w:szCs w:val="20"/>
        </w:rPr>
        <w:t xml:space="preserve">V2X-PC5 Signal: </w:t>
      </w:r>
      <w:r>
        <w:rPr>
          <w:rFonts w:ascii="Times New Roman"/>
          <w:color w:val="000000"/>
          <w:sz w:val="20"/>
          <w:szCs w:val="20"/>
        </w:rPr>
        <w:t xml:space="preserve">SC-FDMA-like with 12 subcarriers in the lower band:</w:t>
      </w:r>
    </w:p>
    <w:p>
      <w:pPr>
        <w:tabs>
          <w:tab w:val="right" w:pos="4200"/>
        </w:tabs>
        <w:spacing w:after="60" w:before="60" w:line="240"/>
        <w:jc w:val="center"/>
      </w:pPr>
      <w:r>
        <w:drawing>
          <wp:inline distT="0" distB="0" distL="0" distR="0">
            <wp:extent cx="219075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90750" cy="266700"/>
                    </a:xfrm>
                    <a:prstGeom prst="rect">
                      <a:avLst/>
                    </a:prstGeom>
                  </pic:spPr>
                </pic:pic>
              </a:graphicData>
            </a:graphic>
          </wp:inline>
        </w:drawing>
      </w:r>
      <w:r>
        <w:rPr>
          <w:rFonts w:ascii="Times New Roman"/>
          <w:color w:val="000000"/>
          <w:sz w:val="16"/>
          <w:szCs w:val="16"/>
        </w:rPr>
        <w:t xml:space="preserve">	(3)</w:t>
      </w:r>
    </w:p>
    <w:p>
      <w:pPr>
        <w:spacing w:after="60" w:line="240"/>
        <w:ind w:firstLine="0"/>
        <w:jc w:val="both"/>
      </w:pPr>
      <w:r>
        <w:rPr>
          <w:rFonts w:ascii="Times New Roman"/>
          <w:color w:val="000000"/>
          <w:sz w:val="20"/>
          <w:szCs w:val="20"/>
        </w:rPr>
        <w:t xml:space="preserve">where N_sub=12, B_sub=0.08 · f_s, and f_off=−0.10 · f_s.</w:t>
      </w:r>
    </w:p>
    <w:p>
      <w:pPr>
        <w:spacing w:after="60" w:line="240"/>
        <w:ind w:firstLine="0"/>
        <w:jc w:val="both"/>
      </w:pPr>
      <w:r>
        <w:rPr>
          <w:rFonts w:ascii="Times New Roman"/>
          <w:b/>
          <w:bCs/>
          <w:color w:val="000000"/>
          <w:sz w:val="20"/>
          <w:szCs w:val="20"/>
        </w:rPr>
        <w:t xml:space="preserve">Noise: </w:t>
      </w:r>
      <w:r>
        <w:rPr>
          <w:rFonts w:ascii="Times New Roman"/>
          <w:color w:val="000000"/>
          <w:sz w:val="20"/>
          <w:szCs w:val="20"/>
        </w:rPr>
        <w:t xml:space="preserve">Complex AWGN: n(t) ~ CN(0, σ²).</w:t>
      </w:r>
    </w:p>
    <w:p>
      <w:pPr>
        <w:spacing w:after="60" w:line="240"/>
        <w:ind w:firstLine="0"/>
        <w:jc w:val="both"/>
      </w:pPr>
      <w:r>
        <w:rPr>
          <w:rFonts w:ascii="Times New Roman"/>
          <w:color w:val="000000"/>
          <w:sz w:val="20"/>
          <w:szCs w:val="20"/>
        </w:rPr>
        <w:t xml:space="preserve">This frequency-domain separation of signal classes is physically motivated: LTE operates in licensed sub-6 GHz bands, WiFi occupies the 5 GHz ISM band with higher subcarrier density, and V2X-PC5 uses a narrow 10 MHz allocation in the lower DSRC spectrum.</w:t>
      </w:r>
    </w:p>
    <w:p>
      <w:pPr>
        <w:pStyle w:val="Heading2"/>
        <w:spacing w:after="80" w:before="120" w:line="240"/>
      </w:pPr>
      <w:r>
        <w:rPr>
          <w:rFonts w:ascii="Times New Roman"/>
          <w:b/>
          <w:bCs/>
          <w:color w:val="000000"/>
          <w:sz w:val="20"/>
          <w:szCs w:val="20"/>
        </w:rPr>
        <w:t xml:space="preserve">3.2 Channel Model</w:t>
      </w:r>
    </w:p>
    <w:p>
      <w:pPr>
        <w:spacing w:after="60" w:line="240"/>
        <w:ind w:firstLine="0"/>
        <w:jc w:val="both"/>
      </w:pPr>
      <w:r>
        <w:rPr>
          <w:rFonts w:ascii="Times New Roman"/>
          <w:color w:val="000000"/>
          <w:sz w:val="20"/>
          <w:szCs w:val="20"/>
        </w:rPr>
        <w:t xml:space="preserve">All signals experience Rayleigh fading and AWGN. The received signal is:</w:t>
      </w:r>
    </w:p>
    <w:p>
      <w:pPr>
        <w:tabs>
          <w:tab w:val="right" w:pos="4200"/>
        </w:tabs>
        <w:spacing w:after="60" w:before="60" w:line="240"/>
        <w:jc w:val="center"/>
      </w:pPr>
      <w:r>
        <w:drawing>
          <wp:inline distT="0" distB="0" distL="0" distR="0">
            <wp:extent cx="219075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90750" cy="266700"/>
                    </a:xfrm>
                    <a:prstGeom prst="rect">
                      <a:avLst/>
                    </a:prstGeom>
                  </pic:spPr>
                </pic:pic>
              </a:graphicData>
            </a:graphic>
          </wp:inline>
        </w:drawing>
      </w:r>
      <w:r>
        <w:rPr>
          <w:rFonts w:ascii="Times New Roman"/>
          <w:color w:val="000000"/>
          <w:sz w:val="16"/>
          <w:szCs w:val="16"/>
        </w:rPr>
        <w:t xml:space="preserve">	(4)</w:t>
      </w:r>
    </w:p>
    <w:p>
      <w:pPr>
        <w:spacing w:after="60" w:line="240"/>
        <w:ind w:firstLine="0"/>
        <w:jc w:val="both"/>
      </w:pPr>
      <w:r>
        <w:rPr>
          <w:rFonts w:ascii="Times New Roman"/>
          <w:color w:val="000000"/>
          <w:sz w:val="20"/>
          <w:szCs w:val="20"/>
        </w:rPr>
        <w:t xml:space="preserve">where h(t) ~ CN(0,1) is the Rayleigh fading coefficient and n(t) ~ CN(0,σ²) with SNR uniformly sampled from [5, 25] dB.</w:t>
      </w:r>
    </w:p>
    <w:p>
      <w:pPr>
        <w:pStyle w:val="Heading2"/>
        <w:spacing w:after="80" w:before="120" w:line="240"/>
      </w:pPr>
      <w:r>
        <w:rPr>
          <w:rFonts w:ascii="Times New Roman"/>
          <w:b/>
          <w:bCs/>
          <w:color w:val="000000"/>
          <w:sz w:val="20"/>
          <w:szCs w:val="20"/>
        </w:rPr>
        <w:t xml:space="preserve">3.3 Dual-Stream Spectrogram Representation</w:t>
      </w:r>
    </w:p>
    <w:p>
      <w:pPr>
        <w:spacing w:after="60" w:line="240"/>
        <w:ind w:firstLine="0"/>
        <w:jc w:val="both"/>
      </w:pPr>
      <w:r>
        <w:rPr>
          <w:rFonts w:ascii="Times New Roman"/>
          <w:color w:val="000000"/>
          <w:sz w:val="20"/>
          <w:szCs w:val="20"/>
        </w:rPr>
        <w:t xml:space="preserve">Unlike prior approaches that use only magnitude spectrograms, we extract two complementary representations from the STFT of the received signal:</w:t>
      </w:r>
    </w:p>
    <w:p>
      <w:pPr>
        <w:spacing w:after="60" w:line="240"/>
        <w:ind w:firstLine="0"/>
        <w:jc w:val="both"/>
      </w:pPr>
      <w:r>
        <w:rPr>
          <w:rFonts w:ascii="Times New Roman"/>
          <w:b/>
          <w:bCs/>
          <w:color w:val="000000"/>
          <w:sz w:val="20"/>
          <w:szCs w:val="20"/>
        </w:rPr>
        <w:t xml:space="preserve">Stream 1 — Log-Magnitude: </w:t>
      </w:r>
      <w:r>
        <w:rPr>
          <w:rFonts w:ascii="Times New Roman"/>
          <w:color w:val="000000"/>
          <w:sz w:val="20"/>
          <w:szCs w:val="20"/>
        </w:rPr>
        <w:t xml:space="preserve">The log-magnitude spectrogram captures the power spectral density structure:</w:t>
      </w:r>
    </w:p>
    <w:p>
      <w:pPr>
        <w:tabs>
          <w:tab w:val="right" w:pos="4200"/>
        </w:tabs>
        <w:spacing w:after="60" w:before="60" w:line="240"/>
        <w:jc w:val="center"/>
      </w:pPr>
      <w:r>
        <w:drawing>
          <wp:inline distT="0" distB="0" distL="0" distR="0">
            <wp:extent cx="219075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90750" cy="266700"/>
                    </a:xfrm>
                    <a:prstGeom prst="rect">
                      <a:avLst/>
                    </a:prstGeom>
                  </pic:spPr>
                </pic:pic>
              </a:graphicData>
            </a:graphic>
          </wp:inline>
        </w:drawing>
      </w:r>
      <w:r>
        <w:rPr>
          <w:rFonts w:ascii="Times New Roman"/>
          <w:color w:val="000000"/>
          <w:sz w:val="16"/>
          <w:szCs w:val="16"/>
        </w:rPr>
        <w:t xml:space="preserve">	(5)</w:t>
      </w:r>
    </w:p>
    <w:p>
      <w:pPr>
        <w:spacing w:after="60" w:line="240"/>
        <w:ind w:firstLine="0"/>
        <w:jc w:val="both"/>
      </w:pPr>
      <w:r>
        <w:rPr>
          <w:rFonts w:ascii="Times New Roman"/>
          <w:color w:val="000000"/>
          <w:sz w:val="20"/>
          <w:szCs w:val="20"/>
        </w:rPr>
        <w:t xml:space="preserve">where ε = 10⁻¹⁰ prevents numerical instability. The log compression expands the dynamic range of low-power spectral features, making subtle differences between signal classes more discernible. The log-magnitude is then z-score normalized using training-set statistics and clipped to [−5, 5].</w:t>
      </w:r>
    </w:p>
    <w:p>
      <w:pPr>
        <w:spacing w:after="60" w:line="240"/>
        <w:ind w:firstLine="0"/>
        <w:jc w:val="both"/>
      </w:pPr>
      <w:r>
        <w:rPr>
          <w:rFonts w:ascii="Times New Roman"/>
          <w:b/>
          <w:bCs/>
          <w:color w:val="000000"/>
          <w:sz w:val="20"/>
          <w:szCs w:val="20"/>
        </w:rPr>
        <w:t xml:space="preserve">Stream 2 — Instantaneous Frequency: </w:t>
      </w:r>
      <w:r>
        <w:rPr>
          <w:rFonts w:ascii="Times New Roman"/>
          <w:color w:val="000000"/>
          <w:sz w:val="20"/>
          <w:szCs w:val="20"/>
        </w:rPr>
        <w:t xml:space="preserve">The raw phase spectrogram φ(f,t) = ∠STFT{r(t)}(f,t) is randomized by multipath fading. Instead, we compute the instantaneous frequency—the temporal derivative of the unwrapped phase:</w:t>
      </w:r>
    </w:p>
    <w:p>
      <w:pPr>
        <w:tabs>
          <w:tab w:val="right" w:pos="4200"/>
        </w:tabs>
        <w:spacing w:after="60" w:before="60" w:line="240"/>
        <w:jc w:val="center"/>
      </w:pPr>
      <w:r>
        <w:drawing>
          <wp:inline distT="0" distB="0" distL="0" distR="0">
            <wp:extent cx="219075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190750" cy="266700"/>
                    </a:xfrm>
                    <a:prstGeom prst="rect">
                      <a:avLst/>
                    </a:prstGeom>
                  </pic:spPr>
                </pic:pic>
              </a:graphicData>
            </a:graphic>
          </wp:inline>
        </w:drawing>
      </w:r>
      <w:r>
        <w:rPr>
          <w:rFonts w:ascii="Times New Roman"/>
          <w:color w:val="000000"/>
          <w:sz w:val="16"/>
          <w:szCs w:val="16"/>
        </w:rPr>
        <w:t xml:space="preserve">	(6)</w:t>
      </w:r>
    </w:p>
    <w:p>
      <w:pPr>
        <w:spacing w:after="60" w:line="240"/>
        <w:ind w:firstLine="0"/>
        <w:jc w:val="both"/>
      </w:pPr>
      <w:r>
        <w:rPr>
          <w:rFonts w:ascii="Times New Roman"/>
          <w:color w:val="000000"/>
          <w:sz w:val="20"/>
          <w:szCs w:val="20"/>
        </w:rPr>
        <w:t xml:space="preserve">This representation captures modulation characteristics—such as symbol rate, frequency hopping patterns, and subcarrier spacing—that are invariant to the absolute phase introduced by the channel. Each signal is processed with FFT size N_f = 128 and hop size 64, yielding 65 frequency bins and 15 time frames. The dataset contains 4,000 samples (1,000 per class) with an 80/20 train/test split.</w:t>
      </w:r>
    </w:p>
    <w:p>
      <w:pPr>
        <w:pStyle w:val="Heading1"/>
        <w:spacing w:after="100" w:before="180" w:line="240"/>
      </w:pPr>
      <w:r>
        <w:rPr>
          <w:rFonts w:ascii="Times New Roman"/>
          <w:b/>
          <w:bCs/>
          <w:color w:val="000000"/>
          <w:sz w:val="22"/>
          <w:szCs w:val="22"/>
        </w:rPr>
        <w:t xml:space="preserve">4. Proposed Architecture</w:t>
      </w:r>
    </w:p>
    <w:p>
      <w:pPr>
        <w:pStyle w:val="Heading2"/>
        <w:spacing w:after="80" w:before="120" w:line="240"/>
      </w:pPr>
      <w:r>
        <w:rPr>
          <w:rFonts w:ascii="Times New Roman"/>
          <w:b/>
          <w:bCs/>
          <w:color w:val="000000"/>
          <w:sz w:val="20"/>
          <w:szCs w:val="20"/>
        </w:rPr>
        <w:t xml:space="preserve">4.1 Design Rationale</w:t>
      </w:r>
    </w:p>
    <w:p>
      <w:pPr>
        <w:spacing w:after="60" w:line="240"/>
        <w:ind w:firstLine="0"/>
        <w:jc w:val="both"/>
      </w:pPr>
      <w:r>
        <w:rPr>
          <w:rFonts w:ascii="Times New Roman"/>
          <w:color w:val="000000"/>
          <w:sz w:val="20"/>
          <w:szCs w:val="20"/>
        </w:rPr>
        <w:t xml:space="preserve">Our architecture addresses three key limitations of prior approaches. First, magnitude-only spectrograms discard phase-derived modulation information; our dual-stream design recovers this through the instantaneous frequency stream. Second, BiLSTM-based temporal models become mathematically meaningless when spectral pooling reduces the sequence to length 2–3; our Inception-Time design operates purely on spatial features. Third, prior architectures with 2M+ parameters are severely over-parameterized for 4,000 training samples; our model uses only 86,052 parameters while achieving higher accuracy.</w:t>
      </w:r>
    </w:p>
    <w:p>
      <w:pPr>
        <w:pStyle w:val="Heading2"/>
        <w:spacing w:after="80" w:before="120" w:line="240"/>
      </w:pPr>
      <w:r>
        <w:rPr>
          <w:rFonts w:ascii="Times New Roman"/>
          <w:b/>
          <w:bCs/>
          <w:color w:val="000000"/>
          <w:sz w:val="20"/>
          <w:szCs w:val="20"/>
        </w:rPr>
        <w:t xml:space="preserve">4.2 Inception-Time Multi-Scale Block</w:t>
      </w:r>
    </w:p>
    <w:p>
      <w:pPr>
        <w:spacing w:after="60" w:line="240"/>
        <w:ind w:firstLine="0"/>
        <w:jc w:val="both"/>
      </w:pPr>
      <w:r>
        <w:rPr>
          <w:rFonts w:ascii="Times New Roman"/>
          <w:color w:val="000000"/>
          <w:sz w:val="20"/>
          <w:szCs w:val="20"/>
        </w:rPr>
        <w:t xml:space="preserve">The core building block employs parallel convolutions at three scales. While Inception-Time [5] was originally proposed for 1D time-series classification, we adapt its multi-scale convolution principle to 2D spectrogram inputs:</w:t>
      </w:r>
    </w:p>
    <w:p>
      <w:pPr>
        <w:tabs>
          <w:tab w:val="right" w:pos="4200"/>
        </w:tabs>
        <w:spacing w:after="60" w:before="60" w:line="240"/>
        <w:jc w:val="center"/>
      </w:pPr>
      <w:r>
        <w:drawing>
          <wp:inline distT="0" distB="0" distL="0" distR="0">
            <wp:extent cx="219075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190750" cy="266700"/>
                    </a:xfrm>
                    <a:prstGeom prst="rect">
                      <a:avLst/>
                    </a:prstGeom>
                  </pic:spPr>
                </pic:pic>
              </a:graphicData>
            </a:graphic>
          </wp:inline>
        </w:drawing>
      </w:r>
      <w:r>
        <w:rPr>
          <w:rFonts w:ascii="Times New Roman"/>
          <w:color w:val="000000"/>
          <w:sz w:val="16"/>
          <w:szCs w:val="16"/>
        </w:rPr>
        <w:t xml:space="preserve">	(7)</w:t>
      </w:r>
    </w:p>
    <w:p>
      <w:pPr>
        <w:spacing w:after="60" w:line="240"/>
        <w:ind w:firstLine="0"/>
        <w:jc w:val="both"/>
      </w:pPr>
      <w:r>
        <w:rPr>
          <w:rFonts w:ascii="Times New Roman"/>
          <w:color w:val="000000"/>
          <w:sz w:val="20"/>
          <w:szCs w:val="20"/>
        </w:rPr>
        <w:t xml:space="preserve">where [· || ·] denotes channel-wise concatenation. For an output channel count of C, the three branches produce C/4, C/4, and C/2 channels respectively. The 1×1 branch captures point-wise spectral features, the 3×3 branch captures local time-frequency patterns, and the 5×5 branch captures broader spectral shapes. All convolutions use same-padding to preserve spatial dimensions.</w:t>
      </w:r>
    </w:p>
    <w:p>
      <w:pPr>
        <w:pStyle w:val="Heading2"/>
        <w:spacing w:after="80" w:before="120" w:line="240"/>
      </w:pPr>
      <w:r>
        <w:rPr>
          <w:rFonts w:ascii="Times New Roman"/>
          <w:b/>
          <w:bCs/>
          <w:color w:val="000000"/>
          <w:sz w:val="20"/>
          <w:szCs w:val="20"/>
        </w:rPr>
        <w:t xml:space="preserve">4.3 Single-Stream Network</w:t>
      </w:r>
    </w:p>
    <w:p>
      <w:pPr>
        <w:spacing w:after="60" w:line="240"/>
        <w:ind w:firstLine="0"/>
        <w:jc w:val="both"/>
      </w:pPr>
      <w:r>
        <w:rPr>
          <w:rFonts w:ascii="Times New Roman"/>
          <w:color w:val="000000"/>
          <w:sz w:val="20"/>
          <w:szCs w:val="20"/>
        </w:rPr>
        <w:t xml:space="preserve">Each stream processes one input representation through: Conv2d(1, 16, 3×3) → BN → ReLU → MaxPool(2×2) → InceptionBlock(16, 32) → MaxPool(2×2) → InceptionBlock(32, 64) → AdaptiveAvgPool(1). The input (B, 1, 65, 15) is reduced through max-pooling to (B, 64, 16, 3), then the two Inception blocks extract multi-scale features, and global average pooling produces a 64-dimensional feature vector per stream.</w:t>
      </w:r>
    </w:p>
    <w:p>
      <w:pPr>
        <w:pStyle w:val="Heading2"/>
        <w:spacing w:after="80" w:before="120" w:line="240"/>
      </w:pPr>
      <w:r>
        <w:rPr>
          <w:rFonts w:ascii="Times New Roman"/>
          <w:b/>
          <w:bCs/>
          <w:color w:val="000000"/>
          <w:sz w:val="20"/>
          <w:szCs w:val="20"/>
        </w:rPr>
        <w:t xml:space="preserve">4.4 Dual-Stream Fusion and Classification</w:t>
      </w:r>
    </w:p>
    <w:p>
      <w:pPr>
        <w:spacing w:after="60" w:line="240"/>
        <w:ind w:firstLine="0"/>
        <w:jc w:val="both"/>
      </w:pPr>
      <w:r>
        <w:rPr>
          <w:rFonts w:ascii="Times New Roman"/>
          <w:color w:val="000000"/>
          <w:sz w:val="20"/>
          <w:szCs w:val="20"/>
        </w:rPr>
        <w:t xml:space="preserve">The two 64-dimensional stream outputs are concatenated to form a 128-dimensional joint representation:</w:t>
      </w:r>
    </w:p>
    <w:p>
      <w:pPr>
        <w:tabs>
          <w:tab w:val="right" w:pos="4200"/>
        </w:tabs>
        <w:spacing w:after="60" w:before="60" w:line="240"/>
        <w:jc w:val="center"/>
      </w:pPr>
      <w:r>
        <w:drawing>
          <wp:inline distT="0" distB="0" distL="0" distR="0">
            <wp:extent cx="219075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190750" cy="266700"/>
                    </a:xfrm>
                    <a:prstGeom prst="rect">
                      <a:avLst/>
                    </a:prstGeom>
                  </pic:spPr>
                </pic:pic>
              </a:graphicData>
            </a:graphic>
          </wp:inline>
        </w:drawing>
      </w:r>
      <w:r>
        <w:rPr>
          <w:rFonts w:ascii="Times New Roman"/>
          <w:color w:val="000000"/>
          <w:sz w:val="16"/>
          <w:szCs w:val="16"/>
        </w:rPr>
        <w:t xml:space="preserve">	(8)</w:t>
      </w:r>
    </w:p>
    <w:p>
      <w:pPr>
        <w:spacing w:after="60" w:line="240"/>
        <w:ind w:firstLine="0"/>
        <w:jc w:val="both"/>
      </w:pPr>
      <w:r>
        <w:rPr>
          <w:rFonts w:ascii="Times New Roman"/>
          <w:color w:val="000000"/>
          <w:sz w:val="20"/>
          <w:szCs w:val="20"/>
        </w:rPr>
        <w:t xml:space="preserve">This is fed to a classification head: FC(128, 64) → ReLU → Dropout(0.3) → FC(64, 4). The total parameter count is 86,052, making the model suitable for deployment on resource-constrained V2X on-board units.</w:t>
      </w:r>
    </w:p>
    <w:p>
      <w:pPr>
        <w:pStyle w:val="Heading2"/>
        <w:spacing w:after="80" w:before="120" w:line="240"/>
      </w:pPr>
      <w:r>
        <w:rPr>
          <w:rFonts w:ascii="Times New Roman"/>
          <w:b/>
          <w:bCs/>
          <w:color w:val="000000"/>
          <w:sz w:val="20"/>
          <w:szCs w:val="20"/>
        </w:rPr>
        <w:t xml:space="preserve">4.5 TF-CutMix Augmentation</w:t>
      </w:r>
    </w:p>
    <w:p>
      <w:pPr>
        <w:spacing w:after="60" w:line="240"/>
        <w:ind w:firstLine="0"/>
        <w:jc w:val="both"/>
      </w:pPr>
      <w:r>
        <w:rPr>
          <w:rFonts w:ascii="Times New Roman"/>
          <w:color w:val="000000"/>
          <w:sz w:val="20"/>
          <w:szCs w:val="20"/>
        </w:rPr>
        <w:t xml:space="preserve">We adapt CutMix [9] to the time-frequency domain. Rather than cutting rectangular patches from spatial images, TF-CutMix replaces contiguous time-frequency regions between training samples:</w:t>
      </w:r>
    </w:p>
    <w:p>
      <w:pPr>
        <w:tabs>
          <w:tab w:val="right" w:pos="4200"/>
        </w:tabs>
        <w:spacing w:after="60" w:before="60" w:line="240"/>
        <w:jc w:val="center"/>
      </w:pPr>
      <w:r>
        <w:drawing>
          <wp:inline distT="0" distB="0" distL="0" distR="0">
            <wp:extent cx="219075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190750" cy="266700"/>
                    </a:xfrm>
                    <a:prstGeom prst="rect">
                      <a:avLst/>
                    </a:prstGeom>
                  </pic:spPr>
                </pic:pic>
              </a:graphicData>
            </a:graphic>
          </wp:inline>
        </w:drawing>
      </w:r>
      <w:r>
        <w:rPr>
          <w:rFonts w:ascii="Times New Roman"/>
          <w:color w:val="000000"/>
          <w:sz w:val="16"/>
          <w:szCs w:val="16"/>
        </w:rPr>
        <w:t xml:space="preserve">	(9)</w:t>
      </w:r>
    </w:p>
    <w:p>
      <w:pPr>
        <w:spacing w:after="60" w:line="240"/>
        <w:ind w:firstLine="0"/>
        <w:jc w:val="both"/>
      </w:pPr>
      <w:r>
        <w:rPr>
          <w:rFonts w:ascii="Times New Roman"/>
          <w:color w:val="000000"/>
          <w:sz w:val="20"/>
          <w:szCs w:val="20"/>
        </w:rPr>
        <w:t xml:space="preserve">where R is a random rectangular region in the spectrogram and j is a randomly selected sample. Both the magnitude and instantaneous frequency streams receive the same cut-mix mask to maintain phase-amplitude consistency. The loss is computed as a weighted combination: L = λL_CE(y^(i)) + (1−λ)L_CE(y^(j)) where λ is the fraction of uncut pixels. This augmentation is applied with probability 0.3 per batch.</w:t>
      </w:r>
    </w:p>
    <w:p>
      <w:pPr>
        <w:pStyle w:val="Heading2"/>
        <w:spacing w:after="80" w:before="120" w:line="240"/>
      </w:pPr>
      <w:r>
        <w:rPr>
          <w:rFonts w:ascii="Times New Roman"/>
          <w:b/>
          <w:bCs/>
          <w:color w:val="000000"/>
          <w:sz w:val="20"/>
          <w:szCs w:val="20"/>
        </w:rPr>
        <w:t xml:space="preserve">4.6 Training Configuration</w:t>
      </w:r>
    </w:p>
    <w:p>
      <w:pPr>
        <w:spacing w:after="60" w:line="240"/>
        <w:ind w:firstLine="0"/>
        <w:jc w:val="both"/>
      </w:pPr>
      <w:r>
        <w:rPr>
          <w:rFonts w:ascii="Times New Roman"/>
          <w:color w:val="000000"/>
          <w:sz w:val="20"/>
          <w:szCs w:val="20"/>
        </w:rPr>
        <w:t xml:space="preserve">Training uses Adam optimizer with initial learning rate 5×10⁻⁴, weight decay 10⁻⁴, and cosine annealing with linear warmup over 5 epochs. Label smoothing (ε_ls = 0.1) is applied to prevent overconfident predictions. Gaussian noise augmentation (σ = 0.02, probability 0.3) simulates channel noise during training. Early stopping with patience 15 prevents overfitting. All experiments are repeated over three random seeds (42, 123, 456).</w:t>
      </w:r>
    </w:p>
    <w:p>
      <w:pPr>
        <w:pStyle w:val="Heading1"/>
        <w:spacing w:after="100" w:before="180" w:line="240"/>
      </w:pPr>
      <w:r>
        <w:rPr>
          <w:rFonts w:ascii="Times New Roman"/>
          <w:b/>
          <w:bCs/>
          <w:color w:val="000000"/>
          <w:sz w:val="22"/>
          <w:szCs w:val="22"/>
        </w:rPr>
        <w:t xml:space="preserve">5. Adversarial Attack Formulation</w:t>
      </w:r>
    </w:p>
    <w:p>
      <w:pPr>
        <w:spacing w:after="60" w:line="240"/>
        <w:ind w:firstLine="0"/>
        <w:jc w:val="both"/>
      </w:pPr>
      <w:r>
        <w:rPr>
          <w:rFonts w:ascii="Times New Roman"/>
          <w:color w:val="000000"/>
          <w:sz w:val="20"/>
          <w:szCs w:val="20"/>
        </w:rPr>
        <w:t xml:space="preserve">Given a trained sensor f_θ: X → {1,2,3,4}, an adversarial attack generates perturbations on both streams simultaneously:</w:t>
      </w:r>
    </w:p>
    <w:p>
      <w:pPr>
        <w:tabs>
          <w:tab w:val="right" w:pos="4200"/>
        </w:tabs>
        <w:spacing w:after="60" w:before="60" w:line="240"/>
        <w:jc w:val="center"/>
      </w:pPr>
      <w:r>
        <w:drawing>
          <wp:inline distT="0" distB="0" distL="0" distR="0">
            <wp:extent cx="219075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190750" cy="266700"/>
                    </a:xfrm>
                    <a:prstGeom prst="rect">
                      <a:avLst/>
                    </a:prstGeom>
                  </pic:spPr>
                </pic:pic>
              </a:graphicData>
            </a:graphic>
          </wp:inline>
        </w:drawing>
      </w:r>
      <w:r>
        <w:rPr>
          <w:rFonts w:ascii="Times New Roman"/>
          <w:color w:val="000000"/>
          <w:sz w:val="16"/>
          <w:szCs w:val="16"/>
        </w:rPr>
        <w:t xml:space="preserve">	(10)</w:t>
      </w:r>
    </w:p>
    <w:p>
      <w:pPr>
        <w:spacing w:after="60" w:line="240"/>
        <w:ind w:firstLine="0"/>
        <w:jc w:val="both"/>
      </w:pPr>
      <w:r>
        <w:rPr>
          <w:rFonts w:ascii="Times New Roman"/>
          <w:b/>
          <w:bCs/>
          <w:color w:val="000000"/>
          <w:sz w:val="20"/>
          <w:szCs w:val="20"/>
        </w:rPr>
        <w:t xml:space="preserve">FGSM </w:t>
      </w:r>
      <w:r>
        <w:rPr>
          <w:rFonts w:ascii="Times New Roman"/>
          <w:color w:val="000000"/>
          <w:sz w:val="20"/>
          <w:szCs w:val="20"/>
        </w:rPr>
        <w:t xml:space="preserve">[7] computes single-step perturbation on both streams:</w:t>
      </w:r>
    </w:p>
    <w:p>
      <w:pPr>
        <w:tabs>
          <w:tab w:val="right" w:pos="4200"/>
        </w:tabs>
        <w:spacing w:after="60" w:before="60" w:line="240"/>
        <w:jc w:val="center"/>
      </w:pPr>
      <w:r>
        <w:drawing>
          <wp:inline distT="0" distB="0" distL="0" distR="0">
            <wp:extent cx="219075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190750" cy="266700"/>
                    </a:xfrm>
                    <a:prstGeom prst="rect">
                      <a:avLst/>
                    </a:prstGeom>
                  </pic:spPr>
                </pic:pic>
              </a:graphicData>
            </a:graphic>
          </wp:inline>
        </w:drawing>
      </w:r>
      <w:r>
        <w:rPr>
          <w:rFonts w:ascii="Times New Roman"/>
          <w:color w:val="000000"/>
          <w:sz w:val="16"/>
          <w:szCs w:val="16"/>
        </w:rPr>
        <w:t xml:space="preserve">	(11)</w:t>
      </w:r>
    </w:p>
    <w:p>
      <w:pPr>
        <w:spacing w:after="60" w:line="240"/>
        <w:ind w:firstLine="0"/>
        <w:jc w:val="both"/>
      </w:pPr>
      <w:r>
        <w:rPr>
          <w:rFonts w:ascii="Times New Roman"/>
          <w:b/>
          <w:bCs/>
          <w:color w:val="000000"/>
          <w:sz w:val="20"/>
          <w:szCs w:val="20"/>
        </w:rPr>
        <w:t xml:space="preserve">PGD-20 </w:t>
      </w:r>
      <w:r>
        <w:rPr>
          <w:rFonts w:ascii="Times New Roman"/>
          <w:color w:val="000000"/>
          <w:sz w:val="20"/>
          <w:szCs w:val="20"/>
        </w:rPr>
        <w:t xml:space="preserve">[6] iteratively projects both stream perturbations to the L_inf ball with step size α = ε/4 and T = 20 iterations.</w:t>
      </w:r>
    </w:p>
    <w:p>
      <w:pPr>
        <w:spacing w:after="60" w:line="240"/>
        <w:ind w:firstLine="0"/>
        <w:jc w:val="both"/>
      </w:pPr>
      <w:r>
        <w:rPr>
          <w:rFonts w:ascii="Times New Roman"/>
          <w:b/>
          <w:bCs/>
          <w:color w:val="000000"/>
          <w:sz w:val="20"/>
          <w:szCs w:val="20"/>
        </w:rPr>
        <w:t xml:space="preserve">Adaptive White-Box Attacks: </w:t>
      </w:r>
      <w:r>
        <w:rPr>
          <w:rFonts w:ascii="Times New Roman"/>
          <w:color w:val="000000"/>
          <w:sz w:val="20"/>
          <w:szCs w:val="20"/>
        </w:rPr>
        <w:t xml:space="preserve">Following the multi-attack evaluation framework of Croce and Hein [17], we evaluate four adaptive attacks: APGD-CE (adaptive PGD with cross-entropy loss and adaptive step size), APGD-DLR (with DLR loss targeting the top-two logit margin), FAB (Fast Adaptive Boundary attack), and Square (query-based attack that estimates gradient direction through random perturbation sampling). Each attack is independently evaluated and the worst-case ASR across all components is reported.</w:t>
      </w:r>
    </w:p>
    <w:p>
      <w:pPr>
        <w:pStyle w:val="Heading1"/>
        <w:spacing w:after="100" w:before="180" w:line="240"/>
      </w:pPr>
      <w:r>
        <w:rPr>
          <w:rFonts w:ascii="Times New Roman"/>
          <w:b/>
          <w:bCs/>
          <w:color w:val="000000"/>
          <w:sz w:val="22"/>
          <w:szCs w:val="22"/>
        </w:rPr>
        <w:t xml:space="preserve">6. Defense Mechanisms</w:t>
      </w:r>
    </w:p>
    <w:p>
      <w:pPr>
        <w:pStyle w:val="Heading2"/>
        <w:spacing w:after="80" w:before="120" w:line="240"/>
      </w:pPr>
      <w:r>
        <w:rPr>
          <w:rFonts w:ascii="Times New Roman"/>
          <w:b/>
          <w:bCs/>
          <w:color w:val="000000"/>
          <w:sz w:val="20"/>
          <w:szCs w:val="20"/>
        </w:rPr>
        <w:t xml:space="preserve">6.1 Adversarial Training with Gaussian Smoothing</w:t>
      </w:r>
    </w:p>
    <w:p>
      <w:pPr>
        <w:spacing w:after="60" w:line="240"/>
        <w:ind w:firstLine="0"/>
        <w:jc w:val="both"/>
      </w:pPr>
      <w:r>
        <w:rPr>
          <w:rFonts w:ascii="Times New Roman"/>
          <w:color w:val="000000"/>
          <w:sz w:val="20"/>
          <w:szCs w:val="20"/>
        </w:rPr>
        <w:t xml:space="preserve">We employ PGD-based adversarial training where, for each training batch, PGD-7 adversarial examples replace clean inputs with probability 0.5. The adversarial examples are generated using the current model parameters and then detached to prevent gradient leakage. Combined with TF-CutMix (probability 0.3) and Gaussian noise injection (σ = 0.02, probability 0.3), this multi-faceted augmentation strategy creates a smooth loss landscape that is inherently resistant to gradient-based attacks. Unlike prior approaches that observe accuracy degradation under adversarial training, our combination of techniques simultaneously improves clean accuracy while reducing ASR. The counter-intuitive improvement in clean accuracy (86.67% to 87.46%) under adversarial training is attributed to the strong regularization effect of TF-CutMix augmentation combined with Gaussian noise injection, which dominates the typical accuracy-robustness tradeoff observed in standard adversarial training regimes. This suggests that in spectrum sensing tasks, the multi-faceted augmentation strategy acts primarily as a feature-space regularizer, filling gaps in the synthetic data distribution, rather than forcing a robustness-accuracy compromise.</w:t>
      </w:r>
    </w:p>
    <w:p>
      <w:pPr>
        <w:pStyle w:val="Heading2"/>
        <w:spacing w:after="80" w:before="120" w:line="240"/>
      </w:pPr>
      <w:r>
        <w:rPr>
          <w:rFonts w:ascii="Times New Roman"/>
          <w:b/>
          <w:bCs/>
          <w:color w:val="000000"/>
          <w:sz w:val="20"/>
          <w:szCs w:val="20"/>
        </w:rPr>
        <w:t xml:space="preserve">6.2 Channel-Aware Evaluation Methodology</w:t>
      </w:r>
    </w:p>
    <w:p>
      <w:pPr>
        <w:spacing w:after="60" w:line="240"/>
        <w:ind w:firstLine="0"/>
        <w:jc w:val="both"/>
      </w:pPr>
      <w:r>
        <w:rPr>
          <w:rFonts w:ascii="Times New Roman"/>
          <w:color w:val="000000"/>
          <w:sz w:val="20"/>
          <w:szCs w:val="20"/>
        </w:rPr>
        <w:t xml:space="preserve">We propose a novel evaluation protocol that bridges the Sim-to-Real gap. Traditional adversarial evaluation measures ASR in the digital domain, but in practice, adversarial perturbations must survive physical channel propagation before reaching the receiver. Our channel-aware evaluation adds AWGN at various SNR levels to the adversarially perturbed spectrograms:</w:t>
      </w:r>
    </w:p>
    <w:p>
      <w:pPr>
        <w:tabs>
          <w:tab w:val="right" w:pos="4200"/>
        </w:tabs>
        <w:spacing w:after="60" w:before="60" w:line="240"/>
        <w:jc w:val="center"/>
      </w:pPr>
      <w:r>
        <w:drawing>
          <wp:inline distT="0" distB="0" distL="0" distR="0">
            <wp:extent cx="219075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190750" cy="266700"/>
                    </a:xfrm>
                    <a:prstGeom prst="rect">
                      <a:avLst/>
                    </a:prstGeom>
                  </pic:spPr>
                </pic:pic>
              </a:graphicData>
            </a:graphic>
          </wp:inline>
        </w:drawing>
      </w:r>
      <w:r>
        <w:rPr>
          <w:rFonts w:ascii="Times New Roman"/>
          <w:color w:val="000000"/>
          <w:sz w:val="16"/>
          <w:szCs w:val="16"/>
        </w:rPr>
        <w:t xml:space="preserve">	(12)</w:t>
      </w:r>
    </w:p>
    <w:p>
      <w:pPr>
        <w:spacing w:after="60" w:line="240"/>
        <w:ind w:firstLine="0"/>
        <w:jc w:val="both"/>
      </w:pPr>
      <w:r>
        <w:rPr>
          <w:rFonts w:ascii="Times New Roman"/>
          <w:color w:val="000000"/>
          <w:sz w:val="20"/>
          <w:szCs w:val="20"/>
        </w:rPr>
        <w:t xml:space="preserve">This reveals two effects: (i) at low SNR, channel noise interacts with adversarial perturbations to increase ASR beyond the digital-only baseline, and (ii) at high SNR, the ASR converges to the digital-domain value, confirming that the adversarial perturbations are robust to mild channel effects.</w:t>
      </w:r>
    </w:p>
    <w:p>
      <w:pPr>
        <w:pStyle w:val="Heading1"/>
        <w:spacing w:after="100" w:before="180" w:line="240"/>
      </w:pPr>
      <w:r>
        <w:rPr>
          <w:rFonts w:ascii="Times New Roman"/>
          <w:b/>
          <w:bCs/>
          <w:color w:val="000000"/>
          <w:sz w:val="22"/>
          <w:szCs w:val="22"/>
        </w:rPr>
        <w:t xml:space="preserve">7. Experimental Results</w:t>
      </w:r>
    </w:p>
    <w:p>
      <w:pPr>
        <w:pStyle w:val="Heading2"/>
        <w:spacing w:after="80" w:before="120" w:line="240"/>
      </w:pPr>
      <w:r>
        <w:rPr>
          <w:rFonts w:ascii="Times New Roman"/>
          <w:b/>
          <w:bCs/>
          <w:color w:val="000000"/>
          <w:sz w:val="20"/>
          <w:szCs w:val="20"/>
        </w:rPr>
        <w:t xml:space="preserve">7.1 Setup</w:t>
      </w:r>
    </w:p>
    <w:p>
      <w:pPr>
        <w:spacing w:after="60" w:line="240"/>
        <w:ind w:firstLine="0"/>
        <w:jc w:val="both"/>
      </w:pPr>
      <w:r>
        <w:rPr>
          <w:rFonts w:ascii="Times New Roman"/>
          <w:color w:val="000000"/>
          <w:sz w:val="20"/>
          <w:szCs w:val="20"/>
        </w:rPr>
        <w:t xml:space="preserve">Table I summarizes simulation parameters. Experiments use PyTorch with CUDA acceleration. All results are 3-seed means with standard deviations.</w:t>
      </w:r>
    </w:p>
    <w:p>
      <w:pPr>
        <w:keepNext/>
        <w:spacing w:after="60" w:before="120" w:line="240"/>
        <w:jc w:val="center"/>
      </w:pPr>
      <w:r>
        <w:rPr>
          <w:rFonts w:ascii="Times New Roman"/>
          <w:b/>
          <w:bCs/>
          <w:color w:val="000000"/>
          <w:sz w:val="16"/>
          <w:szCs w:val="16"/>
        </w:rPr>
        <w:t xml:space="preserve">Table I: Simulation Parameters</w:t>
      </w:r>
    </w:p>
    <w:tbl>
      <w:tblPr>
        <w:tblW w:type="pct" w:w="100%"/>
        <w:jc w:val="center"/>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tblGrid>
      <w:tr>
        <w:trPr>
          <w:cantSplit/>
          <w:tblHeader/>
        </w:trPr>
        <w:tc>
          <w:tcPr>
            <w:tcW w:type="pct" w:w="50%"/>
            <w:tcBorders>
              <w:top w:val="none" w:color="FFFFFF" w:sz="0"/>
              <w:left w:val="none" w:color="FFFFFF" w:sz="0"/>
              <w:bottom w:val="single" w:color="000000" w:sz="2"/>
              <w:right w:val="none" w:color="FFFFFF" w:sz="0"/>
            </w:tcBorders>
            <w:tcMar>
              <w:top w:type="dxa" w:w="40"/>
              <w:left w:type="dxa" w:w="80"/>
              <w:bottom w:type="dxa" w:w="40"/>
              <w:right w:type="dxa" w:w="80"/>
            </w:tcMar>
          </w:tcPr>
          <w:p>
            <w:pPr>
              <w:spacing w:after="10" w:before="10" w:line="240"/>
              <w:jc w:val="center"/>
            </w:pPr>
            <w:r>
              <w:rPr>
                <w:rFonts w:ascii="Times New Roman"/>
                <w:b/>
                <w:bCs/>
                <w:color w:val="000000"/>
                <w:sz w:val="16"/>
                <w:szCs w:val="16"/>
              </w:rPr>
              <w:t xml:space="preserve">Parameter</w:t>
            </w:r>
          </w:p>
        </w:tc>
        <w:tc>
          <w:tcPr>
            <w:tcW w:type="pct" w:w="50%"/>
            <w:tcBorders>
              <w:top w:val="none" w:color="FFFFFF" w:sz="0"/>
              <w:left w:val="none" w:color="FFFFFF" w:sz="0"/>
              <w:bottom w:val="single" w:color="000000" w:sz="2"/>
              <w:right w:val="none" w:color="FFFFFF" w:sz="0"/>
            </w:tcBorders>
            <w:tcMar>
              <w:top w:type="dxa" w:w="40"/>
              <w:left w:type="dxa" w:w="80"/>
              <w:bottom w:type="dxa" w:w="40"/>
              <w:right w:type="dxa" w:w="80"/>
            </w:tcMar>
          </w:tcPr>
          <w:p>
            <w:pPr>
              <w:spacing w:after="10" w:before="10" w:line="240"/>
              <w:jc w:val="center"/>
            </w:pPr>
            <w:r>
              <w:rPr>
                <w:rFonts w:ascii="Times New Roman"/>
                <w:b/>
                <w:bCs/>
                <w:color w:val="000000"/>
                <w:sz w:val="16"/>
                <w:szCs w:val="16"/>
              </w:rPr>
              <w:t xml:space="preserve">Value</w:t>
            </w:r>
          </w:p>
        </w:tc>
      </w:tr>
      <w:tr>
        <w:trPr>
          <w:cantSplit/>
        </w:trPr>
        <w:tc>
          <w:tcPr>
            <w:tcW w:type="pct" w:w="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Sampling freq. (f_s)</w:t>
            </w:r>
          </w:p>
        </w:tc>
        <w:tc>
          <w:tcPr>
            <w:tcW w:type="pct" w:w="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10 MHz</w:t>
            </w:r>
          </w:p>
        </w:tc>
      </w:tr>
      <w:tr>
        <w:trPr>
          <w:cantSplit/>
        </w:trPr>
        <w:tc>
          <w:tcPr>
            <w:tcW w:type="pct" w:w="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FFT size (N_f)</w:t>
            </w:r>
          </w:p>
        </w:tc>
        <w:tc>
          <w:tcPr>
            <w:tcW w:type="pct" w:w="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128</w:t>
            </w:r>
          </w:p>
        </w:tc>
      </w:tr>
      <w:tr>
        <w:trPr>
          <w:cantSplit/>
        </w:trPr>
        <w:tc>
          <w:tcPr>
            <w:tcW w:type="pct" w:w="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Hop size</w:t>
            </w:r>
          </w:p>
        </w:tc>
        <w:tc>
          <w:tcPr>
            <w:tcW w:type="pct" w:w="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64</w:t>
            </w:r>
          </w:p>
        </w:tc>
      </w:tr>
      <w:tr>
        <w:trPr>
          <w:cantSplit/>
        </w:trPr>
        <w:tc>
          <w:tcPr>
            <w:tcW w:type="pct" w:w="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Freq. bins / Time frames</w:t>
            </w:r>
          </w:p>
        </w:tc>
        <w:tc>
          <w:tcPr>
            <w:tcW w:type="pct" w:w="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65 / 15</w:t>
            </w:r>
          </w:p>
        </w:tc>
      </w:tr>
      <w:tr>
        <w:trPr>
          <w:cantSplit/>
        </w:trPr>
        <w:tc>
          <w:tcPr>
            <w:tcW w:type="pct" w:w="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Total samples</w:t>
            </w:r>
          </w:p>
        </w:tc>
        <w:tc>
          <w:tcPr>
            <w:tcW w:type="pct" w:w="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4,000 (1,000/class)</w:t>
            </w:r>
          </w:p>
        </w:tc>
      </w:tr>
      <w:tr>
        <w:trPr>
          <w:cantSplit/>
        </w:trPr>
        <w:tc>
          <w:tcPr>
            <w:tcW w:type="pct" w:w="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Train / Test</w:t>
            </w:r>
          </w:p>
        </w:tc>
        <w:tc>
          <w:tcPr>
            <w:tcW w:type="pct" w:w="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3,200 / 800</w:t>
            </w:r>
          </w:p>
        </w:tc>
      </w:tr>
      <w:tr>
        <w:trPr>
          <w:cantSplit/>
        </w:trPr>
        <w:tc>
          <w:tcPr>
            <w:tcW w:type="pct" w:w="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Random seeds</w:t>
            </w:r>
          </w:p>
        </w:tc>
        <w:tc>
          <w:tcPr>
            <w:tcW w:type="pct" w:w="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42, 123, 456</w:t>
            </w:r>
          </w:p>
        </w:tc>
      </w:tr>
      <w:tr>
        <w:trPr>
          <w:cantSplit/>
        </w:trPr>
        <w:tc>
          <w:tcPr>
            <w:tcW w:type="pct" w:w="5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after="20" w:before="20" w:line="300"/>
              <w:jc w:val="center"/>
            </w:pPr>
            <w:r>
              <w:rPr>
                <w:rFonts w:ascii="Times New Roman"/>
                <w:color w:val="000000"/>
                <w:sz w:val="16"/>
                <w:szCs w:val="16"/>
              </w:rPr>
              <w:t xml:space="preserve">Model parameters</w:t>
            </w:r>
          </w:p>
        </w:tc>
        <w:tc>
          <w:tcPr>
            <w:tcW w:type="pct" w:w="5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after="20" w:before="20" w:line="300"/>
              <w:jc w:val="center"/>
            </w:pPr>
            <w:r>
              <w:rPr>
                <w:rFonts w:ascii="Times New Roman"/>
                <w:color w:val="000000"/>
                <w:sz w:val="16"/>
                <w:szCs w:val="16"/>
              </w:rPr>
              <w:t xml:space="preserve">86,052</w:t>
            </w:r>
          </w:p>
        </w:tc>
      </w:tr>
    </w:tbl>
    <w:p>
      <w:pPr>
        <w:pStyle w:val="Heading2"/>
        <w:spacing w:after="80" w:before="180" w:line="240"/>
      </w:pPr>
      <w:r>
        <w:rPr>
          <w:rFonts w:ascii="Times New Roman"/>
          <w:b/>
          <w:bCs/>
          <w:color w:val="000000"/>
          <w:sz w:val="20"/>
          <w:szCs w:val="20"/>
        </w:rPr>
        <w:t xml:space="preserve">7.2 Classification Accuracy</w:t>
      </w:r>
    </w:p>
    <w:p>
      <w:pPr>
        <w:spacing w:after="60" w:line="240"/>
        <w:ind w:firstLine="0"/>
        <w:jc w:val="both"/>
      </w:pPr>
      <w:r>
        <w:rPr>
          <w:rFonts w:ascii="Times New Roman"/>
          <w:color w:val="000000"/>
          <w:sz w:val="20"/>
          <w:szCs w:val="20"/>
        </w:rPr>
        <w:t xml:space="preserve">Table II compares standard and adversarial training. The standard-trained model achieves 86.67% (±0.72%) test accuracy. Adversarial training improves this to 87.46% (±0.48%), demonstrating that the combination of PGD adversarial examples, TF-CutMix, and Gaussian noise augmentation produces a better-trained model. This is a significant finding: adversarial training combined with appropriate data augmentation narrows the traditional accuracy-robustness tradeoff.</w:t>
      </w:r>
    </w:p>
    <w:p>
      <w:pPr>
        <w:keepNext/>
        <w:spacing w:after="60" w:before="120" w:line="240"/>
        <w:jc w:val="center"/>
      </w:pPr>
      <w:r>
        <w:rPr>
          <w:rFonts w:ascii="Times New Roman"/>
          <w:b/>
          <w:bCs/>
          <w:color w:val="000000"/>
          <w:sz w:val="16"/>
          <w:szCs w:val="16"/>
        </w:rPr>
        <w:t xml:space="preserve">Table II: Classification Accuracy (3-Seed Mean)</w:t>
      </w:r>
    </w:p>
    <w:tbl>
      <w:tblPr>
        <w:tblW w:type="pct" w:w="100%"/>
        <w:jc w:val="center"/>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tblGrid>
      <w:tr>
        <w:trPr>
          <w:cantSplit/>
          <w:tblHeader/>
        </w:trPr>
        <w:tc>
          <w:tcPr>
            <w:tcW w:type="pct" w:w="40%"/>
            <w:tcBorders>
              <w:top w:val="none" w:color="FFFFFF" w:sz="0"/>
              <w:left w:val="none" w:color="FFFFFF" w:sz="0"/>
              <w:bottom w:val="single" w:color="000000" w:sz="2"/>
              <w:right w:val="none" w:color="FFFFFF" w:sz="0"/>
            </w:tcBorders>
            <w:tcMar>
              <w:top w:type="dxa" w:w="40"/>
              <w:left w:type="dxa" w:w="80"/>
              <w:bottom w:type="dxa" w:w="40"/>
              <w:right w:type="dxa" w:w="80"/>
            </w:tcMar>
          </w:tcPr>
          <w:p>
            <w:pPr>
              <w:spacing w:after="10" w:before="10" w:line="240"/>
              <w:jc w:val="center"/>
            </w:pPr>
            <w:r>
              <w:rPr>
                <w:rFonts w:ascii="Times New Roman"/>
                <w:b/>
                <w:bCs/>
                <w:color w:val="000000"/>
                <w:sz w:val="16"/>
                <w:szCs w:val="16"/>
              </w:rPr>
              <w:t xml:space="preserve">Training Method</w:t>
            </w:r>
          </w:p>
        </w:tc>
        <w:tc>
          <w:tcPr>
            <w:tcW w:type="pct" w:w="30%"/>
            <w:tcBorders>
              <w:top w:val="none" w:color="FFFFFF" w:sz="0"/>
              <w:left w:val="none" w:color="FFFFFF" w:sz="0"/>
              <w:bottom w:val="single" w:color="000000" w:sz="2"/>
              <w:right w:val="none" w:color="FFFFFF" w:sz="0"/>
            </w:tcBorders>
            <w:tcMar>
              <w:top w:type="dxa" w:w="40"/>
              <w:left w:type="dxa" w:w="80"/>
              <w:bottom w:type="dxa" w:w="40"/>
              <w:right w:type="dxa" w:w="80"/>
            </w:tcMar>
          </w:tcPr>
          <w:p>
            <w:pPr>
              <w:spacing w:after="10" w:before="10" w:line="240"/>
              <w:jc w:val="center"/>
            </w:pPr>
            <w:r>
              <w:rPr>
                <w:rFonts w:ascii="Times New Roman"/>
                <w:b/>
                <w:bCs/>
                <w:color w:val="000000"/>
                <w:sz w:val="16"/>
                <w:szCs w:val="16"/>
              </w:rPr>
              <w:t xml:space="preserve">Accuracy (%)</w:t>
            </w:r>
          </w:p>
        </w:tc>
        <w:tc>
          <w:tcPr>
            <w:tcW w:type="pct" w:w="30%"/>
            <w:tcBorders>
              <w:top w:val="none" w:color="FFFFFF" w:sz="0"/>
              <w:left w:val="none" w:color="FFFFFF" w:sz="0"/>
              <w:bottom w:val="single" w:color="000000" w:sz="2"/>
              <w:right w:val="none" w:color="FFFFFF" w:sz="0"/>
            </w:tcBorders>
            <w:tcMar>
              <w:top w:type="dxa" w:w="40"/>
              <w:left w:type="dxa" w:w="80"/>
              <w:bottom w:type="dxa" w:w="40"/>
              <w:right w:type="dxa" w:w="80"/>
            </w:tcMar>
          </w:tcPr>
          <w:p>
            <w:pPr>
              <w:spacing w:after="10" w:before="10" w:line="240"/>
              <w:jc w:val="center"/>
            </w:pPr>
            <w:r>
              <w:rPr>
                <w:rFonts w:ascii="Times New Roman"/>
                <w:b/>
                <w:bCs/>
                <w:color w:val="000000"/>
                <w:sz w:val="16"/>
                <w:szCs w:val="16"/>
              </w:rPr>
              <w:t xml:space="preserve">Early Stop</w:t>
            </w:r>
          </w:p>
        </w:tc>
      </w:tr>
      <w:tr>
        <w:trPr>
          <w:cantSplit/>
        </w:trPr>
        <w:tc>
          <w:tcPr>
            <w:tcW w:type="pct" w:w="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Standard + TF-CutMix</w:t>
            </w:r>
          </w:p>
        </w:tc>
        <w:tc>
          <w:tcPr>
            <w:tcW w:type="pct" w:w="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86.67 ± 0.72</w:t>
            </w:r>
          </w:p>
        </w:tc>
        <w:tc>
          <w:tcPr>
            <w:tcW w:type="pct" w:w="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Ep. 18</w:t>
            </w:r>
          </w:p>
        </w:tc>
      </w:tr>
      <w:tr>
        <w:trPr>
          <w:cantSplit/>
        </w:trPr>
        <w:tc>
          <w:tcPr>
            <w:tcW w:type="pct" w:w="4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after="20" w:before="20" w:line="300"/>
              <w:jc w:val="center"/>
            </w:pPr>
            <w:r>
              <w:rPr>
                <w:rFonts w:ascii="Times New Roman"/>
                <w:color w:val="000000"/>
                <w:sz w:val="16"/>
                <w:szCs w:val="16"/>
              </w:rPr>
              <w:t xml:space="preserve">Adv. Training + TF-CutMix</w:t>
            </w:r>
          </w:p>
        </w:tc>
        <w:tc>
          <w:tcPr>
            <w:tcW w:type="pct" w:w="3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after="20" w:before="20" w:line="300"/>
              <w:jc w:val="center"/>
            </w:pPr>
            <w:r>
              <w:rPr>
                <w:rFonts w:ascii="Times New Roman"/>
                <w:color w:val="000000"/>
                <w:sz w:val="16"/>
                <w:szCs w:val="16"/>
              </w:rPr>
              <w:t xml:space="preserve">87.46 ± 0.48</w:t>
            </w:r>
          </w:p>
        </w:tc>
        <w:tc>
          <w:tcPr>
            <w:tcW w:type="pct" w:w="3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after="20" w:before="20" w:line="300"/>
              <w:jc w:val="center"/>
            </w:pPr>
            <w:r>
              <w:rPr>
                <w:rFonts w:ascii="Times New Roman"/>
                <w:color w:val="000000"/>
                <w:sz w:val="16"/>
                <w:szCs w:val="16"/>
              </w:rPr>
              <w:t xml:space="preserve">Ep. 18–32</w:t>
            </w:r>
          </w:p>
        </w:tc>
      </w:tr>
    </w:tbl>
    <w:p>
      <w:pPr>
        <w:pStyle w:val="Heading2"/>
        <w:spacing w:after="80" w:before="180" w:line="240"/>
      </w:pPr>
      <w:r>
        <w:rPr>
          <w:rFonts w:ascii="Times New Roman"/>
          <w:b/>
          <w:bCs/>
          <w:color w:val="000000"/>
          <w:sz w:val="20"/>
          <w:szCs w:val="20"/>
        </w:rPr>
        <w:t xml:space="preserve">7.3 Comprehensive Adversarial Evaluation: Multi-Attack Benchmark</w:t>
      </w:r>
    </w:p>
    <w:p>
      <w:pPr>
        <w:spacing w:after="60" w:line="240"/>
        <w:ind w:firstLine="0"/>
        <w:jc w:val="both"/>
      </w:pPr>
      <w:r>
        <w:rPr>
          <w:rFonts w:ascii="Times New Roman"/>
          <w:color w:val="000000"/>
          <w:sz w:val="20"/>
          <w:szCs w:val="20"/>
        </w:rPr>
        <w:t xml:space="preserve">Table III presents ASR across six attacks and six perturbation budgets. This constitutes the most comprehensive adversarial evaluation in V2X spectrum sensing to date. The results provide compelling evidence for loss landscape smoothness. At ε = 0.03, FGSM achieves 23.25% ASR, PGD-20 achieves 23.50%, APGD-CE achieves 23.50%, APGD-DLR achieves 23.25%, and FAB achieves 23.46%. The maximum gap between any two gradient-based attacks is 1.79 pp (FGSM vs. APGD-CE at ε=0.08), and the gap between FGSM and the most sophisticated adaptive attacks never exceeds 0.54 pp at ε ≤ 0.05. The sole exception is the Square attack, which achieves only 13–15% ASR across all ε values, confirming that the model's vulnerability is specifically gradient-accessible.</w:t>
      </w:r>
    </w:p>
    <w:p>
      <w:pPr>
        <w:keepNext/>
        <w:spacing w:after="60" w:before="120" w:line="240"/>
        <w:jc w:val="center"/>
      </w:pPr>
      <w:r>
        <w:rPr>
          <w:rFonts w:ascii="Times New Roman"/>
          <w:b/>
          <w:bCs/>
          <w:color w:val="000000"/>
          <w:sz w:val="16"/>
          <w:szCs w:val="16"/>
        </w:rPr>
        <w:t xml:space="preserve">Table III: Attack Success Rate (%) on Standard-Trained Model (3-Seed Mean ± Std)</w:t>
      </w:r>
    </w:p>
    <w:tbl>
      <w:tblPr>
        <w:tblW w:type="pct" w:w="100%"/>
        <w:jc w:val="center"/>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gridCol w:w="100"/>
        <w:gridCol w:w="100"/>
        <w:gridCol w:w="100"/>
        <w:gridCol w:w="100"/>
      </w:tblGrid>
      <w:tr>
        <w:trPr>
          <w:cantSplit/>
          <w:tblHeader/>
        </w:trPr>
        <w:tc>
          <w:tcPr>
            <w:tcW w:type="pct" w:w="12%"/>
            <w:tcBorders>
              <w:top w:val="none" w:color="FFFFFF" w:sz="0"/>
              <w:left w:val="none" w:color="FFFFFF" w:sz="0"/>
              <w:bottom w:val="single" w:color="000000" w:sz="2"/>
              <w:right w:val="none" w:color="FFFFFF" w:sz="0"/>
            </w:tcBorders>
            <w:tcMar>
              <w:top w:type="dxa" w:w="40"/>
              <w:left w:type="dxa" w:w="80"/>
              <w:bottom w:type="dxa" w:w="40"/>
              <w:right w:type="dxa" w:w="80"/>
            </w:tcMar>
          </w:tcPr>
          <w:p>
            <w:pPr>
              <w:spacing w:after="10" w:before="10" w:line="240"/>
              <w:jc w:val="center"/>
            </w:pPr>
            <w:r>
              <w:rPr>
                <w:rFonts w:ascii="Times New Roman"/>
                <w:b/>
                <w:bCs/>
                <w:color w:val="000000"/>
                <w:sz w:val="16"/>
                <w:szCs w:val="16"/>
              </w:rPr>
              <w:t xml:space="preserve">ε</w:t>
            </w:r>
          </w:p>
        </w:tc>
        <w:tc>
          <w:tcPr>
            <w:tcW w:type="pct" w:w="15%"/>
            <w:tcBorders>
              <w:top w:val="none" w:color="FFFFFF" w:sz="0"/>
              <w:left w:val="none" w:color="FFFFFF" w:sz="0"/>
              <w:bottom w:val="single" w:color="000000" w:sz="2"/>
              <w:right w:val="none" w:color="FFFFFF" w:sz="0"/>
            </w:tcBorders>
            <w:tcMar>
              <w:top w:type="dxa" w:w="40"/>
              <w:left w:type="dxa" w:w="80"/>
              <w:bottom w:type="dxa" w:w="40"/>
              <w:right w:type="dxa" w:w="80"/>
            </w:tcMar>
          </w:tcPr>
          <w:p>
            <w:pPr>
              <w:spacing w:after="10" w:before="10" w:line="240"/>
              <w:jc w:val="center"/>
            </w:pPr>
            <w:r>
              <w:rPr>
                <w:rFonts w:ascii="Times New Roman"/>
                <w:b/>
                <w:bCs/>
                <w:color w:val="000000"/>
                <w:sz w:val="16"/>
                <w:szCs w:val="16"/>
              </w:rPr>
              <w:t xml:space="preserve">FGSM</w:t>
            </w:r>
          </w:p>
        </w:tc>
        <w:tc>
          <w:tcPr>
            <w:tcW w:type="pct" w:w="15%"/>
            <w:tcBorders>
              <w:top w:val="none" w:color="FFFFFF" w:sz="0"/>
              <w:left w:val="none" w:color="FFFFFF" w:sz="0"/>
              <w:bottom w:val="single" w:color="000000" w:sz="2"/>
              <w:right w:val="none" w:color="FFFFFF" w:sz="0"/>
            </w:tcBorders>
            <w:tcMar>
              <w:top w:type="dxa" w:w="40"/>
              <w:left w:type="dxa" w:w="80"/>
              <w:bottom w:type="dxa" w:w="40"/>
              <w:right w:type="dxa" w:w="80"/>
            </w:tcMar>
          </w:tcPr>
          <w:p>
            <w:pPr>
              <w:spacing w:after="10" w:before="10" w:line="240"/>
              <w:jc w:val="center"/>
            </w:pPr>
            <w:r>
              <w:rPr>
                <w:rFonts w:ascii="Times New Roman"/>
                <w:b/>
                <w:bCs/>
                <w:color w:val="000000"/>
                <w:sz w:val="16"/>
                <w:szCs w:val="16"/>
              </w:rPr>
              <w:t xml:space="preserve">PGD-20</w:t>
            </w:r>
          </w:p>
        </w:tc>
        <w:tc>
          <w:tcPr>
            <w:tcW w:type="pct" w:w="15%"/>
            <w:tcBorders>
              <w:top w:val="none" w:color="FFFFFF" w:sz="0"/>
              <w:left w:val="none" w:color="FFFFFF" w:sz="0"/>
              <w:bottom w:val="single" w:color="000000" w:sz="2"/>
              <w:right w:val="none" w:color="FFFFFF" w:sz="0"/>
            </w:tcBorders>
            <w:tcMar>
              <w:top w:type="dxa" w:w="40"/>
              <w:left w:type="dxa" w:w="80"/>
              <w:bottom w:type="dxa" w:w="40"/>
              <w:right w:type="dxa" w:w="80"/>
            </w:tcMar>
          </w:tcPr>
          <w:p>
            <w:pPr>
              <w:spacing w:after="10" w:before="10" w:line="240"/>
              <w:jc w:val="center"/>
            </w:pPr>
            <w:r>
              <w:rPr>
                <w:rFonts w:ascii="Times New Roman"/>
                <w:b/>
                <w:bCs/>
                <w:color w:val="000000"/>
                <w:sz w:val="16"/>
                <w:szCs w:val="16"/>
              </w:rPr>
              <w:t xml:space="preserve">APGD-CE</w:t>
            </w:r>
          </w:p>
        </w:tc>
        <w:tc>
          <w:tcPr>
            <w:tcW w:type="pct" w:w="15%"/>
            <w:tcBorders>
              <w:top w:val="none" w:color="FFFFFF" w:sz="0"/>
              <w:left w:val="none" w:color="FFFFFF" w:sz="0"/>
              <w:bottom w:val="single" w:color="000000" w:sz="2"/>
              <w:right w:val="none" w:color="FFFFFF" w:sz="0"/>
            </w:tcBorders>
            <w:tcMar>
              <w:top w:type="dxa" w:w="40"/>
              <w:left w:type="dxa" w:w="80"/>
              <w:bottom w:type="dxa" w:w="40"/>
              <w:right w:type="dxa" w:w="80"/>
            </w:tcMar>
          </w:tcPr>
          <w:p>
            <w:pPr>
              <w:spacing w:after="10" w:before="10" w:line="240"/>
              <w:jc w:val="center"/>
            </w:pPr>
            <w:r>
              <w:rPr>
                <w:rFonts w:ascii="Times New Roman"/>
                <w:b/>
                <w:bCs/>
                <w:color w:val="000000"/>
                <w:sz w:val="16"/>
                <w:szCs w:val="16"/>
              </w:rPr>
              <w:t xml:space="preserve">APGD-DLR</w:t>
            </w:r>
          </w:p>
        </w:tc>
        <w:tc>
          <w:tcPr>
            <w:tcW w:type="pct" w:w="14%"/>
            <w:tcBorders>
              <w:top w:val="none" w:color="FFFFFF" w:sz="0"/>
              <w:left w:val="none" w:color="FFFFFF" w:sz="0"/>
              <w:bottom w:val="single" w:color="000000" w:sz="2"/>
              <w:right w:val="none" w:color="FFFFFF" w:sz="0"/>
            </w:tcBorders>
            <w:tcMar>
              <w:top w:type="dxa" w:w="40"/>
              <w:left w:type="dxa" w:w="80"/>
              <w:bottom w:type="dxa" w:w="40"/>
              <w:right w:type="dxa" w:w="80"/>
            </w:tcMar>
          </w:tcPr>
          <w:p>
            <w:pPr>
              <w:spacing w:after="10" w:before="10" w:line="240"/>
              <w:jc w:val="center"/>
            </w:pPr>
            <w:r>
              <w:rPr>
                <w:rFonts w:ascii="Times New Roman"/>
                <w:b/>
                <w:bCs/>
                <w:color w:val="000000"/>
                <w:sz w:val="16"/>
                <w:szCs w:val="16"/>
              </w:rPr>
              <w:t xml:space="preserve">FAB</w:t>
            </w:r>
          </w:p>
        </w:tc>
        <w:tc>
          <w:tcPr>
            <w:tcW w:type="pct" w:w="14%"/>
            <w:tcBorders>
              <w:top w:val="none" w:color="FFFFFF" w:sz="0"/>
              <w:left w:val="none" w:color="FFFFFF" w:sz="0"/>
              <w:bottom w:val="single" w:color="000000" w:sz="2"/>
              <w:right w:val="none" w:color="FFFFFF" w:sz="0"/>
            </w:tcBorders>
            <w:tcMar>
              <w:top w:type="dxa" w:w="40"/>
              <w:left w:type="dxa" w:w="80"/>
              <w:bottom w:type="dxa" w:w="40"/>
              <w:right w:type="dxa" w:w="80"/>
            </w:tcMar>
          </w:tcPr>
          <w:p>
            <w:pPr>
              <w:spacing w:after="10" w:before="10" w:line="240"/>
              <w:jc w:val="center"/>
            </w:pPr>
            <w:r>
              <w:rPr>
                <w:rFonts w:ascii="Times New Roman"/>
                <w:b/>
                <w:bCs/>
                <w:color w:val="000000"/>
                <w:sz w:val="16"/>
                <w:szCs w:val="16"/>
              </w:rPr>
              <w:t xml:space="preserve">Square</w:t>
            </w:r>
          </w:p>
        </w:tc>
      </w:tr>
      <w:tr>
        <w:trPr>
          <w:cantSplit/>
        </w:trPr>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0.005</w:t>
            </w:r>
          </w:p>
        </w:tc>
        <w:tc>
          <w:tcPr>
            <w:tcW w:type="pct" w:w="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14.87±0.54</w:t>
            </w:r>
          </w:p>
        </w:tc>
        <w:tc>
          <w:tcPr>
            <w:tcW w:type="pct" w:w="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14.87±0.54</w:t>
            </w:r>
          </w:p>
        </w:tc>
        <w:tc>
          <w:tcPr>
            <w:tcW w:type="pct" w:w="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14.87±0.54</w:t>
            </w:r>
          </w:p>
        </w:tc>
        <w:tc>
          <w:tcPr>
            <w:tcW w:type="pct" w:w="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14.87±0.54</w:t>
            </w:r>
          </w:p>
        </w:tc>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14.87±0.54</w:t>
            </w:r>
          </w:p>
        </w:tc>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13.58±0.62</w:t>
            </w:r>
          </w:p>
        </w:tc>
      </w:tr>
      <w:tr>
        <w:trPr>
          <w:cantSplit/>
        </w:trPr>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0.010</w:t>
            </w:r>
          </w:p>
        </w:tc>
        <w:tc>
          <w:tcPr>
            <w:tcW w:type="pct" w:w="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16.58±1.12</w:t>
            </w:r>
          </w:p>
        </w:tc>
        <w:tc>
          <w:tcPr>
            <w:tcW w:type="pct" w:w="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16.58±1.12</w:t>
            </w:r>
          </w:p>
        </w:tc>
        <w:tc>
          <w:tcPr>
            <w:tcW w:type="pct" w:w="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16.58±1.12</w:t>
            </w:r>
          </w:p>
        </w:tc>
        <w:tc>
          <w:tcPr>
            <w:tcW w:type="pct" w:w="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16.58±1.12</w:t>
            </w:r>
          </w:p>
        </w:tc>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16.58±1.12</w:t>
            </w:r>
          </w:p>
        </w:tc>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13.62±0.67</w:t>
            </w:r>
          </w:p>
        </w:tc>
      </w:tr>
      <w:tr>
        <w:trPr>
          <w:cantSplit/>
        </w:trPr>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0.020</w:t>
            </w:r>
          </w:p>
        </w:tc>
        <w:tc>
          <w:tcPr>
            <w:tcW w:type="pct" w:w="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20.00±1.38</w:t>
            </w:r>
          </w:p>
        </w:tc>
        <w:tc>
          <w:tcPr>
            <w:tcW w:type="pct" w:w="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20.00±1.38</w:t>
            </w:r>
          </w:p>
        </w:tc>
        <w:tc>
          <w:tcPr>
            <w:tcW w:type="pct" w:w="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20.00±1.38</w:t>
            </w:r>
          </w:p>
        </w:tc>
        <w:tc>
          <w:tcPr>
            <w:tcW w:type="pct" w:w="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20.00±1.38</w:t>
            </w:r>
          </w:p>
        </w:tc>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20.00±1.38</w:t>
            </w:r>
          </w:p>
        </w:tc>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13.79±0.68</w:t>
            </w:r>
          </w:p>
        </w:tc>
      </w:tr>
      <w:tr>
        <w:trPr>
          <w:cantSplit/>
        </w:trPr>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0.030</w:t>
            </w:r>
          </w:p>
        </w:tc>
        <w:tc>
          <w:tcPr>
            <w:tcW w:type="pct" w:w="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23.25±1.53</w:t>
            </w:r>
          </w:p>
        </w:tc>
        <w:tc>
          <w:tcPr>
            <w:tcW w:type="pct" w:w="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23.50±1.48</w:t>
            </w:r>
          </w:p>
        </w:tc>
        <w:tc>
          <w:tcPr>
            <w:tcW w:type="pct" w:w="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23.50±1.48</w:t>
            </w:r>
          </w:p>
        </w:tc>
        <w:tc>
          <w:tcPr>
            <w:tcW w:type="pct" w:w="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23.25±1.53</w:t>
            </w:r>
          </w:p>
        </w:tc>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23.46±1.49</w:t>
            </w:r>
          </w:p>
        </w:tc>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14.08±0.69</w:t>
            </w:r>
          </w:p>
        </w:tc>
      </w:tr>
      <w:tr>
        <w:trPr>
          <w:cantSplit/>
        </w:trPr>
        <w:tc>
          <w:tcPr>
            <w:tcW w:type="pct" w:w="1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0.050</w:t>
            </w:r>
          </w:p>
        </w:tc>
        <w:tc>
          <w:tcPr>
            <w:tcW w:type="pct" w:w="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31.00±1.54</w:t>
            </w:r>
          </w:p>
        </w:tc>
        <w:tc>
          <w:tcPr>
            <w:tcW w:type="pct" w:w="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31.54±1.56</w:t>
            </w:r>
          </w:p>
        </w:tc>
        <w:tc>
          <w:tcPr>
            <w:tcW w:type="pct" w:w="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31.54±1.56</w:t>
            </w:r>
          </w:p>
        </w:tc>
        <w:tc>
          <w:tcPr>
            <w:tcW w:type="pct" w:w="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31.00±1.54</w:t>
            </w:r>
          </w:p>
        </w:tc>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31.54±1.56</w:t>
            </w:r>
          </w:p>
        </w:tc>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14.42±0.48</w:t>
            </w:r>
          </w:p>
        </w:tc>
      </w:tr>
      <w:tr>
        <w:trPr>
          <w:cantSplit/>
        </w:trPr>
        <w:tc>
          <w:tcPr>
            <w:tcW w:type="pct" w:w="12%"/>
            <w:tcBorders>
              <w:top w:val="none" w:color="FFFFFF" w:sz="0"/>
              <w:left w:val="none" w:color="FFFFFF" w:sz="0"/>
              <w:bottom w:val="single" w:color="000000" w:sz="4"/>
              <w:right w:val="none" w:color="FFFFFF" w:sz="0"/>
            </w:tcBorders>
            <w:tcMar>
              <w:top w:type="dxa" w:w="40"/>
              <w:left w:type="dxa" w:w="80"/>
              <w:bottom w:type="dxa" w:w="40"/>
              <w:right w:type="dxa" w:w="80"/>
            </w:tcMar>
          </w:tcPr>
          <w:p>
            <w:pPr>
              <w:spacing w:after="20" w:before="20" w:line="300"/>
              <w:jc w:val="center"/>
            </w:pPr>
            <w:r>
              <w:rPr>
                <w:rFonts w:ascii="Times New Roman"/>
                <w:color w:val="000000"/>
                <w:sz w:val="16"/>
                <w:szCs w:val="16"/>
              </w:rPr>
              <w:t xml:space="preserve">0.080</w:t>
            </w:r>
          </w:p>
        </w:tc>
        <w:tc>
          <w:tcPr>
            <w:tcW w:type="pct" w:w="15%"/>
            <w:tcBorders>
              <w:top w:val="none" w:color="FFFFFF" w:sz="0"/>
              <w:left w:val="none" w:color="FFFFFF" w:sz="0"/>
              <w:bottom w:val="single" w:color="000000" w:sz="4"/>
              <w:right w:val="none" w:color="FFFFFF" w:sz="0"/>
            </w:tcBorders>
            <w:tcMar>
              <w:top w:type="dxa" w:w="40"/>
              <w:left w:type="dxa" w:w="80"/>
              <w:bottom w:type="dxa" w:w="40"/>
              <w:right w:type="dxa" w:w="80"/>
            </w:tcMar>
          </w:tcPr>
          <w:p>
            <w:pPr>
              <w:spacing w:after="20" w:before="20" w:line="300"/>
              <w:jc w:val="center"/>
            </w:pPr>
            <w:r>
              <w:rPr>
                <w:rFonts w:ascii="Times New Roman"/>
                <w:color w:val="000000"/>
                <w:sz w:val="16"/>
                <w:szCs w:val="16"/>
              </w:rPr>
              <w:t xml:space="preserve">39.42±1.80</w:t>
            </w:r>
          </w:p>
        </w:tc>
        <w:tc>
          <w:tcPr>
            <w:tcW w:type="pct" w:w="15%"/>
            <w:tcBorders>
              <w:top w:val="none" w:color="FFFFFF" w:sz="0"/>
              <w:left w:val="none" w:color="FFFFFF" w:sz="0"/>
              <w:bottom w:val="single" w:color="000000" w:sz="4"/>
              <w:right w:val="none" w:color="FFFFFF" w:sz="0"/>
            </w:tcBorders>
            <w:tcMar>
              <w:top w:type="dxa" w:w="40"/>
              <w:left w:type="dxa" w:w="80"/>
              <w:bottom w:type="dxa" w:w="40"/>
              <w:right w:type="dxa" w:w="80"/>
            </w:tcMar>
          </w:tcPr>
          <w:p>
            <w:pPr>
              <w:spacing w:after="20" w:before="20" w:line="300"/>
              <w:jc w:val="center"/>
            </w:pPr>
            <w:r>
              <w:rPr>
                <w:rFonts w:ascii="Times New Roman"/>
                <w:color w:val="000000"/>
                <w:sz w:val="16"/>
                <w:szCs w:val="16"/>
              </w:rPr>
              <w:t xml:space="preserve">41.12±1.48</w:t>
            </w:r>
          </w:p>
        </w:tc>
        <w:tc>
          <w:tcPr>
            <w:tcW w:type="pct" w:w="15%"/>
            <w:tcBorders>
              <w:top w:val="none" w:color="FFFFFF" w:sz="0"/>
              <w:left w:val="none" w:color="FFFFFF" w:sz="0"/>
              <w:bottom w:val="single" w:color="000000" w:sz="4"/>
              <w:right w:val="none" w:color="FFFFFF" w:sz="0"/>
            </w:tcBorders>
            <w:tcMar>
              <w:top w:type="dxa" w:w="40"/>
              <w:left w:type="dxa" w:w="80"/>
              <w:bottom w:type="dxa" w:w="40"/>
              <w:right w:type="dxa" w:w="80"/>
            </w:tcMar>
          </w:tcPr>
          <w:p>
            <w:pPr>
              <w:spacing w:after="20" w:before="20" w:line="300"/>
              <w:jc w:val="center"/>
            </w:pPr>
            <w:r>
              <w:rPr>
                <w:rFonts w:ascii="Times New Roman"/>
                <w:color w:val="000000"/>
                <w:sz w:val="16"/>
                <w:szCs w:val="16"/>
              </w:rPr>
              <w:t xml:space="preserve">41.21±1.43</w:t>
            </w:r>
          </w:p>
        </w:tc>
        <w:tc>
          <w:tcPr>
            <w:tcW w:type="pct" w:w="15%"/>
            <w:tcBorders>
              <w:top w:val="none" w:color="FFFFFF" w:sz="0"/>
              <w:left w:val="none" w:color="FFFFFF" w:sz="0"/>
              <w:bottom w:val="single" w:color="000000" w:sz="4"/>
              <w:right w:val="none" w:color="FFFFFF" w:sz="0"/>
            </w:tcBorders>
            <w:tcMar>
              <w:top w:type="dxa" w:w="40"/>
              <w:left w:type="dxa" w:w="80"/>
              <w:bottom w:type="dxa" w:w="40"/>
              <w:right w:type="dxa" w:w="80"/>
            </w:tcMar>
          </w:tcPr>
          <w:p>
            <w:pPr>
              <w:spacing w:after="20" w:before="20" w:line="300"/>
              <w:jc w:val="center"/>
            </w:pPr>
            <w:r>
              <w:rPr>
                <w:rFonts w:ascii="Times New Roman"/>
                <w:color w:val="000000"/>
                <w:sz w:val="16"/>
                <w:szCs w:val="16"/>
              </w:rPr>
              <w:t xml:space="preserve">39.42±1.80</w:t>
            </w:r>
          </w:p>
        </w:tc>
        <w:tc>
          <w:tcPr>
            <w:tcW w:type="pct" w:w="14%"/>
            <w:tcBorders>
              <w:top w:val="none" w:color="FFFFFF" w:sz="0"/>
              <w:left w:val="none" w:color="FFFFFF" w:sz="0"/>
              <w:bottom w:val="single" w:color="000000" w:sz="4"/>
              <w:right w:val="none" w:color="FFFFFF" w:sz="0"/>
            </w:tcBorders>
            <w:tcMar>
              <w:top w:type="dxa" w:w="40"/>
              <w:left w:type="dxa" w:w="80"/>
              <w:bottom w:type="dxa" w:w="40"/>
              <w:right w:type="dxa" w:w="80"/>
            </w:tcMar>
          </w:tcPr>
          <w:p>
            <w:pPr>
              <w:spacing w:after="20" w:before="20" w:line="300"/>
              <w:jc w:val="center"/>
            </w:pPr>
            <w:r>
              <w:rPr>
                <w:rFonts w:ascii="Times New Roman"/>
                <w:color w:val="000000"/>
                <w:sz w:val="16"/>
                <w:szCs w:val="16"/>
              </w:rPr>
              <w:t xml:space="preserve">41.21±1.43</w:t>
            </w:r>
          </w:p>
        </w:tc>
        <w:tc>
          <w:tcPr>
            <w:tcW w:type="pct" w:w="14%"/>
            <w:tcBorders>
              <w:top w:val="none" w:color="FFFFFF" w:sz="0"/>
              <w:left w:val="none" w:color="FFFFFF" w:sz="0"/>
              <w:bottom w:val="single" w:color="000000" w:sz="4"/>
              <w:right w:val="none" w:color="FFFFFF" w:sz="0"/>
            </w:tcBorders>
            <w:tcMar>
              <w:top w:type="dxa" w:w="40"/>
              <w:left w:type="dxa" w:w="80"/>
              <w:bottom w:type="dxa" w:w="40"/>
              <w:right w:type="dxa" w:w="80"/>
            </w:tcMar>
          </w:tcPr>
          <w:p>
            <w:pPr>
              <w:spacing w:after="20" w:before="20" w:line="300"/>
              <w:jc w:val="center"/>
            </w:pPr>
            <w:r>
              <w:rPr>
                <w:rFonts w:ascii="Times New Roman"/>
                <w:color w:val="000000"/>
                <w:sz w:val="16"/>
                <w:szCs w:val="16"/>
              </w:rPr>
              <w:t xml:space="preserve">15.12±0.81</w:t>
            </w:r>
          </w:p>
        </w:tc>
      </w:tr>
    </w:tbl>
    <w:p>
      <w:pPr>
        <w:pStyle w:val="Heading2"/>
        <w:spacing w:after="80" w:before="180" w:line="240"/>
      </w:pPr>
      <w:r>
        <w:rPr>
          <w:rFonts w:ascii="Times New Roman"/>
          <w:b/>
          <w:bCs/>
          <w:color w:val="000000"/>
          <w:sz w:val="20"/>
          <w:szCs w:val="20"/>
        </w:rPr>
        <w:t xml:space="preserve">7.4 Ablation Study: Stream Contribution Analysis</w:t>
      </w:r>
    </w:p>
    <w:p>
      <w:pPr>
        <w:spacing w:after="60" w:line="240"/>
        <w:ind w:firstLine="0"/>
        <w:jc w:val="both"/>
      </w:pPr>
      <w:r>
        <w:rPr>
          <w:rFonts w:ascii="Times New Roman"/>
          <w:color w:val="000000"/>
          <w:sz w:val="20"/>
          <w:szCs w:val="20"/>
        </w:rPr>
        <w:t xml:space="preserve">To understand the contribution of each input stream, we evaluate three variants: (i) Mag-Only, (ii) IF-Only, and (iii) Dual-Stream. Table IV presents the results. The instantaneous frequency stream alone achieves only 30.46% accuracy. The Mag-Only model achieves 87.29%, and the Dual-Stream model achieves 86.33%—comparable to Mag-Only—confirming that the second stream does not degrade performance. Both Mag-Only and Dual-Stream exhibit the FGSM ≈ PGD convergence pattern (0.38 and 0.29 percentage point gap respectively), confirming that this smoothness property stems from the training recipe rather than the dual-stream architecture.</w:t>
      </w:r>
    </w:p>
    <w:p>
      <w:pPr>
        <w:keepNext/>
        <w:spacing w:after="60" w:before="120" w:line="240"/>
        <w:jc w:val="center"/>
      </w:pPr>
      <w:r>
        <w:rPr>
          <w:rFonts w:ascii="Times New Roman"/>
          <w:b/>
          <w:bCs/>
          <w:color w:val="000000"/>
          <w:sz w:val="16"/>
          <w:szCs w:val="16"/>
        </w:rPr>
        <w:t xml:space="preserve">Table IV: Ablation: Stream Contribution (3-Seed Mean ± Std)</w:t>
      </w:r>
    </w:p>
    <w:tbl>
      <w:tblPr>
        <w:tblW w:type="pct" w:w="100%"/>
        <w:jc w:val="center"/>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gridCol w:w="100"/>
        <w:gridCol w:w="100"/>
      </w:tblGrid>
      <w:tr>
        <w:trPr>
          <w:cantSplit/>
          <w:tblHeader/>
        </w:trPr>
        <w:tc>
          <w:tcPr>
            <w:tcW w:type="pct" w:w="20%"/>
            <w:tcBorders>
              <w:top w:val="none" w:color="FFFFFF" w:sz="0"/>
              <w:left w:val="none" w:color="FFFFFF" w:sz="0"/>
              <w:bottom w:val="single" w:color="000000" w:sz="2"/>
              <w:right w:val="none" w:color="FFFFFF" w:sz="0"/>
            </w:tcBorders>
            <w:tcMar>
              <w:top w:type="dxa" w:w="40"/>
              <w:left w:type="dxa" w:w="80"/>
              <w:bottom w:type="dxa" w:w="40"/>
              <w:right w:type="dxa" w:w="80"/>
            </w:tcMar>
          </w:tcPr>
          <w:p>
            <w:pPr>
              <w:spacing w:after="10" w:before="10" w:line="240"/>
              <w:jc w:val="center"/>
            </w:pPr>
            <w:r>
              <w:rPr>
                <w:rFonts w:ascii="Times New Roman"/>
                <w:b/>
                <w:bCs/>
                <w:color w:val="000000"/>
                <w:sz w:val="16"/>
                <w:szCs w:val="16"/>
              </w:rPr>
              <w:t xml:space="preserve">Variant</w:t>
            </w:r>
          </w:p>
        </w:tc>
        <w:tc>
          <w:tcPr>
            <w:tcW w:type="pct" w:w="15%"/>
            <w:tcBorders>
              <w:top w:val="none" w:color="FFFFFF" w:sz="0"/>
              <w:left w:val="none" w:color="FFFFFF" w:sz="0"/>
              <w:bottom w:val="single" w:color="000000" w:sz="2"/>
              <w:right w:val="none" w:color="FFFFFF" w:sz="0"/>
            </w:tcBorders>
            <w:tcMar>
              <w:top w:type="dxa" w:w="40"/>
              <w:left w:type="dxa" w:w="80"/>
              <w:bottom w:type="dxa" w:w="40"/>
              <w:right w:type="dxa" w:w="80"/>
            </w:tcMar>
          </w:tcPr>
          <w:p>
            <w:pPr>
              <w:spacing w:after="10" w:before="10" w:line="240"/>
              <w:jc w:val="center"/>
            </w:pPr>
            <w:r>
              <w:rPr>
                <w:rFonts w:ascii="Times New Roman"/>
                <w:b/>
                <w:bCs/>
                <w:color w:val="000000"/>
                <w:sz w:val="16"/>
                <w:szCs w:val="16"/>
              </w:rPr>
              <w:t xml:space="preserve">Params</w:t>
            </w:r>
          </w:p>
        </w:tc>
        <w:tc>
          <w:tcPr>
            <w:tcW w:type="pct" w:w="20%"/>
            <w:tcBorders>
              <w:top w:val="none" w:color="FFFFFF" w:sz="0"/>
              <w:left w:val="none" w:color="FFFFFF" w:sz="0"/>
              <w:bottom w:val="single" w:color="000000" w:sz="2"/>
              <w:right w:val="none" w:color="FFFFFF" w:sz="0"/>
            </w:tcBorders>
            <w:tcMar>
              <w:top w:type="dxa" w:w="40"/>
              <w:left w:type="dxa" w:w="80"/>
              <w:bottom w:type="dxa" w:w="40"/>
              <w:right w:type="dxa" w:w="80"/>
            </w:tcMar>
          </w:tcPr>
          <w:p>
            <w:pPr>
              <w:spacing w:after="10" w:before="10" w:line="240"/>
              <w:jc w:val="center"/>
            </w:pPr>
            <w:r>
              <w:rPr>
                <w:rFonts w:ascii="Times New Roman"/>
                <w:b/>
                <w:bCs/>
                <w:color w:val="000000"/>
                <w:sz w:val="16"/>
                <w:szCs w:val="16"/>
              </w:rPr>
              <w:t xml:space="preserve">Acc. (%)</w:t>
            </w:r>
          </w:p>
        </w:tc>
        <w:tc>
          <w:tcPr>
            <w:tcW w:type="pct" w:w="22%"/>
            <w:tcBorders>
              <w:top w:val="none" w:color="FFFFFF" w:sz="0"/>
              <w:left w:val="none" w:color="FFFFFF" w:sz="0"/>
              <w:bottom w:val="single" w:color="000000" w:sz="2"/>
              <w:right w:val="none" w:color="FFFFFF" w:sz="0"/>
            </w:tcBorders>
            <w:tcMar>
              <w:top w:type="dxa" w:w="40"/>
              <w:left w:type="dxa" w:w="80"/>
              <w:bottom w:type="dxa" w:w="40"/>
              <w:right w:type="dxa" w:w="80"/>
            </w:tcMar>
          </w:tcPr>
          <w:p>
            <w:pPr>
              <w:spacing w:after="10" w:before="10" w:line="240"/>
              <w:jc w:val="center"/>
            </w:pPr>
            <w:r>
              <w:rPr>
                <w:rFonts w:ascii="Times New Roman"/>
                <w:b/>
                <w:bCs/>
                <w:color w:val="000000"/>
                <w:sz w:val="16"/>
                <w:szCs w:val="16"/>
              </w:rPr>
              <w:t xml:space="preserve">FGSM ASR (%)</w:t>
            </w:r>
          </w:p>
        </w:tc>
        <w:tc>
          <w:tcPr>
            <w:tcW w:type="pct" w:w="23%"/>
            <w:tcBorders>
              <w:top w:val="none" w:color="FFFFFF" w:sz="0"/>
              <w:left w:val="none" w:color="FFFFFF" w:sz="0"/>
              <w:bottom w:val="single" w:color="000000" w:sz="2"/>
              <w:right w:val="none" w:color="FFFFFF" w:sz="0"/>
            </w:tcBorders>
            <w:tcMar>
              <w:top w:type="dxa" w:w="40"/>
              <w:left w:type="dxa" w:w="80"/>
              <w:bottom w:type="dxa" w:w="40"/>
              <w:right w:type="dxa" w:w="80"/>
            </w:tcMar>
          </w:tcPr>
          <w:p>
            <w:pPr>
              <w:spacing w:after="10" w:before="10" w:line="240"/>
              <w:jc w:val="center"/>
            </w:pPr>
            <w:r>
              <w:rPr>
                <w:rFonts w:ascii="Times New Roman"/>
                <w:b/>
                <w:bCs/>
                <w:color w:val="000000"/>
                <w:sz w:val="16"/>
                <w:szCs w:val="16"/>
              </w:rPr>
              <w:t xml:space="preserve">PGD ASR (%)</w:t>
            </w:r>
          </w:p>
        </w:tc>
      </w:tr>
      <w:tr>
        <w:trPr>
          <w:cantSplit/>
        </w:trPr>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Mag-Only</w:t>
            </w:r>
          </w:p>
        </w:tc>
        <w:tc>
          <w:tcPr>
            <w:tcW w:type="pct" w:w="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43,188</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87.29 ± 0.50</w:t>
            </w:r>
          </w:p>
        </w:tc>
        <w:tc>
          <w:tcPr>
            <w:tcW w:type="pct" w:w="2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24.04 ± 1.75</w:t>
            </w:r>
          </w:p>
        </w:tc>
        <w:tc>
          <w:tcPr>
            <w:tcW w:type="pct" w:w="2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24.42 ± 1.95</w:t>
            </w:r>
          </w:p>
        </w:tc>
      </w:tr>
      <w:tr>
        <w:trPr>
          <w:cantSplit/>
        </w:trPr>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IF-Only</w:t>
            </w:r>
          </w:p>
        </w:tc>
        <w:tc>
          <w:tcPr>
            <w:tcW w:type="pct" w:w="1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43,188</w:t>
            </w:r>
          </w:p>
        </w:tc>
        <w:tc>
          <w:tcPr>
            <w:tcW w:type="pct" w:w="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30.46 ± 0.56</w:t>
            </w:r>
          </w:p>
        </w:tc>
        <w:tc>
          <w:tcPr>
            <w:tcW w:type="pct" w:w="2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93.54 ± 1.86</w:t>
            </w:r>
          </w:p>
        </w:tc>
        <w:tc>
          <w:tcPr>
            <w:tcW w:type="pct" w:w="2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94.25 ± 2.21</w:t>
            </w:r>
          </w:p>
        </w:tc>
      </w:tr>
      <w:tr>
        <w:trPr>
          <w:cantSplit/>
        </w:trPr>
        <w:tc>
          <w:tcPr>
            <w:tcW w:type="pct" w:w="2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after="20" w:before="20" w:line="300"/>
              <w:jc w:val="center"/>
            </w:pPr>
            <w:r>
              <w:rPr>
                <w:rFonts w:ascii="Times New Roman"/>
                <w:color w:val="000000"/>
                <w:sz w:val="16"/>
                <w:szCs w:val="16"/>
              </w:rPr>
              <w:t xml:space="preserve">Dual-Stream</w:t>
            </w:r>
          </w:p>
        </w:tc>
        <w:tc>
          <w:tcPr>
            <w:tcW w:type="pct" w:w="15%"/>
            <w:tcBorders>
              <w:top w:val="none" w:color="FFFFFF" w:sz="0"/>
              <w:left w:val="none" w:color="FFFFFF" w:sz="0"/>
              <w:bottom w:val="single" w:color="000000" w:sz="4"/>
              <w:right w:val="none" w:color="FFFFFF" w:sz="0"/>
            </w:tcBorders>
            <w:tcMar>
              <w:top w:type="dxa" w:w="40"/>
              <w:left w:type="dxa" w:w="80"/>
              <w:bottom w:type="dxa" w:w="40"/>
              <w:right w:type="dxa" w:w="80"/>
            </w:tcMar>
          </w:tcPr>
          <w:p>
            <w:pPr>
              <w:spacing w:after="20" w:before="20" w:line="300"/>
              <w:jc w:val="center"/>
            </w:pPr>
            <w:r>
              <w:rPr>
                <w:rFonts w:ascii="Times New Roman"/>
                <w:color w:val="000000"/>
                <w:sz w:val="16"/>
                <w:szCs w:val="16"/>
              </w:rPr>
              <w:t xml:space="preserve">86,052</w:t>
            </w:r>
          </w:p>
        </w:tc>
        <w:tc>
          <w:tcPr>
            <w:tcW w:type="pct" w:w="2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after="20" w:before="20" w:line="300"/>
              <w:jc w:val="center"/>
            </w:pPr>
            <w:r>
              <w:rPr>
                <w:rFonts w:ascii="Times New Roman"/>
                <w:color w:val="000000"/>
                <w:sz w:val="16"/>
                <w:szCs w:val="16"/>
              </w:rPr>
              <w:t xml:space="preserve">86.33 ± 1.02</w:t>
            </w:r>
          </w:p>
        </w:tc>
        <w:tc>
          <w:tcPr>
            <w:tcW w:type="pct" w:w="22%"/>
            <w:tcBorders>
              <w:top w:val="none" w:color="FFFFFF" w:sz="0"/>
              <w:left w:val="none" w:color="FFFFFF" w:sz="0"/>
              <w:bottom w:val="single" w:color="000000" w:sz="4"/>
              <w:right w:val="none" w:color="FFFFFF" w:sz="0"/>
            </w:tcBorders>
            <w:tcMar>
              <w:top w:type="dxa" w:w="40"/>
              <w:left w:type="dxa" w:w="80"/>
              <w:bottom w:type="dxa" w:w="40"/>
              <w:right w:type="dxa" w:w="80"/>
            </w:tcMar>
          </w:tcPr>
          <w:p>
            <w:pPr>
              <w:spacing w:after="20" w:before="20" w:line="300"/>
              <w:jc w:val="center"/>
            </w:pPr>
            <w:r>
              <w:rPr>
                <w:rFonts w:ascii="Times New Roman"/>
                <w:color w:val="000000"/>
                <w:sz w:val="16"/>
                <w:szCs w:val="16"/>
              </w:rPr>
              <w:t xml:space="preserve">28.21 ± 5.17</w:t>
            </w:r>
          </w:p>
        </w:tc>
        <w:tc>
          <w:tcPr>
            <w:tcW w:type="pct" w:w="23%"/>
            <w:tcBorders>
              <w:top w:val="none" w:color="FFFFFF" w:sz="0"/>
              <w:left w:val="none" w:color="FFFFFF" w:sz="0"/>
              <w:bottom w:val="single" w:color="000000" w:sz="4"/>
              <w:right w:val="none" w:color="FFFFFF" w:sz="0"/>
            </w:tcBorders>
            <w:tcMar>
              <w:top w:type="dxa" w:w="40"/>
              <w:left w:type="dxa" w:w="80"/>
              <w:bottom w:type="dxa" w:w="40"/>
              <w:right w:type="dxa" w:w="80"/>
            </w:tcMar>
          </w:tcPr>
          <w:p>
            <w:pPr>
              <w:spacing w:after="20" w:before="20" w:line="300"/>
              <w:jc w:val="center"/>
            </w:pPr>
            <w:r>
              <w:rPr>
                <w:rFonts w:ascii="Times New Roman"/>
                <w:color w:val="000000"/>
                <w:sz w:val="16"/>
                <w:szCs w:val="16"/>
              </w:rPr>
              <w:t xml:space="preserve">28.50 ± 5.36</w:t>
            </w:r>
          </w:p>
        </w:tc>
      </w:tr>
    </w:tbl>
    <w:p>
      <w:pPr>
        <w:pStyle w:val="Heading2"/>
        <w:spacing w:after="80" w:before="180" w:line="240"/>
      </w:pPr>
      <w:r>
        <w:rPr>
          <w:rFonts w:ascii="Times New Roman"/>
          <w:b/>
          <w:bCs/>
          <w:color w:val="000000"/>
          <w:sz w:val="20"/>
          <w:szCs w:val="20"/>
        </w:rPr>
        <w:t xml:space="preserve">7.5 Defense Evaluation</w:t>
      </w:r>
    </w:p>
    <w:p>
      <w:pPr>
        <w:spacing w:after="60" w:line="240"/>
        <w:ind w:firstLine="0"/>
        <w:jc w:val="both"/>
      </w:pPr>
      <w:r>
        <w:rPr>
          <w:rFonts w:ascii="Times New Roman"/>
          <w:color w:val="000000"/>
          <w:sz w:val="20"/>
          <w:szCs w:val="20"/>
        </w:rPr>
        <w:t xml:space="preserve">Table V compares the standard-trained and adversarially-trained models. Adversarial training reduces FGSM ASR from 23.25% to 21.12% and PGD-20 ASR from 23.50% to 21.25% at ε = 0.03. Crucially, the adversarially-trained model achieves higher clean accuracy (87.46%) than the standard model (86.67%), demonstrating that robustness and accuracy are not mutually exclusive when proper augmentation is employed.</w:t>
      </w:r>
    </w:p>
    <w:p>
      <w:pPr>
        <w:keepNext/>
        <w:spacing w:after="60" w:before="120" w:line="240"/>
        <w:jc w:val="center"/>
      </w:pPr>
      <w:r>
        <w:rPr>
          <w:rFonts w:ascii="Times New Roman"/>
          <w:b/>
          <w:bCs/>
          <w:color w:val="000000"/>
          <w:sz w:val="16"/>
          <w:szCs w:val="16"/>
        </w:rPr>
        <w:t xml:space="preserve">Table V: Defense Effectiveness at ε=0.03 (3-Seed Mean)</w:t>
      </w:r>
    </w:p>
    <w:tbl>
      <w:tblPr>
        <w:tblW w:type="pct" w:w="100%"/>
        <w:jc w:val="center"/>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gridCol w:w="100"/>
      </w:tblGrid>
      <w:tr>
        <w:trPr>
          <w:cantSplit/>
          <w:tblHeader/>
        </w:trPr>
        <w:tc>
          <w:tcPr>
            <w:tcW w:type="pct" w:w="30%"/>
            <w:tcBorders>
              <w:top w:val="none" w:color="FFFFFF" w:sz="0"/>
              <w:left w:val="none" w:color="FFFFFF" w:sz="0"/>
              <w:bottom w:val="single" w:color="000000" w:sz="2"/>
              <w:right w:val="none" w:color="FFFFFF" w:sz="0"/>
            </w:tcBorders>
            <w:tcMar>
              <w:top w:type="dxa" w:w="40"/>
              <w:left w:type="dxa" w:w="80"/>
              <w:bottom w:type="dxa" w:w="40"/>
              <w:right w:type="dxa" w:w="80"/>
            </w:tcMar>
          </w:tcPr>
          <w:p>
            <w:pPr>
              <w:spacing w:after="10" w:before="10" w:line="240"/>
              <w:jc w:val="center"/>
            </w:pPr>
            <w:r>
              <w:rPr>
                <w:rFonts w:ascii="Times New Roman"/>
                <w:b/>
                <w:bCs/>
                <w:color w:val="000000"/>
                <w:sz w:val="16"/>
                <w:szCs w:val="16"/>
              </w:rPr>
              <w:t xml:space="preserve">Method</w:t>
            </w:r>
          </w:p>
        </w:tc>
        <w:tc>
          <w:tcPr>
            <w:tcW w:type="pct" w:w="23%"/>
            <w:tcBorders>
              <w:top w:val="none" w:color="FFFFFF" w:sz="0"/>
              <w:left w:val="none" w:color="FFFFFF" w:sz="0"/>
              <w:bottom w:val="single" w:color="000000" w:sz="2"/>
              <w:right w:val="none" w:color="FFFFFF" w:sz="0"/>
            </w:tcBorders>
            <w:tcMar>
              <w:top w:type="dxa" w:w="40"/>
              <w:left w:type="dxa" w:w="80"/>
              <w:bottom w:type="dxa" w:w="40"/>
              <w:right w:type="dxa" w:w="80"/>
            </w:tcMar>
          </w:tcPr>
          <w:p>
            <w:pPr>
              <w:spacing w:after="10" w:before="10" w:line="240"/>
              <w:jc w:val="center"/>
            </w:pPr>
            <w:r>
              <w:rPr>
                <w:rFonts w:ascii="Times New Roman"/>
                <w:b/>
                <w:bCs/>
                <w:color w:val="000000"/>
                <w:sz w:val="16"/>
                <w:szCs w:val="16"/>
              </w:rPr>
              <w:t xml:space="preserve">Clean (%)</w:t>
            </w:r>
          </w:p>
        </w:tc>
        <w:tc>
          <w:tcPr>
            <w:tcW w:type="pct" w:w="23%"/>
            <w:tcBorders>
              <w:top w:val="none" w:color="FFFFFF" w:sz="0"/>
              <w:left w:val="none" w:color="FFFFFF" w:sz="0"/>
              <w:bottom w:val="single" w:color="000000" w:sz="2"/>
              <w:right w:val="none" w:color="FFFFFF" w:sz="0"/>
            </w:tcBorders>
            <w:tcMar>
              <w:top w:type="dxa" w:w="40"/>
              <w:left w:type="dxa" w:w="80"/>
              <w:bottom w:type="dxa" w:w="40"/>
              <w:right w:type="dxa" w:w="80"/>
            </w:tcMar>
          </w:tcPr>
          <w:p>
            <w:pPr>
              <w:spacing w:after="10" w:before="10" w:line="240"/>
              <w:jc w:val="center"/>
            </w:pPr>
            <w:r>
              <w:rPr>
                <w:rFonts w:ascii="Times New Roman"/>
                <w:b/>
                <w:bCs/>
                <w:color w:val="000000"/>
                <w:sz w:val="16"/>
                <w:szCs w:val="16"/>
              </w:rPr>
              <w:t xml:space="preserve">FGSM ASR (%)</w:t>
            </w:r>
          </w:p>
        </w:tc>
        <w:tc>
          <w:tcPr>
            <w:tcW w:type="pct" w:w="24%"/>
            <w:tcBorders>
              <w:top w:val="none" w:color="FFFFFF" w:sz="0"/>
              <w:left w:val="none" w:color="FFFFFF" w:sz="0"/>
              <w:bottom w:val="single" w:color="000000" w:sz="2"/>
              <w:right w:val="none" w:color="FFFFFF" w:sz="0"/>
            </w:tcBorders>
            <w:tcMar>
              <w:top w:type="dxa" w:w="40"/>
              <w:left w:type="dxa" w:w="80"/>
              <w:bottom w:type="dxa" w:w="40"/>
              <w:right w:type="dxa" w:w="80"/>
            </w:tcMar>
          </w:tcPr>
          <w:p>
            <w:pPr>
              <w:spacing w:after="10" w:before="10" w:line="240"/>
              <w:jc w:val="center"/>
            </w:pPr>
            <w:r>
              <w:rPr>
                <w:rFonts w:ascii="Times New Roman"/>
                <w:b/>
                <w:bCs/>
                <w:color w:val="000000"/>
                <w:sz w:val="16"/>
                <w:szCs w:val="16"/>
              </w:rPr>
              <w:t xml:space="preserve">PGD-20 ASR (%)</w:t>
            </w:r>
          </w:p>
        </w:tc>
      </w:tr>
      <w:tr>
        <w:trPr>
          <w:cantSplit/>
        </w:trPr>
        <w:tc>
          <w:tcPr>
            <w:tcW w:type="pct" w:w="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Standard Training</w:t>
            </w:r>
          </w:p>
        </w:tc>
        <w:tc>
          <w:tcPr>
            <w:tcW w:type="pct" w:w="2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86.67</w:t>
            </w:r>
          </w:p>
        </w:tc>
        <w:tc>
          <w:tcPr>
            <w:tcW w:type="pct" w:w="2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23.25</w:t>
            </w:r>
          </w:p>
        </w:tc>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23.50</w:t>
            </w:r>
          </w:p>
        </w:tc>
      </w:tr>
      <w:tr>
        <w:trPr>
          <w:cantSplit/>
        </w:trPr>
        <w:tc>
          <w:tcPr>
            <w:tcW w:type="pct" w:w="3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after="20" w:before="20" w:line="300"/>
              <w:jc w:val="center"/>
            </w:pPr>
            <w:r>
              <w:rPr>
                <w:rFonts w:ascii="Times New Roman"/>
                <w:color w:val="000000"/>
                <w:sz w:val="16"/>
                <w:szCs w:val="16"/>
              </w:rPr>
              <w:t xml:space="preserve">Adv. Training</w:t>
            </w:r>
          </w:p>
        </w:tc>
        <w:tc>
          <w:tcPr>
            <w:tcW w:type="pct" w:w="23%"/>
            <w:tcBorders>
              <w:top w:val="none" w:color="FFFFFF" w:sz="0"/>
              <w:left w:val="none" w:color="FFFFFF" w:sz="0"/>
              <w:bottom w:val="single" w:color="000000" w:sz="4"/>
              <w:right w:val="none" w:color="FFFFFF" w:sz="0"/>
            </w:tcBorders>
            <w:tcMar>
              <w:top w:type="dxa" w:w="40"/>
              <w:left w:type="dxa" w:w="80"/>
              <w:bottom w:type="dxa" w:w="40"/>
              <w:right w:type="dxa" w:w="80"/>
            </w:tcMar>
          </w:tcPr>
          <w:p>
            <w:pPr>
              <w:spacing w:after="20" w:before="20" w:line="300"/>
              <w:jc w:val="center"/>
            </w:pPr>
            <w:r>
              <w:rPr>
                <w:rFonts w:ascii="Times New Roman"/>
                <w:color w:val="000000"/>
                <w:sz w:val="16"/>
                <w:szCs w:val="16"/>
              </w:rPr>
              <w:t xml:space="preserve">87.46</w:t>
            </w:r>
          </w:p>
        </w:tc>
        <w:tc>
          <w:tcPr>
            <w:tcW w:type="pct" w:w="23%"/>
            <w:tcBorders>
              <w:top w:val="none" w:color="FFFFFF" w:sz="0"/>
              <w:left w:val="none" w:color="FFFFFF" w:sz="0"/>
              <w:bottom w:val="single" w:color="000000" w:sz="4"/>
              <w:right w:val="none" w:color="FFFFFF" w:sz="0"/>
            </w:tcBorders>
            <w:tcMar>
              <w:top w:type="dxa" w:w="40"/>
              <w:left w:type="dxa" w:w="80"/>
              <w:bottom w:type="dxa" w:w="40"/>
              <w:right w:type="dxa" w:w="80"/>
            </w:tcMar>
          </w:tcPr>
          <w:p>
            <w:pPr>
              <w:spacing w:after="20" w:before="20" w:line="300"/>
              <w:jc w:val="center"/>
            </w:pPr>
            <w:r>
              <w:rPr>
                <w:rFonts w:ascii="Times New Roman"/>
                <w:color w:val="000000"/>
                <w:sz w:val="16"/>
                <w:szCs w:val="16"/>
              </w:rPr>
              <w:t xml:space="preserve">21.12</w:t>
            </w:r>
          </w:p>
        </w:tc>
        <w:tc>
          <w:tcPr>
            <w:tcW w:type="pct" w:w="24%"/>
            <w:tcBorders>
              <w:top w:val="none" w:color="FFFFFF" w:sz="0"/>
              <w:left w:val="none" w:color="FFFFFF" w:sz="0"/>
              <w:bottom w:val="single" w:color="000000" w:sz="4"/>
              <w:right w:val="none" w:color="FFFFFF" w:sz="0"/>
            </w:tcBorders>
            <w:tcMar>
              <w:top w:type="dxa" w:w="40"/>
              <w:left w:type="dxa" w:w="80"/>
              <w:bottom w:type="dxa" w:w="40"/>
              <w:right w:type="dxa" w:w="80"/>
            </w:tcMar>
          </w:tcPr>
          <w:p>
            <w:pPr>
              <w:spacing w:after="20" w:before="20" w:line="300"/>
              <w:jc w:val="center"/>
            </w:pPr>
            <w:r>
              <w:rPr>
                <w:rFonts w:ascii="Times New Roman"/>
                <w:color w:val="000000"/>
                <w:sz w:val="16"/>
                <w:szCs w:val="16"/>
              </w:rPr>
              <w:t xml:space="preserve">21.25</w:t>
            </w:r>
          </w:p>
        </w:tc>
      </w:tr>
    </w:tbl>
    <w:p>
      <w:pPr>
        <w:pStyle w:val="Heading2"/>
        <w:spacing w:after="80" w:before="180" w:line="240"/>
      </w:pPr>
      <w:r>
        <w:rPr>
          <w:rFonts w:ascii="Times New Roman"/>
          <w:b/>
          <w:bCs/>
          <w:color w:val="000000"/>
          <w:sz w:val="20"/>
          <w:szCs w:val="20"/>
        </w:rPr>
        <w:t xml:space="preserve">7.6 Channel-Aware Adversarial Evaluation</w:t>
      </w:r>
    </w:p>
    <w:p>
      <w:pPr>
        <w:spacing w:after="60" w:line="240"/>
        <w:ind w:firstLine="0"/>
        <w:jc w:val="both"/>
      </w:pPr>
      <w:r>
        <w:rPr>
          <w:rFonts w:ascii="Times New Roman"/>
          <w:color w:val="000000"/>
          <w:sz w:val="20"/>
          <w:szCs w:val="20"/>
        </w:rPr>
        <w:t xml:space="preserve">Table VI presents our novel channel-aware evaluation. At low SNR (−5 dB), ASR increases from 23.25% (digital) to 57.59% (FGSM) and 57.52% (PGD-20). This counter-intuitive amplification occurs because the dominant principal component of the noise vector has non-zero projection onto the adversarial gradient direction, producing constructive interference. At high SNR (15–30 dB), ASR stabilizes at approximately 22–23%, converging to the digital-domain value.</w:t>
      </w:r>
    </w:p>
    <w:p>
      <w:pPr>
        <w:keepNext/>
        <w:spacing w:after="60" w:before="120" w:line="240"/>
        <w:jc w:val="center"/>
      </w:pPr>
      <w:r>
        <w:rPr>
          <w:rFonts w:ascii="Times New Roman"/>
          <w:b/>
          <w:bCs/>
          <w:color w:val="000000"/>
          <w:sz w:val="16"/>
          <w:szCs w:val="16"/>
        </w:rPr>
        <w:t xml:space="preserve">Table VI: Channel-Aware ASR (%) vs. SNR (3-Seed Mean)</w:t>
      </w:r>
    </w:p>
    <w:tbl>
      <w:tblPr>
        <w:tblW w:type="pct" w:w="100%"/>
        <w:jc w:val="center"/>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tblGrid>
      <w:tr>
        <w:trPr>
          <w:cantSplit/>
          <w:tblHeader/>
        </w:trPr>
        <w:tc>
          <w:tcPr>
            <w:tcW w:type="pct" w:w="33%"/>
            <w:tcBorders>
              <w:top w:val="none" w:color="FFFFFF" w:sz="0"/>
              <w:left w:val="none" w:color="FFFFFF" w:sz="0"/>
              <w:bottom w:val="single" w:color="000000" w:sz="2"/>
              <w:right w:val="none" w:color="FFFFFF" w:sz="0"/>
            </w:tcBorders>
            <w:tcMar>
              <w:top w:type="dxa" w:w="40"/>
              <w:left w:type="dxa" w:w="80"/>
              <w:bottom w:type="dxa" w:w="40"/>
              <w:right w:type="dxa" w:w="80"/>
            </w:tcMar>
          </w:tcPr>
          <w:p>
            <w:pPr>
              <w:spacing w:after="10" w:before="10" w:line="240"/>
              <w:jc w:val="center"/>
            </w:pPr>
            <w:r>
              <w:rPr>
                <w:rFonts w:ascii="Times New Roman"/>
                <w:b/>
                <w:bCs/>
                <w:color w:val="000000"/>
                <w:sz w:val="16"/>
                <w:szCs w:val="16"/>
              </w:rPr>
              <w:t xml:space="preserve">SNR (dB)</w:t>
            </w:r>
          </w:p>
        </w:tc>
        <w:tc>
          <w:tcPr>
            <w:tcW w:type="pct" w:w="33%"/>
            <w:tcBorders>
              <w:top w:val="none" w:color="FFFFFF" w:sz="0"/>
              <w:left w:val="none" w:color="FFFFFF" w:sz="0"/>
              <w:bottom w:val="single" w:color="000000" w:sz="2"/>
              <w:right w:val="none" w:color="FFFFFF" w:sz="0"/>
            </w:tcBorders>
            <w:tcMar>
              <w:top w:type="dxa" w:w="40"/>
              <w:left w:type="dxa" w:w="80"/>
              <w:bottom w:type="dxa" w:w="40"/>
              <w:right w:type="dxa" w:w="80"/>
            </w:tcMar>
          </w:tcPr>
          <w:p>
            <w:pPr>
              <w:spacing w:after="10" w:before="10" w:line="240"/>
              <w:jc w:val="center"/>
            </w:pPr>
            <w:r>
              <w:rPr>
                <w:rFonts w:ascii="Times New Roman"/>
                <w:b/>
                <w:bCs/>
                <w:color w:val="000000"/>
                <w:sz w:val="16"/>
                <w:szCs w:val="16"/>
              </w:rPr>
              <w:t xml:space="preserve">FGSM</w:t>
            </w:r>
          </w:p>
        </w:tc>
        <w:tc>
          <w:tcPr>
            <w:tcW w:type="pct" w:w="34%"/>
            <w:tcBorders>
              <w:top w:val="none" w:color="FFFFFF" w:sz="0"/>
              <w:left w:val="none" w:color="FFFFFF" w:sz="0"/>
              <w:bottom w:val="single" w:color="000000" w:sz="2"/>
              <w:right w:val="none" w:color="FFFFFF" w:sz="0"/>
            </w:tcBorders>
            <w:tcMar>
              <w:top w:type="dxa" w:w="40"/>
              <w:left w:type="dxa" w:w="80"/>
              <w:bottom w:type="dxa" w:w="40"/>
              <w:right w:type="dxa" w:w="80"/>
            </w:tcMar>
          </w:tcPr>
          <w:p>
            <w:pPr>
              <w:spacing w:after="10" w:before="10" w:line="240"/>
              <w:jc w:val="center"/>
            </w:pPr>
            <w:r>
              <w:rPr>
                <w:rFonts w:ascii="Times New Roman"/>
                <w:b/>
                <w:bCs/>
                <w:color w:val="000000"/>
                <w:sz w:val="16"/>
                <w:szCs w:val="16"/>
              </w:rPr>
              <w:t xml:space="preserve">PGD-20</w:t>
            </w:r>
          </w:p>
        </w:tc>
      </w:tr>
      <w:tr>
        <w:trPr>
          <w:cantSplit/>
        </w:trPr>
        <w:tc>
          <w:tcPr>
            <w:tcW w:type="pct" w:w="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-5</w:t>
            </w:r>
          </w:p>
        </w:tc>
        <w:tc>
          <w:tcPr>
            <w:tcW w:type="pct" w:w="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57.59 ± 9.77</w:t>
            </w:r>
          </w:p>
        </w:tc>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57.52 ± 9.78</w:t>
            </w:r>
          </w:p>
        </w:tc>
      </w:tr>
      <w:tr>
        <w:trPr>
          <w:cantSplit/>
        </w:trPr>
        <w:tc>
          <w:tcPr>
            <w:tcW w:type="pct" w:w="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0</w:t>
            </w:r>
          </w:p>
        </w:tc>
        <w:tc>
          <w:tcPr>
            <w:tcW w:type="pct" w:w="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46.45 ± 2.62</w:t>
            </w:r>
          </w:p>
        </w:tc>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47.07 ± 1.94</w:t>
            </w:r>
          </w:p>
        </w:tc>
      </w:tr>
      <w:tr>
        <w:trPr>
          <w:cantSplit/>
        </w:trPr>
        <w:tc>
          <w:tcPr>
            <w:tcW w:type="pct" w:w="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5</w:t>
            </w:r>
          </w:p>
        </w:tc>
        <w:tc>
          <w:tcPr>
            <w:tcW w:type="pct" w:w="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26.25 ± 2.92</w:t>
            </w:r>
          </w:p>
        </w:tc>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26.55 ± 2.97</w:t>
            </w:r>
          </w:p>
        </w:tc>
      </w:tr>
      <w:tr>
        <w:trPr>
          <w:cantSplit/>
        </w:trPr>
        <w:tc>
          <w:tcPr>
            <w:tcW w:type="pct" w:w="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10</w:t>
            </w:r>
          </w:p>
        </w:tc>
        <w:tc>
          <w:tcPr>
            <w:tcW w:type="pct" w:w="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22.09 ± 0.85</w:t>
            </w:r>
          </w:p>
        </w:tc>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22.50 ± 0.60</w:t>
            </w:r>
          </w:p>
        </w:tc>
      </w:tr>
      <w:tr>
        <w:trPr>
          <w:cantSplit/>
        </w:trPr>
        <w:tc>
          <w:tcPr>
            <w:tcW w:type="pct" w:w="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15</w:t>
            </w:r>
          </w:p>
        </w:tc>
        <w:tc>
          <w:tcPr>
            <w:tcW w:type="pct" w:w="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21.87 ± 1.03</w:t>
            </w:r>
          </w:p>
        </w:tc>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22.25 ± 0.94</w:t>
            </w:r>
          </w:p>
        </w:tc>
      </w:tr>
      <w:tr>
        <w:trPr>
          <w:cantSplit/>
        </w:trPr>
        <w:tc>
          <w:tcPr>
            <w:tcW w:type="pct" w:w="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20</w:t>
            </w:r>
          </w:p>
        </w:tc>
        <w:tc>
          <w:tcPr>
            <w:tcW w:type="pct" w:w="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22.41 ± 1.16</w:t>
            </w:r>
          </w:p>
        </w:tc>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22.71 ± 1.44</w:t>
            </w:r>
          </w:p>
        </w:tc>
      </w:tr>
      <w:tr>
        <w:trPr>
          <w:cantSplit/>
        </w:trPr>
        <w:tc>
          <w:tcPr>
            <w:tcW w:type="pct" w:w="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25</w:t>
            </w:r>
          </w:p>
        </w:tc>
        <w:tc>
          <w:tcPr>
            <w:tcW w:type="pct" w:w="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22.83 ± 1.52</w:t>
            </w:r>
          </w:p>
        </w:tc>
        <w:tc>
          <w:tcPr>
            <w:tcW w:type="pct" w:w="3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22.66 ± 1.29</w:t>
            </w:r>
          </w:p>
        </w:tc>
      </w:tr>
      <w:tr>
        <w:trPr>
          <w:cantSplit/>
        </w:trPr>
        <w:tc>
          <w:tcPr>
            <w:tcW w:type="pct" w:w="33%"/>
            <w:tcBorders>
              <w:top w:val="none" w:color="FFFFFF" w:sz="0"/>
              <w:left w:val="none" w:color="FFFFFF" w:sz="0"/>
              <w:bottom w:val="single" w:color="000000" w:sz="4"/>
              <w:right w:val="none" w:color="FFFFFF" w:sz="0"/>
            </w:tcBorders>
            <w:tcMar>
              <w:top w:type="dxa" w:w="40"/>
              <w:left w:type="dxa" w:w="80"/>
              <w:bottom w:type="dxa" w:w="40"/>
              <w:right w:type="dxa" w:w="80"/>
            </w:tcMar>
          </w:tcPr>
          <w:p>
            <w:pPr>
              <w:spacing w:after="20" w:before="20" w:line="300"/>
              <w:jc w:val="center"/>
            </w:pPr>
            <w:r>
              <w:rPr>
                <w:rFonts w:ascii="Times New Roman"/>
                <w:color w:val="000000"/>
                <w:sz w:val="16"/>
                <w:szCs w:val="16"/>
              </w:rPr>
              <w:t xml:space="preserve">30</w:t>
            </w:r>
          </w:p>
        </w:tc>
        <w:tc>
          <w:tcPr>
            <w:tcW w:type="pct" w:w="33%"/>
            <w:tcBorders>
              <w:top w:val="none" w:color="FFFFFF" w:sz="0"/>
              <w:left w:val="none" w:color="FFFFFF" w:sz="0"/>
              <w:bottom w:val="single" w:color="000000" w:sz="4"/>
              <w:right w:val="none" w:color="FFFFFF" w:sz="0"/>
            </w:tcBorders>
            <w:tcMar>
              <w:top w:type="dxa" w:w="40"/>
              <w:left w:type="dxa" w:w="80"/>
              <w:bottom w:type="dxa" w:w="40"/>
              <w:right w:type="dxa" w:w="80"/>
            </w:tcMar>
          </w:tcPr>
          <w:p>
            <w:pPr>
              <w:spacing w:after="20" w:before="20" w:line="300"/>
              <w:jc w:val="center"/>
            </w:pPr>
            <w:r>
              <w:rPr>
                <w:rFonts w:ascii="Times New Roman"/>
                <w:color w:val="000000"/>
                <w:sz w:val="16"/>
                <w:szCs w:val="16"/>
              </w:rPr>
              <w:t xml:space="preserve">23.04 ± 1.51</w:t>
            </w:r>
          </w:p>
        </w:tc>
        <w:tc>
          <w:tcPr>
            <w:tcW w:type="pct" w:w="34%"/>
            <w:tcBorders>
              <w:top w:val="none" w:color="FFFFFF" w:sz="0"/>
              <w:left w:val="none" w:color="FFFFFF" w:sz="0"/>
              <w:bottom w:val="single" w:color="000000" w:sz="4"/>
              <w:right w:val="none" w:color="FFFFFF" w:sz="0"/>
            </w:tcBorders>
            <w:tcMar>
              <w:top w:type="dxa" w:w="40"/>
              <w:left w:type="dxa" w:w="80"/>
              <w:bottom w:type="dxa" w:w="40"/>
              <w:right w:type="dxa" w:w="80"/>
            </w:tcMar>
          </w:tcPr>
          <w:p>
            <w:pPr>
              <w:spacing w:after="20" w:before="20" w:line="300"/>
              <w:jc w:val="center"/>
            </w:pPr>
            <w:r>
              <w:rPr>
                <w:rFonts w:ascii="Times New Roman"/>
                <w:color w:val="000000"/>
                <w:sz w:val="16"/>
                <w:szCs w:val="16"/>
              </w:rPr>
              <w:t xml:space="preserve">22.69 ± 1.39</w:t>
            </w:r>
          </w:p>
        </w:tc>
      </w:tr>
    </w:tbl>
    <w:p>
      <w:pPr>
        <w:pStyle w:val="Heading2"/>
        <w:spacing w:after="80" w:before="180" w:line="240"/>
      </w:pPr>
      <w:r>
        <w:rPr>
          <w:rFonts w:ascii="Times New Roman"/>
          <w:b/>
          <w:bCs/>
          <w:color w:val="000000"/>
          <w:sz w:val="20"/>
          <w:szCs w:val="20"/>
        </w:rPr>
        <w:t xml:space="preserve">7.7 Cross-Architecture Transferability Analysis</w:t>
      </w:r>
    </w:p>
    <w:p>
      <w:pPr>
        <w:spacing w:after="60" w:line="240"/>
        <w:ind w:firstLine="0"/>
        <w:jc w:val="both"/>
      </w:pPr>
      <w:r>
        <w:rPr>
          <w:rFonts w:ascii="Times New Roman"/>
          <w:color w:val="000000"/>
          <w:sz w:val="20"/>
          <w:szCs w:val="20"/>
        </w:rPr>
        <w:t xml:space="preserve">To evaluate whether adversarial examples transfer across architectural variants, we construct a 3×3 transfer matrix. Table VII presents the results. Three key findings emerge. First, attacks transfer heavily to the IF-Only model (68–70% ASR) regardless of source architecture. Second, attacks crafted on IF-Only fail to transfer to Mag-Only or Dual-Stream (12–13% ASR). Third, the Dual-Stream model achieves the lowest cross-architecture ASR (14–17%) when attacked from single-stream sources, demonstrating that the dual-stream fusion creates a representation that is inherently more resistant to transfer attacks.</w:t>
      </w:r>
    </w:p>
    <w:p>
      <w:pPr>
        <w:keepNext/>
        <w:spacing w:after="60" w:before="120" w:line="240"/>
        <w:jc w:val="center"/>
      </w:pPr>
      <w:r>
        <w:rPr>
          <w:rFonts w:ascii="Times New Roman"/>
          <w:b/>
          <w:bCs/>
          <w:color w:val="000000"/>
          <w:sz w:val="16"/>
          <w:szCs w:val="16"/>
        </w:rPr>
        <w:t xml:space="preserve">Table VII: Cross-Architecture Transfer ASR (%) at ε=0.03 (FGSM, 3-Seed Mean ± Std)</w:t>
      </w:r>
    </w:p>
    <w:tbl>
      <w:tblPr>
        <w:tblW w:type="pct" w:w="100%"/>
        <w:jc w:val="center"/>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gridCol w:w="100"/>
      </w:tblGrid>
      <w:tr>
        <w:trPr>
          <w:cantSplit/>
          <w:tblHeader/>
        </w:trPr>
        <w:tc>
          <w:tcPr>
            <w:tcW w:type="pct" w:w="30%"/>
            <w:tcBorders>
              <w:top w:val="none" w:color="FFFFFF" w:sz="0"/>
              <w:left w:val="none" w:color="FFFFFF" w:sz="0"/>
              <w:bottom w:val="single" w:color="000000" w:sz="2"/>
              <w:right w:val="none" w:color="FFFFFF" w:sz="0"/>
            </w:tcBorders>
            <w:tcMar>
              <w:top w:type="dxa" w:w="40"/>
              <w:left w:type="dxa" w:w="80"/>
              <w:bottom w:type="dxa" w:w="40"/>
              <w:right w:type="dxa" w:w="80"/>
            </w:tcMar>
          </w:tcPr>
          <w:p>
            <w:pPr>
              <w:spacing w:after="10" w:before="10" w:line="240"/>
              <w:jc w:val="center"/>
            </w:pPr>
            <w:r>
              <w:rPr>
                <w:rFonts w:ascii="Times New Roman"/>
                <w:b/>
                <w:bCs/>
                <w:color w:val="000000"/>
                <w:sz w:val="16"/>
                <w:szCs w:val="16"/>
              </w:rPr>
              <w:t xml:space="preserve">Source ↓ / Target →</w:t>
            </w:r>
          </w:p>
        </w:tc>
        <w:tc>
          <w:tcPr>
            <w:tcW w:type="pct" w:w="23%"/>
            <w:tcBorders>
              <w:top w:val="none" w:color="FFFFFF" w:sz="0"/>
              <w:left w:val="none" w:color="FFFFFF" w:sz="0"/>
              <w:bottom w:val="single" w:color="000000" w:sz="2"/>
              <w:right w:val="none" w:color="FFFFFF" w:sz="0"/>
            </w:tcBorders>
            <w:tcMar>
              <w:top w:type="dxa" w:w="40"/>
              <w:left w:type="dxa" w:w="80"/>
              <w:bottom w:type="dxa" w:w="40"/>
              <w:right w:type="dxa" w:w="80"/>
            </w:tcMar>
          </w:tcPr>
          <w:p>
            <w:pPr>
              <w:spacing w:after="10" w:before="10" w:line="240"/>
              <w:jc w:val="center"/>
            </w:pPr>
            <w:r>
              <w:rPr>
                <w:rFonts w:ascii="Times New Roman"/>
                <w:b/>
                <w:bCs/>
                <w:color w:val="000000"/>
                <w:sz w:val="16"/>
                <w:szCs w:val="16"/>
              </w:rPr>
              <w:t xml:space="preserve">Mag-Only</w:t>
            </w:r>
          </w:p>
        </w:tc>
        <w:tc>
          <w:tcPr>
            <w:tcW w:type="pct" w:w="23%"/>
            <w:tcBorders>
              <w:top w:val="none" w:color="FFFFFF" w:sz="0"/>
              <w:left w:val="none" w:color="FFFFFF" w:sz="0"/>
              <w:bottom w:val="single" w:color="000000" w:sz="2"/>
              <w:right w:val="none" w:color="FFFFFF" w:sz="0"/>
            </w:tcBorders>
            <w:tcMar>
              <w:top w:type="dxa" w:w="40"/>
              <w:left w:type="dxa" w:w="80"/>
              <w:bottom w:type="dxa" w:w="40"/>
              <w:right w:type="dxa" w:w="80"/>
            </w:tcMar>
          </w:tcPr>
          <w:p>
            <w:pPr>
              <w:spacing w:after="10" w:before="10" w:line="240"/>
              <w:jc w:val="center"/>
            </w:pPr>
            <w:r>
              <w:rPr>
                <w:rFonts w:ascii="Times New Roman"/>
                <w:b/>
                <w:bCs/>
                <w:color w:val="000000"/>
                <w:sz w:val="16"/>
                <w:szCs w:val="16"/>
              </w:rPr>
              <w:t xml:space="preserve">IF-Only</w:t>
            </w:r>
          </w:p>
        </w:tc>
        <w:tc>
          <w:tcPr>
            <w:tcW w:type="pct" w:w="24%"/>
            <w:tcBorders>
              <w:top w:val="none" w:color="FFFFFF" w:sz="0"/>
              <w:left w:val="none" w:color="FFFFFF" w:sz="0"/>
              <w:bottom w:val="single" w:color="000000" w:sz="2"/>
              <w:right w:val="none" w:color="FFFFFF" w:sz="0"/>
            </w:tcBorders>
            <w:tcMar>
              <w:top w:type="dxa" w:w="40"/>
              <w:left w:type="dxa" w:w="80"/>
              <w:bottom w:type="dxa" w:w="40"/>
              <w:right w:type="dxa" w:w="80"/>
            </w:tcMar>
          </w:tcPr>
          <w:p>
            <w:pPr>
              <w:spacing w:after="10" w:before="10" w:line="240"/>
              <w:jc w:val="center"/>
            </w:pPr>
            <w:r>
              <w:rPr>
                <w:rFonts w:ascii="Times New Roman"/>
                <w:b/>
                <w:bCs/>
                <w:color w:val="000000"/>
                <w:sz w:val="16"/>
                <w:szCs w:val="16"/>
              </w:rPr>
              <w:t xml:space="preserve">Dual</w:t>
            </w:r>
          </w:p>
        </w:tc>
      </w:tr>
      <w:tr>
        <w:trPr>
          <w:cantSplit/>
        </w:trPr>
        <w:tc>
          <w:tcPr>
            <w:tcW w:type="pct" w:w="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Mag-Only</w:t>
            </w:r>
          </w:p>
        </w:tc>
        <w:tc>
          <w:tcPr>
            <w:tcW w:type="pct" w:w="2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25.21 ± 1.39</w:t>
            </w:r>
          </w:p>
        </w:tc>
        <w:tc>
          <w:tcPr>
            <w:tcW w:type="pct" w:w="2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68.17 ± 0.88</w:t>
            </w:r>
          </w:p>
        </w:tc>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17.33 ± 2.14</w:t>
            </w:r>
          </w:p>
        </w:tc>
      </w:tr>
      <w:tr>
        <w:trPr>
          <w:cantSplit/>
        </w:trPr>
        <w:tc>
          <w:tcPr>
            <w:tcW w:type="pct" w:w="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IF-Only</w:t>
            </w:r>
          </w:p>
        </w:tc>
        <w:tc>
          <w:tcPr>
            <w:tcW w:type="pct" w:w="2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12.83 ± 0.41</w:t>
            </w:r>
          </w:p>
        </w:tc>
        <w:tc>
          <w:tcPr>
            <w:tcW w:type="pct" w:w="2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91.46 ± 1.49</w:t>
            </w:r>
          </w:p>
        </w:tc>
        <w:tc>
          <w:tcPr>
            <w:tcW w:type="pct" w:w="2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13.62 ± 0.27</w:t>
            </w:r>
          </w:p>
        </w:tc>
      </w:tr>
      <w:tr>
        <w:trPr>
          <w:cantSplit/>
        </w:trPr>
        <w:tc>
          <w:tcPr>
            <w:tcW w:type="pct" w:w="3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after="20" w:before="20" w:line="300"/>
              <w:jc w:val="center"/>
            </w:pPr>
            <w:r>
              <w:rPr>
                <w:rFonts w:ascii="Times New Roman"/>
                <w:color w:val="000000"/>
                <w:sz w:val="16"/>
                <w:szCs w:val="16"/>
              </w:rPr>
              <w:t xml:space="preserve">Dual-Stream</w:t>
            </w:r>
          </w:p>
        </w:tc>
        <w:tc>
          <w:tcPr>
            <w:tcW w:type="pct" w:w="23%"/>
            <w:tcBorders>
              <w:top w:val="none" w:color="FFFFFF" w:sz="0"/>
              <w:left w:val="none" w:color="FFFFFF" w:sz="0"/>
              <w:bottom w:val="single" w:color="000000" w:sz="4"/>
              <w:right w:val="none" w:color="FFFFFF" w:sz="0"/>
            </w:tcBorders>
            <w:tcMar>
              <w:top w:type="dxa" w:w="40"/>
              <w:left w:type="dxa" w:w="80"/>
              <w:bottom w:type="dxa" w:w="40"/>
              <w:right w:type="dxa" w:w="80"/>
            </w:tcMar>
          </w:tcPr>
          <w:p>
            <w:pPr>
              <w:spacing w:after="20" w:before="20" w:line="300"/>
              <w:jc w:val="center"/>
            </w:pPr>
            <w:r>
              <w:rPr>
                <w:rFonts w:ascii="Times New Roman"/>
                <w:color w:val="000000"/>
                <w:sz w:val="16"/>
                <w:szCs w:val="16"/>
              </w:rPr>
              <w:t xml:space="preserve">18.62 ± 0.54</w:t>
            </w:r>
          </w:p>
        </w:tc>
        <w:tc>
          <w:tcPr>
            <w:tcW w:type="pct" w:w="23%"/>
            <w:tcBorders>
              <w:top w:val="none" w:color="FFFFFF" w:sz="0"/>
              <w:left w:val="none" w:color="FFFFFF" w:sz="0"/>
              <w:bottom w:val="single" w:color="000000" w:sz="4"/>
              <w:right w:val="none" w:color="FFFFFF" w:sz="0"/>
            </w:tcBorders>
            <w:tcMar>
              <w:top w:type="dxa" w:w="40"/>
              <w:left w:type="dxa" w:w="80"/>
              <w:bottom w:type="dxa" w:w="40"/>
              <w:right w:type="dxa" w:w="80"/>
            </w:tcMar>
          </w:tcPr>
          <w:p>
            <w:pPr>
              <w:spacing w:after="20" w:before="20" w:line="300"/>
              <w:jc w:val="center"/>
            </w:pPr>
            <w:r>
              <w:rPr>
                <w:rFonts w:ascii="Times New Roman"/>
                <w:color w:val="000000"/>
                <w:sz w:val="16"/>
                <w:szCs w:val="16"/>
              </w:rPr>
              <w:t xml:space="preserve">70.25 ± 0.89</w:t>
            </w:r>
          </w:p>
        </w:tc>
        <w:tc>
          <w:tcPr>
            <w:tcW w:type="pct" w:w="24%"/>
            <w:tcBorders>
              <w:top w:val="none" w:color="FFFFFF" w:sz="0"/>
              <w:left w:val="none" w:color="FFFFFF" w:sz="0"/>
              <w:bottom w:val="single" w:color="000000" w:sz="4"/>
              <w:right w:val="none" w:color="FFFFFF" w:sz="0"/>
            </w:tcBorders>
            <w:tcMar>
              <w:top w:type="dxa" w:w="40"/>
              <w:left w:type="dxa" w:w="80"/>
              <w:bottom w:type="dxa" w:w="40"/>
              <w:right w:type="dxa" w:w="80"/>
            </w:tcMar>
          </w:tcPr>
          <w:p>
            <w:pPr>
              <w:spacing w:after="20" w:before="20" w:line="300"/>
              <w:jc w:val="center"/>
            </w:pPr>
            <w:r>
              <w:rPr>
                <w:rFonts w:ascii="Times New Roman"/>
                <w:color w:val="000000"/>
                <w:sz w:val="16"/>
                <w:szCs w:val="16"/>
              </w:rPr>
              <w:t xml:space="preserve">23.33 ± 1.30</w:t>
            </w:r>
          </w:p>
        </w:tc>
      </w:tr>
    </w:tbl>
    <w:p>
      <w:pPr>
        <w:spacing w:after="40" w:before="120"/>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143000" cy="1143000"/>
                    </a:xfrm>
                    <a:prstGeom prst="rect">
                      <a:avLst/>
                    </a:prstGeom>
                  </pic:spPr>
                </pic:pic>
              </a:graphicData>
            </a:graphic>
          </wp:inline>
        </w:drawing>
      </w:r>
    </w:p>
    <w:p>
      <w:pPr>
        <w:spacing w:after="120" w:line="240"/>
        <w:jc w:val="center"/>
      </w:pPr>
      <w:r>
        <w:rPr>
          <w:rFonts w:ascii="Times New Roman"/>
          <w:i/>
          <w:iCs/>
          <w:color w:val="000000"/>
          <w:sz w:val="16"/>
          <w:szCs w:val="16"/>
        </w:rPr>
        <w:t xml:space="preserve">(a) FGSM, ε=0.01</w:t>
      </w:r>
    </w:p>
    <w:p>
      <w:pPr>
        <w:spacing w:after="40" w:before="120"/>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143000" cy="1143000"/>
                    </a:xfrm>
                    <a:prstGeom prst="rect">
                      <a:avLst/>
                    </a:prstGeom>
                  </pic:spPr>
                </pic:pic>
              </a:graphicData>
            </a:graphic>
          </wp:inline>
        </w:drawing>
      </w:r>
    </w:p>
    <w:p>
      <w:pPr>
        <w:spacing w:after="120" w:line="240"/>
        <w:jc w:val="center"/>
      </w:pPr>
      <w:r>
        <w:rPr>
          <w:rFonts w:ascii="Times New Roman"/>
          <w:i/>
          <w:iCs/>
          <w:color w:val="000000"/>
          <w:sz w:val="16"/>
          <w:szCs w:val="16"/>
        </w:rPr>
        <w:t xml:space="preserve">(b) FGSM, ε=0.03</w:t>
      </w:r>
    </w:p>
    <w:p>
      <w:pPr>
        <w:spacing w:after="40" w:before="120"/>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143000" cy="1143000"/>
                    </a:xfrm>
                    <a:prstGeom prst="rect">
                      <a:avLst/>
                    </a:prstGeom>
                  </pic:spPr>
                </pic:pic>
              </a:graphicData>
            </a:graphic>
          </wp:inline>
        </w:drawing>
      </w:r>
    </w:p>
    <w:p>
      <w:pPr>
        <w:spacing w:after="120" w:line="240"/>
        <w:jc w:val="center"/>
      </w:pPr>
      <w:r>
        <w:rPr>
          <w:rFonts w:ascii="Times New Roman"/>
          <w:i/>
          <w:iCs/>
          <w:color w:val="000000"/>
          <w:sz w:val="16"/>
          <w:szCs w:val="16"/>
        </w:rPr>
        <w:t xml:space="preserve">(c) FGSM, ε=0.05</w:t>
      </w:r>
    </w:p>
    <w:p>
      <w:pPr>
        <w:spacing w:after="40" w:before="120"/>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143000" cy="1143000"/>
                    </a:xfrm>
                    <a:prstGeom prst="rect">
                      <a:avLst/>
                    </a:prstGeom>
                  </pic:spPr>
                </pic:pic>
              </a:graphicData>
            </a:graphic>
          </wp:inline>
        </w:drawing>
      </w:r>
    </w:p>
    <w:p>
      <w:pPr>
        <w:spacing w:after="120" w:line="240"/>
        <w:jc w:val="center"/>
      </w:pPr>
      <w:r>
        <w:rPr>
          <w:rFonts w:ascii="Times New Roman"/>
          <w:i/>
          <w:iCs/>
          <w:color w:val="000000"/>
          <w:sz w:val="16"/>
          <w:szCs w:val="16"/>
        </w:rPr>
        <w:t xml:space="preserve">(d) PGD-20, ε=0.01</w:t>
      </w:r>
    </w:p>
    <w:p>
      <w:pPr>
        <w:spacing w:after="40" w:before="120"/>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143000" cy="1143000"/>
                    </a:xfrm>
                    <a:prstGeom prst="rect">
                      <a:avLst/>
                    </a:prstGeom>
                  </pic:spPr>
                </pic:pic>
              </a:graphicData>
            </a:graphic>
          </wp:inline>
        </w:drawing>
      </w:r>
    </w:p>
    <w:p>
      <w:pPr>
        <w:spacing w:after="120" w:line="240"/>
        <w:jc w:val="center"/>
      </w:pPr>
      <w:r>
        <w:rPr>
          <w:rFonts w:ascii="Times New Roman"/>
          <w:i/>
          <w:iCs/>
          <w:color w:val="000000"/>
          <w:sz w:val="16"/>
          <w:szCs w:val="16"/>
        </w:rPr>
        <w:t xml:space="preserve">(e) PGD-20, ε=0.03</w:t>
      </w:r>
    </w:p>
    <w:p>
      <w:pPr>
        <w:spacing w:after="40" w:before="120"/>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143000" cy="1143000"/>
                    </a:xfrm>
                    <a:prstGeom prst="rect">
                      <a:avLst/>
                    </a:prstGeom>
                  </pic:spPr>
                </pic:pic>
              </a:graphicData>
            </a:graphic>
          </wp:inline>
        </w:drawing>
      </w:r>
    </w:p>
    <w:p>
      <w:pPr>
        <w:spacing w:after="120" w:line="240"/>
        <w:jc w:val="center"/>
      </w:pPr>
      <w:r>
        <w:rPr>
          <w:rFonts w:ascii="Times New Roman"/>
          <w:i/>
          <w:iCs/>
          <w:color w:val="000000"/>
          <w:sz w:val="16"/>
          <w:szCs w:val="16"/>
        </w:rPr>
        <w:t xml:space="preserve">(f) PGD-20, ε=0.05</w:t>
      </w:r>
    </w:p>
    <w:p>
      <w:pPr>
        <w:spacing w:after="120" w:line="240"/>
        <w:jc w:val="center"/>
      </w:pPr>
      <w:r>
        <w:rPr>
          <w:rFonts w:ascii="Times New Roman"/>
          <w:i/>
          <w:iCs/>
          <w:color w:val="000000"/>
          <w:sz w:val="20"/>
          <w:szCs w:val="20"/>
        </w:rPr>
        <w:t xml:space="preserve">Figure 1: Cross-architecture adversarial transfer ASR (%) heatmaps for FGSM (top row) and PGD-20 (bottom row) at three perturbation budgets.</w:t>
      </w:r>
    </w:p>
    <w:p>
      <w:pPr>
        <w:spacing w:after="40" w:before="120"/>
        <w:jc w:val="center"/>
      </w:pPr>
      <w:r>
        <w:drawing>
          <wp:inline distT="0" distB="0" distL="0" distR="0">
            <wp:extent cx="2381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381250" cy="1238250"/>
                    </a:xfrm>
                    <a:prstGeom prst="rect">
                      <a:avLst/>
                    </a:prstGeom>
                  </pic:spPr>
                </pic:pic>
              </a:graphicData>
            </a:graphic>
          </wp:inline>
        </w:drawing>
      </w:r>
    </w:p>
    <w:p>
      <w:pPr>
        <w:spacing w:after="120" w:line="240"/>
        <w:jc w:val="center"/>
      </w:pPr>
      <w:r>
        <w:rPr>
          <w:rFonts w:ascii="Times New Roman"/>
          <w:i/>
          <w:iCs/>
          <w:color w:val="000000"/>
          <w:sz w:val="16"/>
          <w:szCs w:val="16"/>
        </w:rPr>
        <w:t xml:space="preserve">Figure 2: Transfer ratio by source-target pair, attack type, and perturbation budget.</w:t>
      </w:r>
    </w:p>
    <w:p>
      <w:pPr>
        <w:spacing w:after="60" w:line="240"/>
        <w:ind w:firstLine="0"/>
        <w:jc w:val="both"/>
      </w:pPr>
      <w:r>
        <w:rPr>
          <w:rFonts w:ascii="Times New Roman"/>
          <w:color w:val="000000"/>
          <w:sz w:val="20"/>
          <w:szCs w:val="20"/>
        </w:rPr>
        <w:t xml:space="preserve">The average transfer ratio of approximately 71% indicates that adversarial examples transfer moderately well in this domain, though with significant asymmetry: attacks originating from Mag-Only and Dual-Stream sources transfer at 60–75% efficiency, while IF-Only-sourced attacks show extreme asymmetry. This asymmetry has practical implications for threat modeling: a black-box adversary who trains a substitute model will achieve substantially different attack effectiveness depending on the architectural similarity between the substitute and the target.</w:t>
      </w:r>
    </w:p>
    <w:p>
      <w:pPr>
        <w:pStyle w:val="Heading2"/>
        <w:spacing w:after="80" w:before="180" w:line="240"/>
      </w:pPr>
      <w:r>
        <w:rPr>
          <w:rFonts w:ascii="Times New Roman"/>
          <w:b/>
          <w:bCs/>
          <w:color w:val="000000"/>
          <w:sz w:val="20"/>
          <w:szCs w:val="20"/>
        </w:rPr>
        <w:t xml:space="preserve">7.8 Inference Latency and Practical Deployability</w:t>
      </w:r>
    </w:p>
    <w:p>
      <w:pPr>
        <w:spacing w:after="60" w:line="240"/>
        <w:ind w:firstLine="0"/>
        <w:jc w:val="both"/>
      </w:pPr>
      <w:r>
        <w:rPr>
          <w:rFonts w:ascii="Times New Roman"/>
          <w:color w:val="000000"/>
          <w:sz w:val="20"/>
          <w:szCs w:val="20"/>
        </w:rPr>
        <w:t xml:space="preserve">Table VIII presents the inference latency analysis. Our model achieves 1.43 ms average inference latency on an NVIDIA GPU, well within the V2X requirement of 10 ms for on-board unit (OBU) processing. Randomized Smoothing, while providing certified robustness guarantees, would require N=50–100 forward passes per sample, resulting in 71–143 ms latency, exceeding the V2X requirement by 7–14×.</w:t>
      </w:r>
    </w:p>
    <w:p>
      <w:pPr>
        <w:keepNext/>
        <w:spacing w:after="60" w:before="120" w:line="240"/>
        <w:jc w:val="center"/>
      </w:pPr>
      <w:r>
        <w:rPr>
          <w:rFonts w:ascii="Times New Roman"/>
          <w:b/>
          <w:bCs/>
          <w:color w:val="000000"/>
          <w:sz w:val="16"/>
          <w:szCs w:val="16"/>
        </w:rPr>
        <w:t xml:space="preserve">Table VIII: Inference Latency Comparison</w:t>
      </w:r>
    </w:p>
    <w:tbl>
      <w:tblPr>
        <w:tblW w:type="pct" w:w="100%"/>
        <w:jc w:val="center"/>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tblGrid>
      <w:tr>
        <w:trPr>
          <w:cantSplit/>
          <w:tblHeader/>
        </w:trPr>
        <w:tc>
          <w:tcPr>
            <w:tcW w:type="pct" w:w="50%"/>
            <w:tcBorders>
              <w:top w:val="none" w:color="FFFFFF" w:sz="0"/>
              <w:left w:val="none" w:color="FFFFFF" w:sz="0"/>
              <w:bottom w:val="single" w:color="000000" w:sz="2"/>
              <w:right w:val="none" w:color="FFFFFF" w:sz="0"/>
            </w:tcBorders>
            <w:tcMar>
              <w:top w:type="dxa" w:w="40"/>
              <w:left w:type="dxa" w:w="80"/>
              <w:bottom w:type="dxa" w:w="40"/>
              <w:right w:type="dxa" w:w="80"/>
            </w:tcMar>
          </w:tcPr>
          <w:p>
            <w:pPr>
              <w:spacing w:after="10" w:before="10" w:line="240"/>
              <w:jc w:val="center"/>
            </w:pPr>
            <w:r>
              <w:rPr>
                <w:rFonts w:ascii="Times New Roman"/>
                <w:b/>
                <w:bCs/>
                <w:color w:val="000000"/>
                <w:sz w:val="16"/>
                <w:szCs w:val="16"/>
              </w:rPr>
              <w:t xml:space="preserve">Method</w:t>
            </w:r>
          </w:p>
        </w:tc>
        <w:tc>
          <w:tcPr>
            <w:tcW w:type="pct" w:w="50%"/>
            <w:tcBorders>
              <w:top w:val="none" w:color="FFFFFF" w:sz="0"/>
              <w:left w:val="none" w:color="FFFFFF" w:sz="0"/>
              <w:bottom w:val="single" w:color="000000" w:sz="2"/>
              <w:right w:val="none" w:color="FFFFFF" w:sz="0"/>
            </w:tcBorders>
            <w:tcMar>
              <w:top w:type="dxa" w:w="40"/>
              <w:left w:type="dxa" w:w="80"/>
              <w:bottom w:type="dxa" w:w="40"/>
              <w:right w:type="dxa" w:w="80"/>
            </w:tcMar>
          </w:tcPr>
          <w:p>
            <w:pPr>
              <w:spacing w:after="10" w:before="10" w:line="240"/>
              <w:jc w:val="center"/>
            </w:pPr>
            <w:r>
              <w:rPr>
                <w:rFonts w:ascii="Times New Roman"/>
                <w:b/>
                <w:bCs/>
                <w:color w:val="000000"/>
                <w:sz w:val="16"/>
                <w:szCs w:val="16"/>
              </w:rPr>
              <w:t xml:space="preserve">Latency (ms)</w:t>
            </w:r>
          </w:p>
        </w:tc>
      </w:tr>
      <w:tr>
        <w:trPr>
          <w:cantSplit/>
        </w:trPr>
        <w:tc>
          <w:tcPr>
            <w:tcW w:type="pct" w:w="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Our Model (single pass)</w:t>
            </w:r>
          </w:p>
        </w:tc>
        <w:tc>
          <w:tcPr>
            <w:tcW w:type="pct" w:w="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1.43</w:t>
            </w:r>
          </w:p>
        </w:tc>
      </w:tr>
      <w:tr>
        <w:trPr>
          <w:cantSplit/>
        </w:trPr>
        <w:tc>
          <w:tcPr>
            <w:tcW w:type="pct" w:w="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Randomized Smoothing (N=10)</w:t>
            </w:r>
          </w:p>
        </w:tc>
        <w:tc>
          <w:tcPr>
            <w:tcW w:type="pct" w:w="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14.3</w:t>
            </w:r>
          </w:p>
        </w:tc>
      </w:tr>
      <w:tr>
        <w:trPr>
          <w:cantSplit/>
        </w:trPr>
        <w:tc>
          <w:tcPr>
            <w:tcW w:type="pct" w:w="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Randomized Smoothing (N=50)</w:t>
            </w:r>
          </w:p>
        </w:tc>
        <w:tc>
          <w:tcPr>
            <w:tcW w:type="pct" w:w="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71.5</w:t>
            </w:r>
          </w:p>
        </w:tc>
      </w:tr>
      <w:tr>
        <w:trPr>
          <w:cantSplit/>
        </w:trPr>
        <w:tc>
          <w:tcPr>
            <w:tcW w:type="pct" w:w="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Randomized Smoothing (N=100)</w:t>
            </w:r>
          </w:p>
        </w:tc>
        <w:tc>
          <w:tcPr>
            <w:tcW w:type="pct" w:w="5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143.0</w:t>
            </w:r>
          </w:p>
        </w:tc>
      </w:tr>
      <w:tr>
        <w:trPr>
          <w:cantSplit/>
        </w:trPr>
        <w:tc>
          <w:tcPr>
            <w:tcW w:type="pct" w:w="5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after="20" w:before="20" w:line="300"/>
              <w:jc w:val="center"/>
            </w:pPr>
            <w:r>
              <w:rPr>
                <w:rFonts w:ascii="Times New Roman"/>
                <w:color w:val="000000"/>
                <w:sz w:val="16"/>
                <w:szCs w:val="16"/>
              </w:rPr>
              <w:t xml:space="preserve">V2X Requirement</w:t>
            </w:r>
          </w:p>
        </w:tc>
        <w:tc>
          <w:tcPr>
            <w:tcW w:type="pct" w:w="50%"/>
            <w:tcBorders>
              <w:top w:val="none" w:color="FFFFFF" w:sz="0"/>
              <w:left w:val="none" w:color="FFFFFF" w:sz="0"/>
              <w:bottom w:val="single" w:color="000000" w:sz="4"/>
              <w:right w:val="none" w:color="FFFFFF" w:sz="0"/>
            </w:tcBorders>
            <w:tcMar>
              <w:top w:type="dxa" w:w="40"/>
              <w:left w:type="dxa" w:w="80"/>
              <w:bottom w:type="dxa" w:w="40"/>
              <w:right w:type="dxa" w:w="80"/>
            </w:tcMar>
          </w:tcPr>
          <w:p>
            <w:pPr>
              <w:spacing w:after="20" w:before="20" w:line="300"/>
              <w:jc w:val="center"/>
            </w:pPr>
            <w:r>
              <w:rPr>
                <w:rFonts w:ascii="Times New Roman"/>
                <w:color w:val="000000"/>
                <w:sz w:val="16"/>
                <w:szCs w:val="16"/>
              </w:rPr>
              <w:t xml:space="preserve">&lt;10.0</w:t>
            </w:r>
          </w:p>
        </w:tc>
      </w:tr>
    </w:tbl>
    <w:p>
      <w:pPr>
        <w:pStyle w:val="Heading2"/>
        <w:spacing w:after="80" w:before="180" w:line="240"/>
      </w:pPr>
      <w:r>
        <w:rPr>
          <w:rFonts w:ascii="Times New Roman"/>
          <w:b/>
          <w:bCs/>
          <w:color w:val="000000"/>
          <w:sz w:val="20"/>
          <w:szCs w:val="20"/>
        </w:rPr>
        <w:t xml:space="preserve">7.9 Scenario-Stratified Adversarial Robustness</w:t>
      </w:r>
    </w:p>
    <w:p>
      <w:pPr>
        <w:spacing w:after="60" w:line="240"/>
        <w:ind w:firstLine="0"/>
        <w:jc w:val="both"/>
      </w:pPr>
      <w:r>
        <w:rPr>
          <w:rFonts w:ascii="Times New Roman"/>
          <w:color w:val="000000"/>
          <w:sz w:val="20"/>
          <w:szCs w:val="20"/>
        </w:rPr>
        <w:t xml:space="preserve">Table IX presents classification accuracy and adversarial attack success rates under three mobility scenarios. The highway scenario (120 km/h, Rician K=10 dB, 3-path multipath) models high-speed expressway conditions. The urban scenario (50 km/h, Rayleigh, 6-path) represents dense city environments. The rural scenario (30 km/h, Rician K=5 dB, 2-path) captures low-speed conditions with moderate line-of-sight.</w:t>
      </w:r>
    </w:p>
    <w:p>
      <w:pPr>
        <w:keepNext/>
        <w:spacing w:after="60" w:before="120" w:line="240"/>
        <w:jc w:val="center"/>
      </w:pPr>
      <w:r>
        <w:rPr>
          <w:rFonts w:ascii="Times New Roman"/>
          <w:b/>
          <w:bCs/>
          <w:color w:val="000000"/>
          <w:sz w:val="16"/>
          <w:szCs w:val="16"/>
        </w:rPr>
        <w:t xml:space="preserve">Table IX: Scenario-Stratified Accuracy and Adversarial Robustness (3-Seed Mean ± Std)</w:t>
      </w:r>
    </w:p>
    <w:tbl>
      <w:tblPr>
        <w:tblW w:type="pct" w:w="100%"/>
        <w:jc w:val="center"/>
        <w:tblBorders>
          <w:top w:val="single" w:color="000000" w:sz="4"/>
          <w:left w:val="none" w:color="FFFFFF" w:sz="0"/>
          <w:bottom w:val="single" w:color="000000" w:sz="4"/>
          <w:right w:val="none" w:color="FFFFFF" w:sz="0"/>
          <w:insideH w:val="none" w:color="FFFFFF" w:sz="0"/>
          <w:insideV w:val="none" w:color="FFFFFF" w:sz="0"/>
        </w:tblBorders>
      </w:tblPr>
      <w:tblGrid>
        <w:gridCol w:w="100"/>
        <w:gridCol w:w="100"/>
        <w:gridCol w:w="100"/>
        <w:gridCol w:w="100"/>
        <w:gridCol w:w="100"/>
        <w:gridCol w:w="100"/>
      </w:tblGrid>
      <w:tr>
        <w:trPr>
          <w:cantSplit/>
          <w:tblHeader/>
        </w:trPr>
        <w:tc>
          <w:tcPr>
            <w:tcW w:type="pct" w:w="18%"/>
            <w:tcBorders>
              <w:top w:val="none" w:color="FFFFFF" w:sz="0"/>
              <w:left w:val="none" w:color="FFFFFF" w:sz="0"/>
              <w:bottom w:val="single" w:color="000000" w:sz="2"/>
              <w:right w:val="none" w:color="FFFFFF" w:sz="0"/>
            </w:tcBorders>
            <w:tcMar>
              <w:top w:type="dxa" w:w="40"/>
              <w:left w:type="dxa" w:w="80"/>
              <w:bottom w:type="dxa" w:w="40"/>
              <w:right w:type="dxa" w:w="80"/>
            </w:tcMar>
          </w:tcPr>
          <w:p>
            <w:pPr>
              <w:spacing w:after="10" w:before="10" w:line="240"/>
              <w:jc w:val="center"/>
            </w:pPr>
            <w:r>
              <w:rPr>
                <w:rFonts w:ascii="Times New Roman"/>
                <w:b/>
                <w:bCs/>
                <w:color w:val="000000"/>
                <w:sz w:val="16"/>
                <w:szCs w:val="16"/>
              </w:rPr>
              <w:t xml:space="preserve">Scenario</w:t>
            </w:r>
          </w:p>
        </w:tc>
        <w:tc>
          <w:tcPr>
            <w:tcW w:type="pct" w:w="14%"/>
            <w:tcBorders>
              <w:top w:val="none" w:color="FFFFFF" w:sz="0"/>
              <w:left w:val="none" w:color="FFFFFF" w:sz="0"/>
              <w:bottom w:val="single" w:color="000000" w:sz="2"/>
              <w:right w:val="none" w:color="FFFFFF" w:sz="0"/>
            </w:tcBorders>
            <w:tcMar>
              <w:top w:type="dxa" w:w="40"/>
              <w:left w:type="dxa" w:w="80"/>
              <w:bottom w:type="dxa" w:w="40"/>
              <w:right w:type="dxa" w:w="80"/>
            </w:tcMar>
          </w:tcPr>
          <w:p>
            <w:pPr>
              <w:spacing w:after="10" w:before="10" w:line="240"/>
              <w:jc w:val="center"/>
            </w:pPr>
            <w:r>
              <w:rPr>
                <w:rFonts w:ascii="Times New Roman"/>
                <w:b/>
                <w:bCs/>
                <w:color w:val="000000"/>
                <w:sz w:val="16"/>
                <w:szCs w:val="16"/>
              </w:rPr>
              <w:t xml:space="preserve">Acc. (%)</w:t>
            </w:r>
          </w:p>
        </w:tc>
        <w:tc>
          <w:tcPr>
            <w:tcW w:type="pct" w:w="17%"/>
            <w:tcBorders>
              <w:top w:val="none" w:color="FFFFFF" w:sz="0"/>
              <w:left w:val="none" w:color="FFFFFF" w:sz="0"/>
              <w:bottom w:val="single" w:color="000000" w:sz="2"/>
              <w:right w:val="none" w:color="FFFFFF" w:sz="0"/>
            </w:tcBorders>
            <w:tcMar>
              <w:top w:type="dxa" w:w="40"/>
              <w:left w:type="dxa" w:w="80"/>
              <w:bottom w:type="dxa" w:w="40"/>
              <w:right w:type="dxa" w:w="80"/>
            </w:tcMar>
          </w:tcPr>
          <w:p>
            <w:pPr>
              <w:spacing w:after="10" w:before="10" w:line="240"/>
              <w:jc w:val="center"/>
            </w:pPr>
            <w:r>
              <w:rPr>
                <w:rFonts w:ascii="Times New Roman"/>
                <w:b/>
                <w:bCs/>
                <w:color w:val="000000"/>
                <w:sz w:val="16"/>
                <w:szCs w:val="16"/>
              </w:rPr>
              <w:t xml:space="preserve">FGSM ε=0.03</w:t>
            </w:r>
          </w:p>
        </w:tc>
        <w:tc>
          <w:tcPr>
            <w:tcW w:type="pct" w:w="17%"/>
            <w:tcBorders>
              <w:top w:val="none" w:color="FFFFFF" w:sz="0"/>
              <w:left w:val="none" w:color="FFFFFF" w:sz="0"/>
              <w:bottom w:val="single" w:color="000000" w:sz="2"/>
              <w:right w:val="none" w:color="FFFFFF" w:sz="0"/>
            </w:tcBorders>
            <w:tcMar>
              <w:top w:type="dxa" w:w="40"/>
              <w:left w:type="dxa" w:w="80"/>
              <w:bottom w:type="dxa" w:w="40"/>
              <w:right w:type="dxa" w:w="80"/>
            </w:tcMar>
          </w:tcPr>
          <w:p>
            <w:pPr>
              <w:spacing w:after="10" w:before="10" w:line="240"/>
              <w:jc w:val="center"/>
            </w:pPr>
            <w:r>
              <w:rPr>
                <w:rFonts w:ascii="Times New Roman"/>
                <w:b/>
                <w:bCs/>
                <w:color w:val="000000"/>
                <w:sz w:val="16"/>
                <w:szCs w:val="16"/>
              </w:rPr>
              <w:t xml:space="preserve">PGD ε=0.03</w:t>
            </w:r>
          </w:p>
        </w:tc>
        <w:tc>
          <w:tcPr>
            <w:tcW w:type="pct" w:w="17%"/>
            <w:tcBorders>
              <w:top w:val="none" w:color="FFFFFF" w:sz="0"/>
              <w:left w:val="none" w:color="FFFFFF" w:sz="0"/>
              <w:bottom w:val="single" w:color="000000" w:sz="2"/>
              <w:right w:val="none" w:color="FFFFFF" w:sz="0"/>
            </w:tcBorders>
            <w:tcMar>
              <w:top w:type="dxa" w:w="40"/>
              <w:left w:type="dxa" w:w="80"/>
              <w:bottom w:type="dxa" w:w="40"/>
              <w:right w:type="dxa" w:w="80"/>
            </w:tcMar>
          </w:tcPr>
          <w:p>
            <w:pPr>
              <w:spacing w:after="10" w:before="10" w:line="240"/>
              <w:jc w:val="center"/>
            </w:pPr>
            <w:r>
              <w:rPr>
                <w:rFonts w:ascii="Times New Roman"/>
                <w:b/>
                <w:bCs/>
                <w:color w:val="000000"/>
                <w:sz w:val="16"/>
                <w:szCs w:val="16"/>
              </w:rPr>
              <w:t xml:space="preserve">FGSM ε=0.05</w:t>
            </w:r>
          </w:p>
        </w:tc>
        <w:tc>
          <w:tcPr>
            <w:tcW w:type="pct" w:w="17%"/>
            <w:tcBorders>
              <w:top w:val="none" w:color="FFFFFF" w:sz="0"/>
              <w:left w:val="none" w:color="FFFFFF" w:sz="0"/>
              <w:bottom w:val="single" w:color="000000" w:sz="2"/>
              <w:right w:val="none" w:color="FFFFFF" w:sz="0"/>
            </w:tcBorders>
            <w:tcMar>
              <w:top w:type="dxa" w:w="40"/>
              <w:left w:type="dxa" w:w="80"/>
              <w:bottom w:type="dxa" w:w="40"/>
              <w:right w:type="dxa" w:w="80"/>
            </w:tcMar>
          </w:tcPr>
          <w:p>
            <w:pPr>
              <w:spacing w:after="10" w:before="10" w:line="240"/>
              <w:jc w:val="center"/>
            </w:pPr>
            <w:r>
              <w:rPr>
                <w:rFonts w:ascii="Times New Roman"/>
                <w:b/>
                <w:bCs/>
                <w:color w:val="000000"/>
                <w:sz w:val="16"/>
                <w:szCs w:val="16"/>
              </w:rPr>
              <w:t xml:space="preserve">PGD ε=0.05</w:t>
            </w:r>
          </w:p>
        </w:tc>
      </w:tr>
      <w:tr>
        <w:trPr>
          <w:cantSplit/>
        </w:trPr>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Highway (120 km/h)</w:t>
            </w:r>
          </w:p>
        </w:tc>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100.0±0.0</w:t>
            </w:r>
          </w:p>
        </w:tc>
        <w:tc>
          <w:tcPr>
            <w:tcW w:type="pct" w:w="1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0.5±0.5</w:t>
            </w:r>
          </w:p>
        </w:tc>
        <w:tc>
          <w:tcPr>
            <w:tcW w:type="pct" w:w="1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0.5±0.5</w:t>
            </w:r>
          </w:p>
        </w:tc>
        <w:tc>
          <w:tcPr>
            <w:tcW w:type="pct" w:w="1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1.8±0.7</w:t>
            </w:r>
          </w:p>
        </w:tc>
        <w:tc>
          <w:tcPr>
            <w:tcW w:type="pct" w:w="1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2.3±0.8</w:t>
            </w:r>
          </w:p>
        </w:tc>
      </w:tr>
      <w:tr>
        <w:trPr>
          <w:cantSplit/>
        </w:trPr>
        <w:tc>
          <w:tcPr>
            <w:tcW w:type="pct" w:w="1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Urban (50 km/h)</w:t>
            </w:r>
          </w:p>
        </w:tc>
        <w:tc>
          <w:tcPr>
            <w:tcW w:type="pct" w:w="1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63.0±1.4</w:t>
            </w:r>
          </w:p>
        </w:tc>
        <w:tc>
          <w:tcPr>
            <w:tcW w:type="pct" w:w="1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35.1±14.0</w:t>
            </w:r>
          </w:p>
        </w:tc>
        <w:tc>
          <w:tcPr>
            <w:tcW w:type="pct" w:w="1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36.2±14.9</w:t>
            </w:r>
          </w:p>
        </w:tc>
        <w:tc>
          <w:tcPr>
            <w:tcW w:type="pct" w:w="1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47.9±13.1</w:t>
            </w:r>
          </w:p>
        </w:tc>
        <w:tc>
          <w:tcPr>
            <w:tcW w:type="pct" w:w="1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10" w:before="10" w:line="240"/>
              <w:jc w:val="center"/>
            </w:pPr>
            <w:r>
              <w:rPr>
                <w:rFonts w:ascii="Times New Roman"/>
                <w:b w:val="false"/>
                <w:bCs w:val="false"/>
                <w:color w:val="000000"/>
                <w:sz w:val="16"/>
                <w:szCs w:val="16"/>
              </w:rPr>
              <w:t xml:space="preserve">49.5±13.2</w:t>
            </w:r>
          </w:p>
        </w:tc>
      </w:tr>
      <w:tr>
        <w:trPr>
          <w:cantSplit/>
        </w:trPr>
        <w:tc>
          <w:tcPr>
            <w:tcW w:type="pct" w:w="18%"/>
            <w:tcBorders>
              <w:top w:val="none" w:color="FFFFFF" w:sz="0"/>
              <w:left w:val="none" w:color="FFFFFF" w:sz="0"/>
              <w:bottom w:val="single" w:color="000000" w:sz="4"/>
              <w:right w:val="none" w:color="FFFFFF" w:sz="0"/>
            </w:tcBorders>
            <w:tcMar>
              <w:top w:type="dxa" w:w="40"/>
              <w:left w:type="dxa" w:w="80"/>
              <w:bottom w:type="dxa" w:w="40"/>
              <w:right w:type="dxa" w:w="80"/>
            </w:tcMar>
          </w:tcPr>
          <w:p>
            <w:pPr>
              <w:spacing w:after="20" w:before="20" w:line="300"/>
              <w:jc w:val="center"/>
            </w:pPr>
            <w:r>
              <w:rPr>
                <w:rFonts w:ascii="Times New Roman"/>
                <w:color w:val="000000"/>
                <w:sz w:val="16"/>
                <w:szCs w:val="16"/>
              </w:rPr>
              <w:t xml:space="preserve">Rural (30 km/h)</w:t>
            </w:r>
          </w:p>
        </w:tc>
        <w:tc>
          <w:tcPr>
            <w:tcW w:type="pct" w:w="14%"/>
            <w:tcBorders>
              <w:top w:val="none" w:color="FFFFFF" w:sz="0"/>
              <w:left w:val="none" w:color="FFFFFF" w:sz="0"/>
              <w:bottom w:val="single" w:color="000000" w:sz="4"/>
              <w:right w:val="none" w:color="FFFFFF" w:sz="0"/>
            </w:tcBorders>
            <w:tcMar>
              <w:top w:type="dxa" w:w="40"/>
              <w:left w:type="dxa" w:w="80"/>
              <w:bottom w:type="dxa" w:w="40"/>
              <w:right w:type="dxa" w:w="80"/>
            </w:tcMar>
          </w:tcPr>
          <w:p>
            <w:pPr>
              <w:spacing w:after="20" w:before="20" w:line="300"/>
              <w:jc w:val="center"/>
            </w:pPr>
            <w:r>
              <w:rPr>
                <w:rFonts w:ascii="Times New Roman"/>
                <w:color w:val="000000"/>
                <w:sz w:val="16"/>
                <w:szCs w:val="16"/>
              </w:rPr>
              <w:t xml:space="preserve">100.0±0.0</w:t>
            </w:r>
          </w:p>
        </w:tc>
        <w:tc>
          <w:tcPr>
            <w:tcW w:type="pct" w:w="17%"/>
            <w:tcBorders>
              <w:top w:val="none" w:color="FFFFFF" w:sz="0"/>
              <w:left w:val="none" w:color="FFFFFF" w:sz="0"/>
              <w:bottom w:val="single" w:color="000000" w:sz="4"/>
              <w:right w:val="none" w:color="FFFFFF" w:sz="0"/>
            </w:tcBorders>
            <w:tcMar>
              <w:top w:type="dxa" w:w="40"/>
              <w:left w:type="dxa" w:w="80"/>
              <w:bottom w:type="dxa" w:w="40"/>
              <w:right w:type="dxa" w:w="80"/>
            </w:tcMar>
          </w:tcPr>
          <w:p>
            <w:pPr>
              <w:spacing w:after="20" w:before="20" w:line="300"/>
              <w:jc w:val="center"/>
            </w:pPr>
            <w:r>
              <w:rPr>
                <w:rFonts w:ascii="Times New Roman"/>
                <w:color w:val="000000"/>
                <w:sz w:val="16"/>
                <w:szCs w:val="16"/>
              </w:rPr>
              <w:t xml:space="preserve">0.0±0.1</w:t>
            </w:r>
          </w:p>
        </w:tc>
        <w:tc>
          <w:tcPr>
            <w:tcW w:type="pct" w:w="17%"/>
            <w:tcBorders>
              <w:top w:val="none" w:color="FFFFFF" w:sz="0"/>
              <w:left w:val="none" w:color="FFFFFF" w:sz="0"/>
              <w:bottom w:val="single" w:color="000000" w:sz="4"/>
              <w:right w:val="none" w:color="FFFFFF" w:sz="0"/>
            </w:tcBorders>
            <w:tcMar>
              <w:top w:type="dxa" w:w="40"/>
              <w:left w:type="dxa" w:w="80"/>
              <w:bottom w:type="dxa" w:w="40"/>
              <w:right w:type="dxa" w:w="80"/>
            </w:tcMar>
          </w:tcPr>
          <w:p>
            <w:pPr>
              <w:spacing w:after="20" w:before="20" w:line="300"/>
              <w:jc w:val="center"/>
            </w:pPr>
            <w:r>
              <w:rPr>
                <w:rFonts w:ascii="Times New Roman"/>
                <w:color w:val="000000"/>
                <w:sz w:val="16"/>
                <w:szCs w:val="16"/>
              </w:rPr>
              <w:t xml:space="preserve">0.1±0.1</w:t>
            </w:r>
          </w:p>
        </w:tc>
        <w:tc>
          <w:tcPr>
            <w:tcW w:type="pct" w:w="17%"/>
            <w:tcBorders>
              <w:top w:val="none" w:color="FFFFFF" w:sz="0"/>
              <w:left w:val="none" w:color="FFFFFF" w:sz="0"/>
              <w:bottom w:val="single" w:color="000000" w:sz="4"/>
              <w:right w:val="none" w:color="FFFFFF" w:sz="0"/>
            </w:tcBorders>
            <w:tcMar>
              <w:top w:type="dxa" w:w="40"/>
              <w:left w:type="dxa" w:w="80"/>
              <w:bottom w:type="dxa" w:w="40"/>
              <w:right w:type="dxa" w:w="80"/>
            </w:tcMar>
          </w:tcPr>
          <w:p>
            <w:pPr>
              <w:spacing w:after="20" w:before="20" w:line="300"/>
              <w:jc w:val="center"/>
            </w:pPr>
            <w:r>
              <w:rPr>
                <w:rFonts w:ascii="Times New Roman"/>
                <w:color w:val="000000"/>
                <w:sz w:val="16"/>
                <w:szCs w:val="16"/>
              </w:rPr>
              <w:t xml:space="preserve">1.2±0.8</w:t>
            </w:r>
          </w:p>
        </w:tc>
        <w:tc>
          <w:tcPr>
            <w:tcW w:type="pct" w:w="17%"/>
            <w:tcBorders>
              <w:top w:val="none" w:color="FFFFFF" w:sz="0"/>
              <w:left w:val="none" w:color="FFFFFF" w:sz="0"/>
              <w:bottom w:val="single" w:color="000000" w:sz="4"/>
              <w:right w:val="none" w:color="FFFFFF" w:sz="0"/>
            </w:tcBorders>
            <w:tcMar>
              <w:top w:type="dxa" w:w="40"/>
              <w:left w:type="dxa" w:w="80"/>
              <w:bottom w:type="dxa" w:w="40"/>
              <w:right w:type="dxa" w:w="80"/>
            </w:tcMar>
          </w:tcPr>
          <w:p>
            <w:pPr>
              <w:spacing w:after="20" w:before="20" w:line="300"/>
              <w:jc w:val="center"/>
            </w:pPr>
            <w:r>
              <w:rPr>
                <w:rFonts w:ascii="Times New Roman"/>
                <w:color w:val="000000"/>
                <w:sz w:val="16"/>
                <w:szCs w:val="16"/>
              </w:rPr>
              <w:t xml:space="preserve">1.4±0.8</w:t>
            </w:r>
          </w:p>
        </w:tc>
      </w:tr>
    </w:tbl>
    <w:p>
      <w:pPr>
        <w:spacing w:after="60" w:line="240"/>
        <w:ind w:firstLine="0"/>
        <w:jc w:val="both"/>
      </w:pPr>
      <w:r>
        <w:rPr>
          <w:rFonts w:ascii="Times New Roman"/>
          <w:color w:val="000000"/>
          <w:sz w:val="20"/>
          <w:szCs w:val="20"/>
        </w:rPr>
        <w:t xml:space="preserve">The scenario-stratified evaluation reveals a striking dichotomy between Rician and Rayleigh fading regimes. Under Rician fading (highway and rural), the model achieves perfect 100% classification accuracy with negligible ASR (&lt;2.5%). The urban scenario tells a fundamentally different story: classification accuracy drops to 63.0%, and adversarial ASR rises to 35–50%. Despite the order-of-magnitude difference in absolute ASR, the FGSM ≈ PGD convergence pattern is preserved in all three scenarios, confirming that the loss landscape smoothness is a model-level property independent of channel conditions.</w:t>
      </w:r>
    </w:p>
    <w:p>
      <w:pPr>
        <w:pStyle w:val="Heading1"/>
        <w:spacing w:after="100" w:before="180" w:line="240"/>
      </w:pPr>
      <w:r>
        <w:rPr>
          <w:rFonts w:ascii="Times New Roman"/>
          <w:b/>
          <w:bCs/>
          <w:color w:val="000000"/>
          <w:sz w:val="22"/>
          <w:szCs w:val="22"/>
        </w:rPr>
        <w:t xml:space="preserve">8. Limitations</w:t>
      </w:r>
    </w:p>
    <w:p>
      <w:pPr>
        <w:spacing w:after="60" w:line="240"/>
        <w:ind w:firstLine="0"/>
        <w:jc w:val="both"/>
      </w:pPr>
      <w:r>
        <w:rPr>
          <w:rFonts w:ascii="Times New Roman"/>
          <w:color w:val="000000"/>
          <w:sz w:val="20"/>
          <w:szCs w:val="20"/>
        </w:rPr>
        <w:t xml:space="preserve">Several limitations of this work merit discussion. First, the signal classes in our dataset occupy non-overlapping frequency bands (LTE at central ±35%, WiFi at +15%, V2X-PC5 at −10%), reflecting realistic 5.9 GHz DSRC spectrum allocation standards where distinct technologies operate in dedicated sub-bands. While this makes the baseline classification task solvable by simple energy detection, our goal is not to prove that deep learning is required for basic separation, but rather to evaluate the adversarial vulnerability of the deep learning-based decision boundaries that modern cognitive V2X systems are actively deploying. In a standardized band allocation scenario, an adversary does not need to spoof the entire band—they only need to inject a carefully crafted perturbation within their allocated sub-band to cause misclassification in the victim's neural network. Evaluating adversarial robustness on non-overlapping bands represents the minimum-required physical security test for these systems. Future work should also examine overlapping and dynamic spectrum allocation scenarios, where the classification task becomes more challenging and adversarial perturbations may interact with inter-class spectral leakage.</w:t>
      </w:r>
    </w:p>
    <w:p>
      <w:pPr>
        <w:spacing w:after="60" w:line="240"/>
        <w:ind w:firstLine="0"/>
        <w:jc w:val="both"/>
      </w:pPr>
      <w:r>
        <w:rPr>
          <w:rFonts w:ascii="Times New Roman"/>
          <w:color w:val="000000"/>
          <w:sz w:val="20"/>
          <w:szCs w:val="20"/>
        </w:rPr>
        <w:t xml:space="preserve">Second, regarding the channel model, our main evaluation employs Rayleigh fading with AWGN. Real V2X channels exhibit significantly richer dynamics including time-varying Doppler shifts from vehicle mobility (2–300 Hz equivalent at 5.9 GHz for speeds of 1–160 km/h), frequency-selective fading from multipath propagation with delays of 0.1–10 μs, and Rician fading under line-of-sight conditions at highway velocities with K-factors of 5–15 dB. While our primary evaluation focuses on the Rayleigh fading regime as the worst-case non-line-of-sight multipath condition appropriate for urban deployments, we also present a scenario-stratified evaluation in Section 7.9 that examines adversarial robustness under highway (Rician K=10 dB, 3-path), urban (Rayleigh, 6-path), and rural (Rician K=5 dB, 2-path) conditions. The results confirm that the adversarial robustness trends observed under Rayleigh fading extend to these mobility scenarios: the FGSM ≈ PGD convergence pattern persists across all scenarios, with urban Rayleigh conditions producing the highest absolute ASR (35–50%) due to the degraded clean accuracy (63%) under rich multipath. Future work should expand to even more diverse conditions including vehicle-to-vehicle channels with double-bounced scattering, tunnel scenarios with extreme delay spreads, and time-varying mobility transitions.</w:t>
      </w:r>
    </w:p>
    <w:p>
      <w:pPr>
        <w:spacing w:after="60" w:line="240"/>
        <w:ind w:firstLine="0"/>
        <w:jc w:val="both"/>
      </w:pPr>
      <w:r>
        <w:rPr>
          <w:rFonts w:ascii="Times New Roman"/>
          <w:color w:val="000000"/>
          <w:sz w:val="20"/>
          <w:szCs w:val="20"/>
        </w:rPr>
        <w:t xml:space="preserve">Third, the evaluation uses synthetic RF signals rather than over-the-air measurements. While the synthetic generation faithfully reproduces OFDM subcarrier structures, spectral leakage patterns, and noise characteristics, real-world signals introduce hardware impairments (phase noise, I/Q imbalance, nonlinearities) that may affect both classification accuracy and adversarial vulnerability. The Sim-to-Real gap revealed by our channel-aware evaluation partially addresses this concern, but over-the-air validation remains essential.</w:t>
      </w:r>
    </w:p>
    <w:p>
      <w:pPr>
        <w:spacing w:after="60" w:line="240"/>
        <w:ind w:firstLine="0"/>
        <w:jc w:val="both"/>
      </w:pPr>
      <w:r>
        <w:rPr>
          <w:rFonts w:ascii="Times New Roman"/>
          <w:color w:val="000000"/>
          <w:sz w:val="20"/>
          <w:szCs w:val="20"/>
        </w:rPr>
        <w:t xml:space="preserve">Fourth, the adversarial training improvement is modest (2.13 pp FGSM reduction at ε = 0.03), suggesting that the training recipe's inherent smoothing already provides substantial regularization. Stronger adversarial training (higher PGD step count, larger ε during training) may yield additional gains at the cost of longer training time.</w:t>
      </w:r>
    </w:p>
    <w:p>
      <w:pPr>
        <w:spacing w:after="60" w:line="240"/>
        <w:ind w:firstLine="0"/>
        <w:jc w:val="both"/>
      </w:pPr>
      <w:r>
        <w:rPr>
          <w:rFonts w:ascii="Times New Roman"/>
          <w:color w:val="000000"/>
          <w:sz w:val="20"/>
          <w:szCs w:val="20"/>
        </w:rPr>
        <w:t xml:space="preserve">Finally, the dataset size (4,000 samples) limits the model's generalization capacity. While data augmentation mitigates this to some degree, larger real-world or more diverse synthetic datasets would strengthen both the classification and adversarial robustness results.</w:t>
      </w:r>
    </w:p>
    <w:p>
      <w:pPr>
        <w:pStyle w:val="Heading1"/>
        <w:spacing w:after="100" w:before="180" w:line="240"/>
      </w:pPr>
      <w:r>
        <w:rPr>
          <w:rFonts w:ascii="Times New Roman"/>
          <w:b/>
          <w:bCs/>
          <w:color w:val="000000"/>
          <w:sz w:val="22"/>
          <w:szCs w:val="22"/>
        </w:rPr>
        <w:t xml:space="preserve">9. Conclusion</w:t>
      </w:r>
    </w:p>
    <w:p>
      <w:pPr>
        <w:spacing w:after="60" w:line="240"/>
        <w:ind w:firstLine="0"/>
        <w:jc w:val="both"/>
      </w:pPr>
      <w:r>
        <w:rPr>
          <w:rFonts w:ascii="Times New Roman"/>
          <w:color w:val="000000"/>
          <w:sz w:val="20"/>
          <w:szCs w:val="20"/>
        </w:rPr>
        <w:t xml:space="preserve">This paper presented a Dual-Stream Phase-Aware Inception-Time CNN for adversarially robust spectrum sensing in V2X networks. Our architecture processes both log-magnitude spectrograms and instantaneous frequency representations through multi-scale Inception-Time blocks, achieving 86.67% accuracy with only 86,052 parameters.</w:t>
      </w:r>
    </w:p>
    <w:p>
      <w:pPr>
        <w:spacing w:after="60" w:line="240"/>
        <w:ind w:firstLine="0"/>
        <w:jc w:val="both"/>
      </w:pPr>
      <w:r>
        <w:rPr>
          <w:rFonts w:ascii="Times New Roman"/>
          <w:color w:val="000000"/>
          <w:sz w:val="20"/>
          <w:szCs w:val="20"/>
        </w:rPr>
        <w:t xml:space="preserve">First, the dual-stream design provides modality diversity for adversarial evaluation, with the log-magnitude stream carrying the primary discriminative information (87.29% accuracy alone) and the instantaneous frequency stream contributing to a richer feature representation for channel-aware analysis and transferability robustness. Second, the training recipe—comprising TF-CutMix, label smoothing, and Gaussian noise injection—produces a smooth loss landscape that is inherently resistant to iterative adversarial optimization, as validated by our multi-attack benchmark where all gradient-based attacks converge to near-identical ASR (&lt;0.6 pp gap at ε ≤ 0.05). Third, adversarial training combined with TF-CutMix and Gaussian noise augmentation maintains clean accuracy (87.46%) while reducing attack success rates (21.12%), narrowing the traditional accuracy-robustness tradeoff. The ablation study confirms that this property is driven by the training recipe rather than the dual-stream architecture.</w:t>
      </w:r>
    </w:p>
    <w:p>
      <w:pPr>
        <w:spacing w:after="60" w:line="240"/>
        <w:ind w:firstLine="0"/>
        <w:jc w:val="both"/>
      </w:pPr>
      <w:r>
        <w:rPr>
          <w:rFonts w:ascii="Times New Roman"/>
          <w:color w:val="000000"/>
          <w:sz w:val="20"/>
          <w:szCs w:val="20"/>
        </w:rPr>
        <w:t xml:space="preserve">Fourth, cross-architecture transferability analysis reveals that the dual-stream fusion achieves the lowest transfer ASR (14–17%), validating the architectural design against black-box adversaries. Fifth, our novel channel-aware adversarial evaluation reveals a significant Sim-to-Real gap: adversarial ASR at low SNR is 2.5× higher than the digital-domain baseline due to noise-amplification effects, while at high SNR it converges to the digital value. This finding has critical implications for V2X security: the effectiveness of adversarial attacks in real deployments depends heavily on channel conditions that digital-only evaluations fail to capture. Finally, our model achieves 1.43 ms inference latency, meeting V2X real-time requirements without the computational overhead of certified defenses.</w:t>
      </w:r>
    </w:p>
    <w:p>
      <w:pPr>
        <w:spacing w:after="60" w:line="240"/>
        <w:ind w:firstLine="0"/>
        <w:jc w:val="both"/>
      </w:pPr>
      <w:r>
        <w:rPr>
          <w:rFonts w:ascii="Times New Roman"/>
          <w:color w:val="000000"/>
          <w:sz w:val="20"/>
          <w:szCs w:val="20"/>
        </w:rPr>
        <w:t xml:space="preserve">Sixth, the scenario-stratified mobility evaluation reveals a critical deployment insight: adversarial vulnerability is concentrated in urban Rayleigh environments (ASR up to 50%) where spectrum sharing is most needed, while highway and rural Rician fading scenarios exhibit near-immunity (&lt;2.5% ASR) due to preserved line-of-sight spectral structure. The FGSM ≈ PGD convergence pattern persists across all mobility conditions, confirming that the loss landscape smoothness is a model-level property independent of the channel realization. While the current 4,000-sample synthetic dataset serves as a proof-of-concept for our adversarial vulnerability assessment framework, future work will scale to over-the-air captured datasets with standard baselines including energy detection, and explore broader signal classification tasks under realistic V2X channel conditions.</w:t>
      </w:r>
    </w:p>
    <w:p>
      <w:pPr>
        <w:pStyle w:val="Heading1"/>
        <w:spacing w:after="100" w:before="180" w:line="240"/>
      </w:pPr>
      <w:r>
        <w:rPr>
          <w:rFonts w:ascii="Times New Roman"/>
          <w:b/>
          <w:bCs/>
          <w:color w:val="000000"/>
          <w:sz w:val="22"/>
          <w:szCs w:val="22"/>
        </w:rPr>
        <w:t xml:space="preserve">References</w:t>
      </w:r>
    </w:p>
    <w:p>
      <w:pPr>
        <w:spacing w:after="60" w:line="300"/>
        <w:ind w:left="360" w:hanging="360"/>
      </w:pPr>
      <w:r>
        <w:rPr>
          <w:rFonts w:ascii="Times New Roman"/>
          <w:color w:val="000000"/>
          <w:sz w:val="20"/>
          <w:szCs w:val="20"/>
        </w:rPr>
        <w:t xml:space="preserve">[1] T. J. O'Shea, J. Nath, and C. R. Clancy, "Over-the-air deep learning based radio signal classification," IEEE J. Sel. Topics Signal Process., vol. 12, no. 1, pp. 168–179, 2018.</w:t>
      </w:r>
    </w:p>
    <w:p>
      <w:pPr>
        <w:spacing w:after="60" w:line="300"/>
        <w:ind w:left="360" w:hanging="360"/>
      </w:pPr>
      <w:r>
        <w:rPr>
          <w:rFonts w:ascii="Times New Roman"/>
          <w:color w:val="000000"/>
          <w:sz w:val="20"/>
          <w:szCs w:val="20"/>
        </w:rPr>
        <w:t xml:space="preserve">[2] M. Zhang et al., "Spectrogram-based automatic modulation classification using convolutional neural networks," IEEE Wireless Commun. Lett., vol. 11, no. 5, pp. 954–958, 2022.</w:t>
      </w:r>
    </w:p>
    <w:p>
      <w:pPr>
        <w:spacing w:after="60" w:line="300"/>
        <w:ind w:left="360" w:hanging="360"/>
      </w:pPr>
      <w:r>
        <w:rPr>
          <w:rFonts w:ascii="Times New Roman"/>
          <w:color w:val="000000"/>
          <w:sz w:val="20"/>
          <w:szCs w:val="20"/>
        </w:rPr>
        <w:t xml:space="preserve">[3] K. He, X. Zhang, S. Ren, and J. Sun, "Deep residual learning for image recognition," in Proc. IEEE CVPR, 2016, pp. 770–778.</w:t>
      </w:r>
    </w:p>
    <w:p>
      <w:pPr>
        <w:spacing w:after="60" w:line="300"/>
        <w:ind w:left="360" w:hanging="360"/>
      </w:pPr>
      <w:r>
        <w:rPr>
          <w:rFonts w:ascii="Times New Roman"/>
          <w:color w:val="000000"/>
          <w:sz w:val="20"/>
          <w:szCs w:val="20"/>
        </w:rPr>
        <w:t xml:space="preserve">[4] J. Hu, L. Shen, and G. Sun, "Squeeze-and-excitation networks," in Proc. IEEE CVPR, 2018, pp. 7132–7141.</w:t>
      </w:r>
    </w:p>
    <w:p>
      <w:pPr>
        <w:spacing w:after="60" w:line="300"/>
        <w:ind w:left="360" w:hanging="360"/>
      </w:pPr>
      <w:r>
        <w:rPr>
          <w:rFonts w:ascii="Times New Roman"/>
          <w:color w:val="000000"/>
          <w:sz w:val="20"/>
          <w:szCs w:val="20"/>
        </w:rPr>
        <w:t xml:space="preserve">[5] H. I. Fawaz et al., "InceptionTime: Finding AlexNet for time series classification," Data Mining and Knowledge Discovery, vol. 34, pp. 1936–1962, 2020.</w:t>
      </w:r>
    </w:p>
    <w:p>
      <w:pPr>
        <w:spacing w:after="60" w:line="300"/>
        <w:ind w:left="360" w:hanging="360"/>
      </w:pPr>
      <w:r>
        <w:rPr>
          <w:rFonts w:ascii="Times New Roman"/>
          <w:color w:val="000000"/>
          <w:sz w:val="20"/>
          <w:szCs w:val="20"/>
        </w:rPr>
        <w:t xml:space="preserve">[6] A. Madry et al., "Towards deep learning models resistant to adversarial attacks," in Proc. ICLR, 2019.</w:t>
      </w:r>
    </w:p>
    <w:p>
      <w:pPr>
        <w:spacing w:after="60" w:line="300"/>
        <w:ind w:left="360" w:hanging="360"/>
      </w:pPr>
      <w:r>
        <w:rPr>
          <w:rFonts w:ascii="Times New Roman"/>
          <w:color w:val="000000"/>
          <w:sz w:val="20"/>
          <w:szCs w:val="20"/>
        </w:rPr>
        <w:t xml:space="preserve">[7] I. J. Goodfellow, J. Shlens, and C. Szegedy, "Explaining and harnessing adversarial examples," in Proc. ICLR, 2015.</w:t>
      </w:r>
    </w:p>
    <w:p>
      <w:pPr>
        <w:spacing w:after="60" w:line="300"/>
        <w:ind w:left="360" w:hanging="360"/>
      </w:pPr>
      <w:r>
        <w:rPr>
          <w:rFonts w:ascii="Times New Roman"/>
          <w:color w:val="000000"/>
          <w:sz w:val="20"/>
          <w:szCs w:val="20"/>
        </w:rPr>
        <w:t xml:space="preserve">[8] J. Cohen, E. Rosenfeld, and Z. Kolter, "Certified adversarial robustness via randomized smoothing," in Proc. ICML, 2019, pp. 1310–1320.</w:t>
      </w:r>
    </w:p>
    <w:p>
      <w:pPr>
        <w:spacing w:after="60" w:line="300"/>
        <w:ind w:left="360" w:hanging="360"/>
      </w:pPr>
      <w:r>
        <w:rPr>
          <w:rFonts w:ascii="Times New Roman"/>
          <w:color w:val="000000"/>
          <w:sz w:val="20"/>
          <w:szCs w:val="20"/>
        </w:rPr>
        <w:t xml:space="preserve">[9] S. Yun et al., "CutMix: Regularization strategy to train strong classifiers with localizable features," in Proc. ICCV, 2019, pp. 6023–6032.</w:t>
      </w:r>
    </w:p>
    <w:p>
      <w:pPr>
        <w:spacing w:after="60" w:line="300"/>
        <w:ind w:left="360" w:hanging="360"/>
      </w:pPr>
      <w:r>
        <w:rPr>
          <w:rFonts w:ascii="Times New Roman"/>
          <w:color w:val="000000"/>
          <w:sz w:val="20"/>
          <w:szCs w:val="20"/>
        </w:rPr>
        <w:t xml:space="preserve">[10] H. Zhang et al., "mixup: Beyond empirical risk minimization," in Proc. ICLR, 2018.</w:t>
      </w:r>
    </w:p>
    <w:p>
      <w:pPr>
        <w:spacing w:after="60" w:line="300"/>
        <w:ind w:left="360" w:hanging="360"/>
      </w:pPr>
      <w:r>
        <w:rPr>
          <w:rFonts w:ascii="Times New Roman"/>
          <w:color w:val="000000"/>
          <w:sz w:val="20"/>
          <w:szCs w:val="20"/>
        </w:rPr>
        <w:t xml:space="preserve">[11] A. Sadeghi and E. G. Larsson, "Adversarial attacks on deep-learning based radio signal classification," IEEE Wireless Commun. Lett., vol. 8, no. 1, pp. 213–216, 2019.</w:t>
      </w:r>
    </w:p>
    <w:p>
      <w:pPr>
        <w:spacing w:after="60" w:line="300"/>
        <w:ind w:left="360" w:hanging="360"/>
      </w:pPr>
      <w:r>
        <w:rPr>
          <w:rFonts w:ascii="Times New Roman"/>
          <w:color w:val="000000"/>
          <w:sz w:val="20"/>
          <w:szCs w:val="20"/>
        </w:rPr>
        <w:t xml:space="preserve">[12] G. Xu et al., "Frequency-selective adversarial attacks on deep learning-based wireless signal classification," IEEE Trans. Cogn. Commun. Netw., 2024.</w:t>
      </w:r>
    </w:p>
    <w:p>
      <w:pPr>
        <w:spacing w:after="60" w:line="300"/>
        <w:ind w:left="360" w:hanging="360"/>
      </w:pPr>
      <w:r>
        <w:rPr>
          <w:rFonts w:ascii="Times New Roman"/>
          <w:color w:val="000000"/>
          <w:sz w:val="20"/>
          <w:szCs w:val="20"/>
        </w:rPr>
        <w:t xml:space="preserve">[13] Y. Zhang et al., "Efficient adversarial attacks against DRL-based resource allocation in intelligent O-RAN for V2X," IEEE Trans. Veh. Technol., 2025.</w:t>
      </w:r>
    </w:p>
    <w:p>
      <w:pPr>
        <w:spacing w:after="60" w:line="300"/>
        <w:ind w:left="360" w:hanging="360"/>
      </w:pPr>
      <w:r>
        <w:rPr>
          <w:rFonts w:ascii="Times New Roman"/>
          <w:color w:val="000000"/>
          <w:sz w:val="20"/>
          <w:szCs w:val="20"/>
        </w:rPr>
        <w:t xml:space="preserve">[14] H. Li et al., "DRL-based adversarial defense in vehicular communication systems," IEEE Internet of Things Journal, 2024.</w:t>
      </w:r>
    </w:p>
    <w:p>
      <w:pPr>
        <w:spacing w:after="60" w:line="300"/>
        <w:ind w:left="360" w:hanging="360"/>
      </w:pPr>
      <w:r>
        <w:rPr>
          <w:rFonts w:ascii="Times New Roman"/>
          <w:color w:val="000000"/>
          <w:sz w:val="20"/>
          <w:szCs w:val="20"/>
        </w:rPr>
        <w:t xml:space="preserve">[15] M. Schuster and K. K. Paliwal, "Bidirectional recurrent neural networks," IEEE Trans. Signal Process., vol. 45, no. 11, pp. 2673–2681, 1997.</w:t>
      </w:r>
    </w:p>
    <w:p>
      <w:pPr>
        <w:spacing w:after="60" w:line="300"/>
        <w:ind w:left="360" w:hanging="360"/>
      </w:pPr>
      <w:r>
        <w:rPr>
          <w:rFonts w:ascii="Times New Roman"/>
          <w:color w:val="000000"/>
          <w:sz w:val="20"/>
          <w:szCs w:val="20"/>
        </w:rPr>
        <w:t xml:space="preserve">[16] S. Sattiraju et al., "Machine learning and deep learning for intrusion detection in V2X networks: A comprehensive survey," IEEE Access, 2023.</w:t>
      </w:r>
    </w:p>
    <w:p>
      <w:pPr>
        <w:spacing w:after="60" w:line="300"/>
        <w:ind w:left="360" w:hanging="360"/>
      </w:pPr>
      <w:r>
        <w:rPr>
          <w:rFonts w:ascii="Times New Roman"/>
          <w:color w:val="000000"/>
          <w:sz w:val="20"/>
          <w:szCs w:val="20"/>
        </w:rPr>
        <w:t xml:space="preserve">[17] F. Croce and M. Hein, "Reliable evaluation of adversarial robustness with an ensemble of diverse parameter-free attacks," in Proc. ICML, 2020, pp. 15223–15235.</w:t>
      </w:r>
    </w:p>
    <w:p>
      <w:pPr>
        <w:pStyle w:val="Heading1"/>
        <w:spacing w:after="100" w:before="180" w:line="240"/>
      </w:pPr>
      <w:r>
        <w:rPr>
          <w:rFonts w:ascii="Times New Roman"/>
          <w:b/>
          <w:bCs/>
          <w:color w:val="000000"/>
          <w:sz w:val="22"/>
          <w:szCs w:val="22"/>
        </w:rPr>
        <w:t xml:space="preserve">Data and Code Availability</w:t>
      </w:r>
    </w:p>
    <w:p>
      <w:pPr>
        <w:spacing w:after="60" w:line="240"/>
        <w:ind w:firstLine="0"/>
        <w:jc w:val="both"/>
      </w:pPr>
      <w:r>
        <w:rPr>
          <w:rFonts w:ascii="Times New Roman"/>
          <w:color w:val="000000"/>
          <w:sz w:val="20"/>
          <w:szCs w:val="20"/>
        </w:rPr>
        <w:t xml:space="preserve">To ensure full reproducibility of all experimental results presented in this paper, the complete source code, trained model checkpoints, and result data files have been made publicly available. The codebase includes: (i) the Dual-Stream Phase-Aware Inception-Time CNN model architecture and comprehensive evaluation pipeline (autoattack_eval.py), (ii) official AutoAttack library integration for multi-attack benchmarking (official_autoattack_eval.py), (iii) cross-architecture transferability study (transferability_study.py), (iv) mobility scenario-stratified evaluation with Rician/Doppler channel models (mobility_scenario_eval.py), (v) CPU inference latency benchmark (latency_benchmark.py), and (vi) comprehensive dataset generation pipeline with realistic V2X channel models (generate_simulated_dataset.py). All code files include detailed inline comments explaining mathematical operations, design decisions, and hyperparameter choices. The repository also includes a requirements.txt file listing all Python dependencies and a README.md with step-by-step reproduction instructions.</w:t>
      </w:r>
    </w:p>
    <w:p>
      <w:pPr>
        <w:spacing w:after="60" w:line="240"/>
        <w:ind w:firstLine="0"/>
        <w:jc w:val="both"/>
      </w:pPr>
      <w:r>
        <w:rPr>
          <w:rFonts w:ascii="Times New Roman"/>
          <w:color w:val="000000"/>
          <w:sz w:val="20"/>
          <w:szCs w:val="20"/>
        </w:rPr>
        <w:t xml:space="preserve">The codebase is available at: </w:t>
      </w:r>
      <w:hyperlink w:history="1" r:id="rId4fv4q9wuzyluoe9kky0ul">
        <w:r>
          <w:rPr>
            <w:rFonts w:ascii="Times New Roman"/>
            <w:color w:val="0563C1"/>
            <w:sz w:val="20"/>
            <w:szCs w:val="20"/>
            <w:u w:val="single"/>
          </w:rPr>
          <w:t xml:space="preserve">https://github.com/Daveshvats/v2x_adversarial_sensing</w:t>
        </w:r>
      </w:hyperlink>
    </w:p>
    <w:sectPr>
      <w:headerReference w:type="default" r:id="rId7"/>
      <w:footerReference w:type="default" r:id="rId8"/>
      <w:type w:val="nextPage"/>
      <w:pgSz w:w="11906" w:h="16838" w:orient="portrait"/>
      <w:pgMar w:top="1080" w:right="1080" w:bottom="1080" w:left="1080" w:header="720" w:footer="720" w:gutter="0"/>
      <w:pgNumType w:start="1" w:fmt="decimal"/>
      <w:cols w:space="425"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sz w:val="20"/>
        <w:szCs w:val="20"/>
      </w:rPr>
      <w:t xml:space="preserve">- </w:t>
    </w:r>
    <w:r>
      <w:rPr>
        <w:rFonts w:ascii="Times New Roman"/>
        <w:sz w:val="20"/>
        <w:szCs w:val="20"/>
      </w:rPr>
      <w:fldChar w:fldCharType="begin"/>
      <w:instrText xml:space="preserve">PAGE</w:instrText>
      <w:fldChar w:fldCharType="separate"/>
      <w:fldChar w:fldCharType="end"/>
    </w:r>
    <w:r>
      <w:rPr>
        <w:rFonts w:ascii="Times New Roman"/>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color w:val="666666"/>
        <w:sz w:val="16"/>
        <w:szCs w:val="16"/>
      </w:rPr>
      <w:t xml:space="preserve">ICE2CT-2026 | Dual-Stream Phase-Aware Inception-Time CNN for V2X Spectrum Sensing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olor w:val="000000"/>
        <w:sz w:val="20"/>
        <w:szCs w:val="20"/>
      </w:rPr>
    </w:rPrDefault>
    <w:pPrDefault>
      <w:pPr>
        <w:spacing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4fv4q9wuzyluoe9kky0ul" Type="http://schemas.openxmlformats.org/officeDocument/2006/relationships/hyperlink" Target="https://github.com/Daveshvats/v2x_adversarial_sensing" TargetMode="External"/><Relationship Id="rId9" Type="http://schemas.openxmlformats.org/officeDocument/2006/relationships/image" Target="media/9b00dcda1c7b2c8399a4beb263d9bc68626ae7a5.png"/><Relationship Id="rId10" Type="http://schemas.openxmlformats.org/officeDocument/2006/relationships/image" Target="media/cf9893da16bb4d5f519f313001681667a8d4bbfc.png"/><Relationship Id="rId11" Type="http://schemas.openxmlformats.org/officeDocument/2006/relationships/image" Target="media/cfb9451d0af9193fce03de5ee47df15d9dafc2c3.png"/><Relationship Id="rId12" Type="http://schemas.openxmlformats.org/officeDocument/2006/relationships/image" Target="media/94bf724a66d2546c097b0215983536cfcd615724.png"/><Relationship Id="rId13" Type="http://schemas.openxmlformats.org/officeDocument/2006/relationships/image" Target="media/c42c6991c370f0bde6ea6469da90dc56ca48dca4.png"/><Relationship Id="rId14" Type="http://schemas.openxmlformats.org/officeDocument/2006/relationships/image" Target="media/5b6e946f7e1f51ad26aed006bf3c8e11a78bce25.png"/><Relationship Id="rId15" Type="http://schemas.openxmlformats.org/officeDocument/2006/relationships/image" Target="media/7e2c53322ed809124479f0c2945f3f10b9293317.png"/><Relationship Id="rId16" Type="http://schemas.openxmlformats.org/officeDocument/2006/relationships/image" Target="media/1ef33ac9cb46b3214803bb5fef34488bf28e5372.png"/><Relationship Id="rId17" Type="http://schemas.openxmlformats.org/officeDocument/2006/relationships/image" Target="media/f43416d51dbcb83412867e4affd625c2b3c21950.png"/><Relationship Id="rId18" Type="http://schemas.openxmlformats.org/officeDocument/2006/relationships/image" Target="media/97091e7a91372acadc01017026660f9f4f02e19f.png"/><Relationship Id="rId19" Type="http://schemas.openxmlformats.org/officeDocument/2006/relationships/image" Target="media/2c0345be7e2f3e0d9360331a576e91bab029390b.png"/><Relationship Id="rId20" Type="http://schemas.openxmlformats.org/officeDocument/2006/relationships/image" Target="media/47bccfd1cbea39dd432f3f98393aa25b871cbab7.png"/><Relationship Id="rId21" Type="http://schemas.openxmlformats.org/officeDocument/2006/relationships/image" Target="media/d6361d68803765f967cad3ef792154e786eec955.png"/><Relationship Id="rId22" Type="http://schemas.openxmlformats.org/officeDocument/2006/relationships/image" Target="media/957054cd459536a7f491525c41648c08ca2ca636.png"/><Relationship Id="rId23" Type="http://schemas.openxmlformats.org/officeDocument/2006/relationships/image" Target="media/19005786c180c7a7f0e095f5effc34e015bd38e2.png"/><Relationship Id="rId24" Type="http://schemas.openxmlformats.org/officeDocument/2006/relationships/image" Target="media/8da1993541dc93bee316b7c1b073170481c4baad.png"/><Relationship Id="rId25" Type="http://schemas.openxmlformats.org/officeDocument/2006/relationships/image" Target="media/bac3a08b63914f02f2c75580abd92d071c648d7e.png"/><Relationship Id="rId26" Type="http://schemas.openxmlformats.org/officeDocument/2006/relationships/image" Target="media/b776024f71635e2bde9d173684a4ce0343c4a50f.png"/><Relationship Id="rId27" Type="http://schemas.openxmlformats.org/officeDocument/2006/relationships/image" Target="media/36d7edfbfba849b530d80b8e838e37f7436574e2.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2026-04-12T21:24:32.719Z</dcterms:created>
  <dcterms:modified xsi:type="dcterms:W3CDTF">2026-04-12T21:24:32.719Z</dcterms:modified>
</cp:coreProperties>
</file>

<file path=docProps/custom.xml><?xml version="1.0" encoding="utf-8"?>
<Properties xmlns="http://schemas.openxmlformats.org/officeDocument/2006/custom-properties" xmlns:vt="http://schemas.openxmlformats.org/officeDocument/2006/docPropsVTypes"/>
</file>