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60A" w14:textId="77777777" w:rsidR="00C87C68" w:rsidRPr="00C87C68" w:rsidRDefault="00C87C68" w:rsidP="00C87C68">
      <w:r w:rsidRPr="00C87C68">
        <w:rPr>
          <w:b/>
          <w:bCs/>
        </w:rPr>
        <w:t>CREATIVE BRIEF</w:t>
      </w:r>
    </w:p>
    <w:p w14:paraId="5CF293EA" w14:textId="77777777" w:rsidR="00C87C68" w:rsidRPr="00C87C68" w:rsidRDefault="00C87C68" w:rsidP="00C87C68">
      <w:r w:rsidRPr="00C87C68">
        <w:rPr>
          <w:b/>
          <w:bCs/>
        </w:rPr>
        <w:t>To:</w:t>
      </w:r>
      <w:r w:rsidRPr="00C87C68">
        <w:t> Creative Team (Design, Layout, Illustration)</w:t>
      </w:r>
      <w:r w:rsidRPr="00C87C68">
        <w:br/>
      </w:r>
      <w:r w:rsidRPr="00C87C68">
        <w:rPr>
          <w:b/>
          <w:bCs/>
        </w:rPr>
        <w:t>From:</w:t>
      </w:r>
      <w:r w:rsidRPr="00C87C68">
        <w:t> Director of Communications</w:t>
      </w:r>
      <w:r w:rsidRPr="00C87C68">
        <w:br/>
      </w:r>
      <w:r w:rsidRPr="00C87C68">
        <w:rPr>
          <w:b/>
          <w:bCs/>
        </w:rPr>
        <w:t>Date:</w:t>
      </w:r>
      <w:r w:rsidRPr="00C87C68">
        <w:t> September 7, 2025</w:t>
      </w:r>
      <w:r w:rsidRPr="00C87C68">
        <w:br/>
      </w:r>
      <w:r w:rsidRPr="00C87C68">
        <w:rPr>
          <w:b/>
          <w:bCs/>
        </w:rPr>
        <w:t>Project:</w:t>
      </w:r>
      <w:r w:rsidRPr="00C87C68">
        <w:t> Visual Identity &amp; Layout for "The Authoritative Voice" Playbook</w:t>
      </w:r>
    </w:p>
    <w:p w14:paraId="61216062" w14:textId="77777777" w:rsidR="00C87C68" w:rsidRPr="00C87C68" w:rsidRDefault="00C87C68" w:rsidP="00C87C68">
      <w:pPr>
        <w:rPr>
          <w:b/>
          <w:bCs/>
        </w:rPr>
      </w:pPr>
      <w:r w:rsidRPr="00C87C68">
        <w:rPr>
          <w:b/>
          <w:bCs/>
        </w:rPr>
        <w:t>1. The "Big Idea": Embodying the Philosophy</w:t>
      </w:r>
    </w:p>
    <w:p w14:paraId="587B6A6A" w14:textId="77777777" w:rsidR="00C87C68" w:rsidRPr="00C87C68" w:rsidRDefault="00C87C68" w:rsidP="00C87C68">
      <w:r w:rsidRPr="00C87C68">
        <w:t>This project presents a unique and exciting challenge. We are not merely designing a document; we are creating a physical artifact that must be the perfect embodiment of its own philosophy. The playbook deconstructs two worlds: the consultant's "fortress of logic" and the creative's "compelling journey." Our task is to visually synthesize these two worlds.</w:t>
      </w:r>
    </w:p>
    <w:p w14:paraId="11AE440B" w14:textId="77777777" w:rsidR="00C87C68" w:rsidRPr="00C87C68" w:rsidRDefault="00C87C68" w:rsidP="00C87C68">
      <w:r w:rsidRPr="00C87C68">
        <w:t>The final product should feel like a confidential strategy document from McKinsey that was art-directed by Pentagram. It must radiate an aura of </w:t>
      </w:r>
      <w:r w:rsidRPr="00C87C68">
        <w:rPr>
          <w:b/>
          <w:bCs/>
        </w:rPr>
        <w:t>Grounded Vision</w:t>
      </w:r>
      <w:r w:rsidRPr="00C87C68">
        <w:t xml:space="preserve">—analytically rigorous, conceptually elegant, and utterly authoritative. Every design choice must serve the </w:t>
      </w:r>
      <w:proofErr w:type="gramStart"/>
      <w:r w:rsidRPr="00C87C68">
        <w:t>ultimate goal</w:t>
      </w:r>
      <w:proofErr w:type="gramEnd"/>
      <w:r w:rsidRPr="00C87C68">
        <w:t xml:space="preserve"> of building influence and commanding respect.</w:t>
      </w:r>
    </w:p>
    <w:p w14:paraId="6575242C" w14:textId="77777777" w:rsidR="00C87C68" w:rsidRPr="00C87C68" w:rsidRDefault="00C87C68" w:rsidP="00C87C68">
      <w:pPr>
        <w:rPr>
          <w:b/>
          <w:bCs/>
        </w:rPr>
      </w:pPr>
      <w:r w:rsidRPr="00C87C68">
        <w:rPr>
          <w:b/>
          <w:bCs/>
        </w:rPr>
        <w:t>2. The Core Directive (The "Answer First")</w:t>
      </w:r>
    </w:p>
    <w:p w14:paraId="59F9A571" w14:textId="77777777" w:rsidR="00C87C68" w:rsidRPr="00C87C68" w:rsidRDefault="00C87C68" w:rsidP="00C87C68">
      <w:r w:rsidRPr="00C87C68">
        <w:t>Our visual strategy is one of </w:t>
      </w:r>
      <w:r w:rsidRPr="00C87C68">
        <w:rPr>
          <w:b/>
          <w:bCs/>
        </w:rPr>
        <w:t>"Structured Elegance."</w:t>
      </w:r>
      <w:r w:rsidRPr="00C87C68">
        <w:t xml:space="preserve"> Every element must be engineered for clarity, confidence, and </w:t>
      </w:r>
      <w:proofErr w:type="spellStart"/>
      <w:r w:rsidRPr="00C87C68">
        <w:t>scannability</w:t>
      </w:r>
      <w:proofErr w:type="spellEnd"/>
      <w:r w:rsidRPr="00C87C68">
        <w:t>. This is achieved through three guiding principles:</w:t>
      </w:r>
    </w:p>
    <w:p w14:paraId="594CCABF" w14:textId="77777777" w:rsidR="00C87C68" w:rsidRPr="00C87C68" w:rsidRDefault="00C87C68" w:rsidP="00C87C68">
      <w:pPr>
        <w:numPr>
          <w:ilvl w:val="0"/>
          <w:numId w:val="21"/>
        </w:numPr>
      </w:pPr>
      <w:r w:rsidRPr="00C87C68">
        <w:rPr>
          <w:b/>
          <w:bCs/>
        </w:rPr>
        <w:t>Clarity Above All:</w:t>
      </w:r>
      <w:r w:rsidRPr="00C87C68">
        <w:t> The design must make complex ideas immediately accessible. The reader should be able to grasp the core argument by scanning the document for 60 seconds.</w:t>
      </w:r>
    </w:p>
    <w:p w14:paraId="720AF466" w14:textId="77777777" w:rsidR="00C87C68" w:rsidRPr="00C87C68" w:rsidRDefault="00C87C68" w:rsidP="00C87C68">
      <w:pPr>
        <w:numPr>
          <w:ilvl w:val="0"/>
          <w:numId w:val="21"/>
        </w:numPr>
      </w:pPr>
      <w:r w:rsidRPr="00C87C68">
        <w:rPr>
          <w:b/>
          <w:bCs/>
        </w:rPr>
        <w:t>Confidence in Structure:</w:t>
      </w:r>
      <w:r w:rsidRPr="00C87C68">
        <w:t> The layout and grid must project a sense of order, discipline, and intellectual rigor. Whitespace is an active tool to guide the eye and reduce cognitive load.</w:t>
      </w:r>
    </w:p>
    <w:p w14:paraId="294EE64A" w14:textId="77777777" w:rsidR="00C87C68" w:rsidRPr="00C87C68" w:rsidRDefault="00C87C68" w:rsidP="00C87C68">
      <w:pPr>
        <w:numPr>
          <w:ilvl w:val="0"/>
          <w:numId w:val="21"/>
        </w:numPr>
      </w:pPr>
      <w:r w:rsidRPr="00C87C68">
        <w:rPr>
          <w:b/>
          <w:bCs/>
        </w:rPr>
        <w:t>Intelligence in Detail:</w:t>
      </w:r>
      <w:r w:rsidRPr="00C87C68">
        <w:t xml:space="preserve"> Sophistication is communicated through the precise and deliberate application of typography, </w:t>
      </w:r>
      <w:proofErr w:type="spellStart"/>
      <w:r w:rsidRPr="00C87C68">
        <w:t>color</w:t>
      </w:r>
      <w:proofErr w:type="spellEnd"/>
      <w:r w:rsidRPr="00C87C68">
        <w:t>, and visual accents. There are no decorative elements; every choice is strategic.</w:t>
      </w:r>
    </w:p>
    <w:p w14:paraId="52E57AD3" w14:textId="77777777" w:rsidR="00C87C68" w:rsidRPr="00C87C68" w:rsidRDefault="00C87C68" w:rsidP="00C87C68">
      <w:pPr>
        <w:rPr>
          <w:b/>
          <w:bCs/>
        </w:rPr>
      </w:pPr>
      <w:r w:rsidRPr="00C87C68">
        <w:rPr>
          <w:b/>
          <w:bCs/>
        </w:rPr>
        <w:t>3. The Execution Plan (The MECE Framework)</w:t>
      </w:r>
    </w:p>
    <w:p w14:paraId="48A5D79B" w14:textId="77777777" w:rsidR="00C87C68" w:rsidRPr="00C87C68" w:rsidRDefault="00C87C68" w:rsidP="00C87C68">
      <w:r w:rsidRPr="00C87C68">
        <w:t>This section provides the specific visual directives.</w:t>
      </w:r>
    </w:p>
    <w:p w14:paraId="1D4D1ED1" w14:textId="77777777" w:rsidR="00C87C68" w:rsidRPr="00C87C68" w:rsidRDefault="00C87C68" w:rsidP="00C87C68">
      <w:r w:rsidRPr="00C87C68">
        <w:rPr>
          <w:b/>
          <w:bCs/>
        </w:rPr>
        <w:t>A. Layout &amp; Grid System: The "Disciplined but Dynamic" Blueprint</w:t>
      </w:r>
    </w:p>
    <w:p w14:paraId="32A3F2AC" w14:textId="77777777" w:rsidR="00C87C68" w:rsidRPr="00C87C68" w:rsidRDefault="00C87C68" w:rsidP="00C87C68">
      <w:pPr>
        <w:numPr>
          <w:ilvl w:val="0"/>
          <w:numId w:val="22"/>
        </w:numPr>
      </w:pPr>
      <w:r w:rsidRPr="00C87C68">
        <w:rPr>
          <w:b/>
          <w:bCs/>
        </w:rPr>
        <w:t>Base Grid:</w:t>
      </w:r>
      <w:r w:rsidRPr="00C87C68">
        <w:t> We will employ a </w:t>
      </w:r>
      <w:r w:rsidRPr="00C87C68">
        <w:rPr>
          <w:b/>
          <w:bCs/>
        </w:rPr>
        <w:t>two-column grid</w:t>
      </w:r>
      <w:r w:rsidRPr="00C87C68">
        <w:t> for all primary body text. This is non-negotiable for readability and to project an analytical feel.</w:t>
      </w:r>
    </w:p>
    <w:p w14:paraId="56A1738B" w14:textId="77777777" w:rsidR="00C87C68" w:rsidRPr="00C87C68" w:rsidRDefault="00C87C68" w:rsidP="00C87C68">
      <w:pPr>
        <w:numPr>
          <w:ilvl w:val="0"/>
          <w:numId w:val="22"/>
        </w:numPr>
      </w:pPr>
      <w:r w:rsidRPr="00C87C68">
        <w:rPr>
          <w:b/>
          <w:bCs/>
        </w:rPr>
        <w:t>Dynamic Breaks:</w:t>
      </w:r>
      <w:r w:rsidRPr="00C87C68">
        <w:t> We will strategically and consistently </w:t>
      </w:r>
      <w:r w:rsidRPr="00C87C68">
        <w:rPr>
          <w:b/>
          <w:bCs/>
        </w:rPr>
        <w:t>break this grid for high-impact elements.</w:t>
      </w:r>
      <w:r w:rsidRPr="00C87C68">
        <w:t> Full-width layouts must be used for:</w:t>
      </w:r>
    </w:p>
    <w:p w14:paraId="0ADA8B25" w14:textId="77777777" w:rsidR="00C87C68" w:rsidRPr="00C87C68" w:rsidRDefault="00C87C68" w:rsidP="00C87C68">
      <w:pPr>
        <w:numPr>
          <w:ilvl w:val="1"/>
          <w:numId w:val="22"/>
        </w:numPr>
      </w:pPr>
      <w:r w:rsidRPr="00C87C68">
        <w:t>Section title pages.</w:t>
      </w:r>
    </w:p>
    <w:p w14:paraId="7D18B047" w14:textId="77777777" w:rsidR="00C87C68" w:rsidRPr="00C87C68" w:rsidRDefault="00C87C68" w:rsidP="00C87C68">
      <w:pPr>
        <w:numPr>
          <w:ilvl w:val="1"/>
          <w:numId w:val="22"/>
        </w:numPr>
      </w:pPr>
      <w:r w:rsidRPr="00C87C68">
        <w:t>Key data visualizations (charts).</w:t>
      </w:r>
    </w:p>
    <w:p w14:paraId="372F8995" w14:textId="77777777" w:rsidR="00C87C68" w:rsidRPr="00C87C68" w:rsidRDefault="00C87C68" w:rsidP="00C87C68">
      <w:pPr>
        <w:numPr>
          <w:ilvl w:val="1"/>
          <w:numId w:val="22"/>
        </w:numPr>
      </w:pPr>
      <w:r w:rsidRPr="00C87C68">
        <w:t>Major pull quotes, which will be treated as graphic elements.</w:t>
      </w:r>
    </w:p>
    <w:p w14:paraId="35BDE149" w14:textId="77777777" w:rsidR="00C87C68" w:rsidRPr="00C87C68" w:rsidRDefault="00C87C68" w:rsidP="00C87C68">
      <w:pPr>
        <w:numPr>
          <w:ilvl w:val="1"/>
          <w:numId w:val="22"/>
        </w:numPr>
      </w:pPr>
      <w:r w:rsidRPr="00C87C68">
        <w:t>Introduction and Conclusion sections to create a sense of gravitas.</w:t>
      </w:r>
    </w:p>
    <w:p w14:paraId="50788449" w14:textId="77777777" w:rsidR="00C87C68" w:rsidRPr="00C87C68" w:rsidRDefault="00C87C68" w:rsidP="00C87C68">
      <w:pPr>
        <w:numPr>
          <w:ilvl w:val="0"/>
          <w:numId w:val="22"/>
        </w:numPr>
      </w:pPr>
      <w:r w:rsidRPr="00C87C68">
        <w:rPr>
          <w:b/>
          <w:bCs/>
        </w:rPr>
        <w:t>Whitespace:</w:t>
      </w:r>
      <w:r w:rsidRPr="00C87C68">
        <w:t> The margins should be generous. The space between elements should be consistent and clean. The overall aesthetic should be uncluttered, calm, and authoritative.</w:t>
      </w:r>
    </w:p>
    <w:p w14:paraId="3A77CB66" w14:textId="77777777" w:rsidR="00C87C68" w:rsidRPr="00C87C68" w:rsidRDefault="00C87C68" w:rsidP="00C87C68">
      <w:r w:rsidRPr="00C87C68">
        <w:rPr>
          <w:b/>
          <w:bCs/>
        </w:rPr>
        <w:t>B. Typography: The "High Contrast" Principle</w:t>
      </w:r>
    </w:p>
    <w:p w14:paraId="20C2CA98" w14:textId="77777777" w:rsidR="00C87C68" w:rsidRPr="00C87C68" w:rsidRDefault="00C87C68" w:rsidP="00C87C68">
      <w:pPr>
        <w:numPr>
          <w:ilvl w:val="0"/>
          <w:numId w:val="23"/>
        </w:numPr>
      </w:pPr>
      <w:r w:rsidRPr="00C87C68">
        <w:rPr>
          <w:b/>
          <w:bCs/>
        </w:rPr>
        <w:t>H1/H2 Headlines &amp; Pull Quotes (The Voice of Vision):</w:t>
      </w:r>
      <w:r w:rsidRPr="00C87C68">
        <w:t> Use a strong, elegant </w:t>
      </w:r>
      <w:r w:rsidRPr="00C87C68">
        <w:rPr>
          <w:b/>
          <w:bCs/>
        </w:rPr>
        <w:t>Serif</w:t>
      </w:r>
      <w:r w:rsidRPr="00C87C68">
        <w:t xml:space="preserve"> font. Suggestions: Garamond Pro, </w:t>
      </w:r>
      <w:proofErr w:type="spellStart"/>
      <w:r w:rsidRPr="00C87C68">
        <w:t>Tiempos</w:t>
      </w:r>
      <w:proofErr w:type="spellEnd"/>
      <w:r w:rsidRPr="00C87C68">
        <w:t xml:space="preserve"> Headline. It must feel traditional, authoritative, and intelligent.</w:t>
      </w:r>
    </w:p>
    <w:p w14:paraId="6BE2E815" w14:textId="77777777" w:rsidR="00C87C68" w:rsidRPr="00C87C68" w:rsidRDefault="00C87C68" w:rsidP="00C87C68">
      <w:pPr>
        <w:numPr>
          <w:ilvl w:val="0"/>
          <w:numId w:val="23"/>
        </w:numPr>
      </w:pPr>
      <w:r w:rsidRPr="00C87C68">
        <w:rPr>
          <w:b/>
          <w:bCs/>
        </w:rPr>
        <w:t>H3/Body Copy &amp; Captions (The Voice of Execution):</w:t>
      </w:r>
      <w:r w:rsidRPr="00C87C68">
        <w:t> Use a clean, highly legible </w:t>
      </w:r>
      <w:r w:rsidRPr="00C87C68">
        <w:rPr>
          <w:b/>
          <w:bCs/>
        </w:rPr>
        <w:t>Sans-Serif</w:t>
      </w:r>
      <w:r w:rsidRPr="00C87C68">
        <w:t xml:space="preserve"> font. Suggestions: Inter, Helvetica Neue, </w:t>
      </w:r>
      <w:proofErr w:type="spellStart"/>
      <w:r w:rsidRPr="00C87C68">
        <w:t>Akkurat</w:t>
      </w:r>
      <w:proofErr w:type="spellEnd"/>
      <w:r w:rsidRPr="00C87C68">
        <w:t>. It must be modern, clear, and objective.</w:t>
      </w:r>
    </w:p>
    <w:p w14:paraId="7AEE56AD" w14:textId="77777777" w:rsidR="00C87C68" w:rsidRPr="00C87C68" w:rsidRDefault="00C87C68" w:rsidP="00C87C68">
      <w:pPr>
        <w:numPr>
          <w:ilvl w:val="0"/>
          <w:numId w:val="23"/>
        </w:numPr>
      </w:pPr>
      <w:r w:rsidRPr="00C87C68">
        <w:rPr>
          <w:b/>
          <w:bCs/>
        </w:rPr>
        <w:t>Hierarchy:</w:t>
      </w:r>
      <w:r w:rsidRPr="00C87C68">
        <w:t> The typographic hierarchy must be flawless and immediately obvious. Use a clear scale of size and weight. All H1/H2 titles must be "Action Titles" (full sentences), set in Title Case. All H3 and below will be Sentence case.</w:t>
      </w:r>
    </w:p>
    <w:p w14:paraId="24801E2A" w14:textId="77777777" w:rsidR="00C87C68" w:rsidRPr="00C87C68" w:rsidRDefault="00C87C68" w:rsidP="00C87C68">
      <w:r w:rsidRPr="00C87C68">
        <w:rPr>
          <w:b/>
          <w:bCs/>
        </w:rPr>
        <w:t>C. Imagery &amp; Image Placement: "Structured Abstraction"</w:t>
      </w:r>
    </w:p>
    <w:p w14:paraId="6211F9B6" w14:textId="77777777" w:rsidR="00C87C68" w:rsidRPr="00C87C68" w:rsidRDefault="00C87C68" w:rsidP="00C87C68">
      <w:pPr>
        <w:numPr>
          <w:ilvl w:val="0"/>
          <w:numId w:val="24"/>
        </w:numPr>
      </w:pPr>
      <w:r w:rsidRPr="00C87C68">
        <w:rPr>
          <w:b/>
          <w:bCs/>
        </w:rPr>
        <w:t>Core Mandate:</w:t>
      </w:r>
      <w:r w:rsidRPr="00C87C68">
        <w:t> </w:t>
      </w:r>
      <w:r w:rsidRPr="00C87C68">
        <w:rPr>
          <w:b/>
          <w:bCs/>
        </w:rPr>
        <w:t>ZERO stock photography.</w:t>
      </w:r>
      <w:r w:rsidRPr="00C87C68">
        <w:t> Absolutely no generic images of business meetings, lightbulbs, or chess pieces. Our imagery must be as intelligent as our text.</w:t>
      </w:r>
    </w:p>
    <w:p w14:paraId="66A5ADC1" w14:textId="77777777" w:rsidR="00C87C68" w:rsidRPr="00C87C68" w:rsidRDefault="00C87C68" w:rsidP="00C87C68">
      <w:pPr>
        <w:numPr>
          <w:ilvl w:val="0"/>
          <w:numId w:val="24"/>
        </w:numPr>
      </w:pPr>
      <w:r w:rsidRPr="00C87C68">
        <w:rPr>
          <w:b/>
          <w:bCs/>
        </w:rPr>
        <w:t>Image Style:</w:t>
      </w:r>
      <w:r w:rsidRPr="00C87C68">
        <w:t> The approved visual style is one of "structured abstraction." Think architectural blueprints, minimalist node-and-link diagrams, and clean, abstract geometric forms. The goal is to visualize concepts like "structure," "flow," and "connection" in a sophisticated, non-literal way.</w:t>
      </w:r>
    </w:p>
    <w:p w14:paraId="7D07C1DE" w14:textId="77777777" w:rsidR="00C87C68" w:rsidRPr="00C87C68" w:rsidRDefault="00C87C68" w:rsidP="00C87C68">
      <w:pPr>
        <w:numPr>
          <w:ilvl w:val="0"/>
          <w:numId w:val="24"/>
        </w:numPr>
      </w:pPr>
      <w:r w:rsidRPr="00C87C68">
        <w:rPr>
          <w:b/>
          <w:bCs/>
        </w:rPr>
        <w:t>Image Placement:</w:t>
      </w:r>
    </w:p>
    <w:p w14:paraId="2DA54C0C" w14:textId="77777777" w:rsidR="00C87C68" w:rsidRPr="00C87C68" w:rsidRDefault="00C87C68" w:rsidP="00C87C68">
      <w:pPr>
        <w:numPr>
          <w:ilvl w:val="1"/>
          <w:numId w:val="24"/>
        </w:numPr>
      </w:pPr>
      <w:r w:rsidRPr="00C87C68">
        <w:rPr>
          <w:b/>
          <w:bCs/>
        </w:rPr>
        <w:t>Section Breaks:</w:t>
      </w:r>
      <w:r w:rsidRPr="00C87C68">
        <w:t> A single, powerful, full-bleed abstract image or diagram can be used to introduce each major part of the playbook.</w:t>
      </w:r>
    </w:p>
    <w:p w14:paraId="39633F80" w14:textId="77777777" w:rsidR="00C87C68" w:rsidRPr="00C87C68" w:rsidRDefault="00C87C68" w:rsidP="00C87C68">
      <w:pPr>
        <w:numPr>
          <w:ilvl w:val="1"/>
          <w:numId w:val="24"/>
        </w:numPr>
      </w:pPr>
      <w:r w:rsidRPr="00C87C68">
        <w:rPr>
          <w:b/>
          <w:bCs/>
        </w:rPr>
        <w:t>In-line Graphics:</w:t>
      </w:r>
      <w:r w:rsidRPr="00C87C68">
        <w:t> Small, clean diagrams or minimalist icons can be placed within the two-column grid to support a specific point. They should anchor to the text, not float randomly.</w:t>
      </w:r>
    </w:p>
    <w:p w14:paraId="2F87F4DB" w14:textId="77777777" w:rsidR="00C87C68" w:rsidRPr="00C87C68" w:rsidRDefault="00C87C68" w:rsidP="00C87C68">
      <w:pPr>
        <w:numPr>
          <w:ilvl w:val="1"/>
          <w:numId w:val="24"/>
        </w:numPr>
      </w:pPr>
      <w:r w:rsidRPr="00C87C68">
        <w:rPr>
          <w:b/>
          <w:bCs/>
        </w:rPr>
        <w:t>Data Visualization:</w:t>
      </w:r>
      <w:r w:rsidRPr="00C87C68">
        <w:t xml:space="preserve"> All charts must be </w:t>
      </w:r>
      <w:proofErr w:type="gramStart"/>
      <w:r w:rsidRPr="00C87C68">
        <w:t>full-width</w:t>
      </w:r>
      <w:proofErr w:type="gramEnd"/>
      <w:r w:rsidRPr="00C87C68">
        <w:t xml:space="preserve">. They are the "protagonist" of their page. They will adhere to the minimalist consulting style: clean bar charts, a single accent </w:t>
      </w:r>
      <w:proofErr w:type="spellStart"/>
      <w:r w:rsidRPr="00C87C68">
        <w:t>color</w:t>
      </w:r>
      <w:proofErr w:type="spellEnd"/>
      <w:r w:rsidRPr="00C87C68">
        <w:t xml:space="preserve"> for highlighting, and a declarative "Action Title."</w:t>
      </w:r>
    </w:p>
    <w:p w14:paraId="0DC949DB" w14:textId="77777777" w:rsidR="00C87C68" w:rsidRPr="00C87C68" w:rsidRDefault="00C87C68" w:rsidP="00C87C68">
      <w:r w:rsidRPr="00C87C68">
        <w:rPr>
          <w:b/>
          <w:bCs/>
        </w:rPr>
        <w:t xml:space="preserve">D. Body Text &amp; On-Page Elements: Engineering for </w:t>
      </w:r>
      <w:proofErr w:type="spellStart"/>
      <w:r w:rsidRPr="00C87C68">
        <w:rPr>
          <w:b/>
          <w:bCs/>
        </w:rPr>
        <w:t>Scannability</w:t>
      </w:r>
      <w:proofErr w:type="spellEnd"/>
    </w:p>
    <w:p w14:paraId="7E23174B" w14:textId="77777777" w:rsidR="00C87C68" w:rsidRPr="00C87C68" w:rsidRDefault="00C87C68" w:rsidP="00C87C68">
      <w:r w:rsidRPr="00C87C68">
        <w:t>The writers will provide copy that adheres to the playbook's principles. The design must support and enhance this structure.</w:t>
      </w:r>
    </w:p>
    <w:p w14:paraId="2341960E" w14:textId="77777777" w:rsidR="00C87C68" w:rsidRPr="00C87C68" w:rsidRDefault="00C87C68" w:rsidP="00C87C68">
      <w:pPr>
        <w:numPr>
          <w:ilvl w:val="0"/>
          <w:numId w:val="25"/>
        </w:numPr>
      </w:pPr>
      <w:r w:rsidRPr="00C87C68">
        <w:rPr>
          <w:b/>
          <w:bCs/>
        </w:rPr>
        <w:t>Paragraphs:</w:t>
      </w:r>
      <w:r w:rsidRPr="00C87C68">
        <w:t> The copy will consist of short, concise paragraphs. Ensure the line spacing (leading) is generous (approx. 1.5x font size) to make these blocks feel airy and easy to read.</w:t>
      </w:r>
    </w:p>
    <w:p w14:paraId="262649AA" w14:textId="77777777" w:rsidR="00C87C68" w:rsidRPr="00C87C68" w:rsidRDefault="00C87C68" w:rsidP="00C87C68">
      <w:pPr>
        <w:numPr>
          <w:ilvl w:val="0"/>
          <w:numId w:val="25"/>
        </w:numPr>
      </w:pPr>
      <w:r w:rsidRPr="00C87C68">
        <w:rPr>
          <w:b/>
          <w:bCs/>
        </w:rPr>
        <w:t>Lists:</w:t>
      </w:r>
      <w:r w:rsidRPr="00C87C68">
        <w:t> Bulleted and numbered lists will be used extensively. Please design a clean, minimalist style for these. Avoid overly ornate bullet points. A simple dot or a clean number is sufficient.</w:t>
      </w:r>
    </w:p>
    <w:p w14:paraId="25E4C98A" w14:textId="77777777" w:rsidR="00C87C68" w:rsidRPr="00C87C68" w:rsidRDefault="00C87C68" w:rsidP="00C87C68">
      <w:pPr>
        <w:numPr>
          <w:ilvl w:val="0"/>
          <w:numId w:val="25"/>
        </w:numPr>
      </w:pPr>
      <w:r w:rsidRPr="00C87C68">
        <w:rPr>
          <w:b/>
          <w:bCs/>
        </w:rPr>
        <w:t>Pull Quotes:</w:t>
      </w:r>
      <w:r w:rsidRPr="00C87C68">
        <w:t> Key sentences should be pulled out of the text and treated as major graphic elements. Place them in a full-width break, set in our large serif font, to create a rhythm and emphasize key ideas.</w:t>
      </w:r>
    </w:p>
    <w:p w14:paraId="5514713F" w14:textId="77777777" w:rsidR="00C87C68" w:rsidRPr="00C87C68" w:rsidRDefault="00C87C68" w:rsidP="00C87C68">
      <w:pPr>
        <w:numPr>
          <w:ilvl w:val="0"/>
          <w:numId w:val="25"/>
        </w:numPr>
      </w:pPr>
      <w:r w:rsidRPr="00C87C68">
        <w:rPr>
          <w:b/>
          <w:bCs/>
        </w:rPr>
        <w:t>Bolded Text:</w:t>
      </w:r>
      <w:r w:rsidRPr="00C87C68">
        <w:t> The writers will use bolding to highlight key terms within a sentence (e.g., </w:t>
      </w:r>
      <w:r w:rsidRPr="00C87C68">
        <w:rPr>
          <w:b/>
          <w:bCs/>
        </w:rPr>
        <w:t>Pyramid Principle</w:t>
      </w:r>
      <w:r w:rsidRPr="00C87C68">
        <w:t>, </w:t>
      </w:r>
      <w:r w:rsidRPr="00C87C68">
        <w:rPr>
          <w:b/>
          <w:bCs/>
        </w:rPr>
        <w:t>MECE Framework</w:t>
      </w:r>
      <w:r w:rsidRPr="00C87C68">
        <w:t>). The chosen sans-serif font must have a medium or semi-bold weight that stands out clearly without being jarring.</w:t>
      </w:r>
    </w:p>
    <w:p w14:paraId="0C496DFC" w14:textId="77777777" w:rsidR="00C87C68" w:rsidRPr="00C87C68" w:rsidRDefault="00C87C68" w:rsidP="00C87C68">
      <w:pPr>
        <w:rPr>
          <w:b/>
          <w:bCs/>
        </w:rPr>
      </w:pPr>
      <w:r w:rsidRPr="00C87C68">
        <w:rPr>
          <w:b/>
          <w:bCs/>
        </w:rPr>
        <w:t>4. Final Review: The Litmus Test</w:t>
      </w:r>
    </w:p>
    <w:p w14:paraId="780D05D4" w14:textId="77777777" w:rsidR="00C87C68" w:rsidRPr="00C87C68" w:rsidRDefault="00C87C68" w:rsidP="00C87C68">
      <w:r w:rsidRPr="00C87C68">
        <w:t>Before finalizing, ask this question of every page spread: </w:t>
      </w:r>
      <w:r w:rsidRPr="00C87C68">
        <w:rPr>
          <w:b/>
          <w:bCs/>
        </w:rPr>
        <w:t>"Does this look and feel like a document for which a client would pay $500,000?"</w:t>
      </w:r>
    </w:p>
    <w:p w14:paraId="26A59971" w14:textId="77777777" w:rsidR="00C87C68" w:rsidRPr="00C87C68" w:rsidRDefault="00C87C68" w:rsidP="00C87C68">
      <w:r w:rsidRPr="00C87C68">
        <w:t xml:space="preserve">If the answer is yes, we have succeeded. Let's create the definitive guide to authoritative writing, and let's ensure the final product is a </w:t>
      </w:r>
      <w:proofErr w:type="gramStart"/>
      <w:r w:rsidRPr="00C87C68">
        <w:t>masterclass in its own right</w:t>
      </w:r>
      <w:proofErr w:type="gramEnd"/>
      <w:r w:rsidRPr="00C87C68">
        <w:t>.</w:t>
      </w:r>
    </w:p>
    <w:p w14:paraId="7F82DDED" w14:textId="49367244" w:rsidR="00403FA3" w:rsidRPr="006D28FD" w:rsidRDefault="00403FA3" w:rsidP="006D28FD"/>
    <w:sectPr w:rsidR="00403FA3" w:rsidRPr="006D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B60"/>
    <w:multiLevelType w:val="multilevel"/>
    <w:tmpl w:val="979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05EA"/>
    <w:multiLevelType w:val="multilevel"/>
    <w:tmpl w:val="0A7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3913"/>
    <w:multiLevelType w:val="multilevel"/>
    <w:tmpl w:val="8F6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587C"/>
    <w:multiLevelType w:val="multilevel"/>
    <w:tmpl w:val="C7E8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B0A74"/>
    <w:multiLevelType w:val="multilevel"/>
    <w:tmpl w:val="475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A39A0"/>
    <w:multiLevelType w:val="multilevel"/>
    <w:tmpl w:val="C90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1969"/>
    <w:multiLevelType w:val="multilevel"/>
    <w:tmpl w:val="298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90142"/>
    <w:multiLevelType w:val="multilevel"/>
    <w:tmpl w:val="D78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1224"/>
    <w:multiLevelType w:val="multilevel"/>
    <w:tmpl w:val="2E1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90304"/>
    <w:multiLevelType w:val="multilevel"/>
    <w:tmpl w:val="C16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E7EF8"/>
    <w:multiLevelType w:val="multilevel"/>
    <w:tmpl w:val="7E10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E0A76"/>
    <w:multiLevelType w:val="multilevel"/>
    <w:tmpl w:val="2A2C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15824"/>
    <w:multiLevelType w:val="multilevel"/>
    <w:tmpl w:val="6F7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22BE3"/>
    <w:multiLevelType w:val="multilevel"/>
    <w:tmpl w:val="DEC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91009"/>
    <w:multiLevelType w:val="multilevel"/>
    <w:tmpl w:val="AEAE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2D5E"/>
    <w:multiLevelType w:val="multilevel"/>
    <w:tmpl w:val="499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521F5"/>
    <w:multiLevelType w:val="multilevel"/>
    <w:tmpl w:val="DC1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B24B8"/>
    <w:multiLevelType w:val="multilevel"/>
    <w:tmpl w:val="BB9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06944"/>
    <w:multiLevelType w:val="multilevel"/>
    <w:tmpl w:val="268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7699F"/>
    <w:multiLevelType w:val="multilevel"/>
    <w:tmpl w:val="A40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170B7"/>
    <w:multiLevelType w:val="multilevel"/>
    <w:tmpl w:val="EC96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21FE4"/>
    <w:multiLevelType w:val="multilevel"/>
    <w:tmpl w:val="4A6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B60D1"/>
    <w:multiLevelType w:val="multilevel"/>
    <w:tmpl w:val="F8E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3538">
    <w:abstractNumId w:val="0"/>
  </w:num>
  <w:num w:numId="2" w16cid:durableId="118039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50469947">
    <w:abstractNumId w:val="2"/>
  </w:num>
  <w:num w:numId="4" w16cid:durableId="292450135">
    <w:abstractNumId w:val="14"/>
  </w:num>
  <w:num w:numId="5" w16cid:durableId="1538666021">
    <w:abstractNumId w:val="10"/>
  </w:num>
  <w:num w:numId="6" w16cid:durableId="379137109">
    <w:abstractNumId w:val="21"/>
  </w:num>
  <w:num w:numId="7" w16cid:durableId="1151403188">
    <w:abstractNumId w:val="8"/>
  </w:num>
  <w:num w:numId="8" w16cid:durableId="33144640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19561330">
    <w:abstractNumId w:val="7"/>
  </w:num>
  <w:num w:numId="10" w16cid:durableId="2003508121">
    <w:abstractNumId w:val="3"/>
  </w:num>
  <w:num w:numId="11" w16cid:durableId="1616133539">
    <w:abstractNumId w:val="20"/>
  </w:num>
  <w:num w:numId="12" w16cid:durableId="2094080246">
    <w:abstractNumId w:val="17"/>
  </w:num>
  <w:num w:numId="13" w16cid:durableId="251939531">
    <w:abstractNumId w:val="22"/>
  </w:num>
  <w:num w:numId="14" w16cid:durableId="278607497">
    <w:abstractNumId w:val="1"/>
  </w:num>
  <w:num w:numId="15" w16cid:durableId="252280377">
    <w:abstractNumId w:val="18"/>
  </w:num>
  <w:num w:numId="16" w16cid:durableId="307822975">
    <w:abstractNumId w:val="6"/>
  </w:num>
  <w:num w:numId="17" w16cid:durableId="2058358832">
    <w:abstractNumId w:val="4"/>
  </w:num>
  <w:num w:numId="18" w16cid:durableId="20472829">
    <w:abstractNumId w:val="16"/>
  </w:num>
  <w:num w:numId="19" w16cid:durableId="214127965">
    <w:abstractNumId w:val="13"/>
  </w:num>
  <w:num w:numId="20" w16cid:durableId="1293092281">
    <w:abstractNumId w:val="5"/>
  </w:num>
  <w:num w:numId="21" w16cid:durableId="1766225721">
    <w:abstractNumId w:val="11"/>
  </w:num>
  <w:num w:numId="22" w16cid:durableId="1170370161">
    <w:abstractNumId w:val="9"/>
  </w:num>
  <w:num w:numId="23" w16cid:durableId="1085347298">
    <w:abstractNumId w:val="12"/>
  </w:num>
  <w:num w:numId="24" w16cid:durableId="1487820581">
    <w:abstractNumId w:val="15"/>
  </w:num>
  <w:num w:numId="25" w16cid:durableId="15484957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A3"/>
    <w:rsid w:val="002460D0"/>
    <w:rsid w:val="00403FA3"/>
    <w:rsid w:val="006D28FD"/>
    <w:rsid w:val="00C87C68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FBC0"/>
  <w15:chartTrackingRefBased/>
  <w15:docId w15:val="{46267ED2-496E-491F-8B2D-4196879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Solent Fuels</dc:creator>
  <cp:keywords/>
  <dc:description/>
  <cp:lastModifiedBy>Solent Fuels</cp:lastModifiedBy>
  <cp:revision>1</cp:revision>
  <cp:lastPrinted>2025-09-07T19:18:00Z</cp:lastPrinted>
  <dcterms:created xsi:type="dcterms:W3CDTF">2025-09-07T13:45:00Z</dcterms:created>
  <dcterms:modified xsi:type="dcterms:W3CDTF">2025-09-07T19:35:00Z</dcterms:modified>
</cp:coreProperties>
</file>