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Pontifícia Universidade Católica de Minas Gerais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6"/>
          <w:szCs w:val="36"/>
        </w:rPr>
        <w:t>Analise de Artigo Ciêntífico</w:t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Davi Cunha Silva – 628007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Computadores e Sociedade – 7617.1.00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Correlação entre o </w:t>
      </w:r>
      <w:r>
        <w:rPr>
          <w:rFonts w:ascii="Arial" w:hAnsi="Arial"/>
          <w:b/>
          <w:bCs/>
          <w:i/>
          <w:iCs/>
          <w:sz w:val="28"/>
          <w:szCs w:val="28"/>
        </w:rPr>
        <w:t>paper Artificial Intelligence and the Future of Growth e o artigo Ethics in artificial intelligence: introduction to the special issue</w:t>
      </w:r>
    </w:p>
    <w:p>
      <w:pPr>
        <w:pStyle w:val="Normal"/>
        <w:spacing w:lineRule="auto" w:line="36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paper Artificial Intelligence and the Future of Growth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e o artigo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Ethics in artificial intelligence: introduction to the special issue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possuem uma correlação direta entre eles. O paper citado se trata do impacto que a inteligência artificial provocará nas sociedades humanas ao redor do globo, exaltando os pontos primordiais desse assunto. Considerando a crescente avanço da inteligência artificial nas próximas décadas e a evidente substituição de seres humanos por robôs inteligentes no ambiente de trabalho.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Levando em conta que com a substituição da maior parte dos humanos, desde modo, eventualmente delegando a sistemas inteligentes a tarefa de resolução de problemas complexos envolvendo questões jurídicas. O artigo citado complementa 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paper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, debatendo a viabilidade da delegação de tarefas que compõe parte da formação das sociedades humanas, o judiciário. É desenvolvido também a argumentos, ainda que poucos, para a regulação da presença artificial nos diversos setores, levando em consideração a necessidade dos sistemas artificial seguirem os padrões éticos e morais nas quais os mesmos estiverem inseridos.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Aghion, Philippe, Jones, Benjamin, Jones, Charles. Artificial Intelligence and Economic Growth. </w:t>
      </w:r>
      <w:r>
        <w:rPr>
          <w:rFonts w:ascii="Arial" w:hAnsi="Arial"/>
          <w:b w:val="false"/>
          <w:bCs w:val="false"/>
          <w:sz w:val="24"/>
          <w:szCs w:val="24"/>
          <w:u w:val="single"/>
        </w:rPr>
        <w:t xml:space="preserve">Revista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single"/>
        </w:rPr>
        <w:t>the NATIONAL BUREAU of ECONOMIC RESEARCH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NBER Working Paper No. 23928</w:t>
      </w:r>
      <w:r>
        <w:rPr>
          <w:rFonts w:ascii="Arial" w:hAnsi="Arial"/>
          <w:b w:val="false"/>
          <w:bCs w:val="false"/>
          <w:sz w:val="24"/>
          <w:szCs w:val="24"/>
        </w:rPr>
        <w:t>, Outubro de 2017. Disponível em: http://www.nber.org/papers/w23928 Acesso em: 14 de Abril de 2018.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Dignum, Virginia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. Ethics in artificial intelligence: introduction to the special issue.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single"/>
        </w:rPr>
        <w:t>Diário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single"/>
        </w:rPr>
        <w:t xml:space="preserve"> Ethics and Information Technology.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 xml:space="preserve"> 13 de Fevereiro 2018.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Disponível em: </w:t>
      </w:r>
      <w:hyperlink r:id="rId2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https://doi.org/10.1007/s10676-018-9450-z</w:t>
        </w:r>
      </w:hyperlink>
      <w:hyperlink r:id="rId3">
        <w:r>
          <w:rPr>
            <w:rFonts w:ascii="Arial" w:hAnsi="Arial"/>
            <w:b w:val="false"/>
            <w:bCs w:val="false"/>
            <w:i w:val="false"/>
            <w:iCs w:val="false"/>
            <w:sz w:val="24"/>
            <w:szCs w:val="24"/>
          </w:rPr>
          <w:t>. Acesso em: 14 de novembro de 2015.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07/s10676-018-9450-z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LibreOffice/5.3.7.2$Windows_X86_64 LibreOffice_project/6b8ed514a9f8b44d37a1b96673cbbdd077e24059</Application>
  <Pages>2</Pages>
  <Words>273</Words>
  <Characters>1676</Characters>
  <CharactersWithSpaces>1946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2018-04-16T21:59:53Z</dcterms:created>
  <dc:creator/>
  <dc:description/>
  <dc:language>pt-BR</dc:language>
  <cp:lastModifiedBy/>
  <dcterms:modified xsi:type="dcterms:W3CDTF">2018-04-24T14:14:52Z</dcterms:modified>
  <cp:revision>7</cp:revision>
  <dc:subject/>
  <dc:title/>
</cp:coreProperties>
</file>