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2240"/>
          <w:sz w:val="26"/>
        </w:rPr>
        <w:t>INSTRUMENTO PARTICULAR DE CONTRATO DE LICENCIAMENTO DE SOFTWARE, HOSPEDAGEM EM NUVEM E PRESTAÇÃO DE SERVIÇOS TÉCNICOS</w:t>
      </w:r>
    </w:p>
    <w:p>
      <w:pPr>
        <w:spacing w:before="0" w:after="360"/>
        <w:jc w:val="center"/>
      </w:pPr>
      <w:r>
        <w:rPr>
          <w:rFonts w:ascii="Arial" w:hAnsi="Arial"/>
          <w:b/>
          <w:color w:val="1A56DB"/>
          <w:sz w:val="19"/>
        </w:rPr>
        <w:t>SISTEMA DE GESTÃO CLÍNICA, AGENDAMENTO INTELIGENTE E PRONTUÁRIO ELETRÔNICO (CLINIX)</w:t>
      </w:r>
    </w:p>
    <w:p>
      <w:pPr>
        <w:spacing w:before="0" w:after="8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Pelo presente instrumento particular de contrato, de um lado: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072"/>
      </w:tblGrid>
      <w:tr>
        <w:tc>
          <w:tcPr>
            <w:tcW w:type="dxa" w:w="907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240"/>
                <w:sz w:val="20"/>
              </w:rPr>
              <w:t>CONTRATADO / DESENVOLVEDOR:</w:t>
              <w:br/>
            </w:r>
            <w:r>
              <w:rPr>
                <w:rFonts w:ascii="Arial" w:hAnsi="Arial"/>
                <w:color w:val="334155"/>
                <w:sz w:val="19"/>
              </w:rPr>
              <w:t>DAVI FELINTO DOS SANTOS, brasileiro, solteiro, desenvolvedor e engenheiro de software, inscrito no CPF sob o nº [000.000.000-00], residente e domiciliado em Brasília, Distrito Federal, contato eletrônico: davifd0978@gmail.com, doravante denominado simplesmente CONTRATADO.</w:t>
            </w:r>
          </w:p>
        </w:tc>
      </w:tr>
      <w:tr>
        <w:tc>
          <w:tcPr>
            <w:tcW w:type="dxa" w:w="9072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2240"/>
                <w:sz w:val="20"/>
              </w:rPr>
              <w:t>CONTRATANTE / CLÍNICA OU PROFISSIONAL:</w:t>
              <w:br/>
            </w:r>
            <w:r>
              <w:rPr>
                <w:rFonts w:ascii="Arial" w:hAnsi="Arial"/>
                <w:color w:val="334155"/>
                <w:sz w:val="19"/>
              </w:rPr>
              <w:t>[RAZÃO SOCIAL DA CLÍNICA OU NOME DO PROFISSIONAL], pessoa jurídica de direito privado / pessoa física, inscrita no CNPJ/CPF sob o nº [00.000.000/0001-00], com sede/consultório em [LOGRADOURO, NÚMERO, BAIRRO, CIDADE - DF, CEP], e-mail institucional [contato@clinica.com.br], representada por [NOME DO RESPONSÁVEL LEGAL], [CRM/CRO/CRP nº 00000-DF], CPF [000.000.000-00], doravante denominada simplesmente CONTRATANTE.</w:t>
            </w:r>
          </w:p>
        </w:tc>
      </w:tr>
    </w:tbl>
    <w:p>
      <w:pPr>
        <w:spacing w:after="80"/>
      </w:pPr>
    </w:p>
    <w:p>
      <w:pPr>
        <w:spacing w:before="0" w:after="160" w:line="276" w:lineRule="auto"/>
        <w:jc w:val="both"/>
      </w:pPr>
      <w:r>
        <w:rPr>
          <w:rFonts w:ascii="Arial" w:hAnsi="Arial"/>
          <w:i/>
          <w:color w:val="334155"/>
          <w:sz w:val="20"/>
        </w:rPr>
        <w:t>As partes, de comum acordo, têm entre si justo e contratado o que se regerá pelas seguintes cláusulas e condições: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PRIMEIRA — DO OBJETO DO CONTRATO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1.1. O presente contrato tem por objeto o licenciamento do direito de uso da plataforma computacional denominada CLINIX (Sistema de Agendamento, Prontuário Eletrônico e Gestão para Clínicas e Consultórios), bem como a prestação dos serviços técnicos de implantação, parametrização, migração inicial de dados, treinamento operacional e suporte técnico, em conformidade com a modalidade comercial formalmente assinalada pelas partes no ANEXO I deste instrumento.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1.2. O software Clinix contempla os seguintes módulos integrados: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de Agenda Inteligente: </w:t>
      </w:r>
      <w:r>
        <w:rPr>
          <w:rFonts w:ascii="Arial" w:hAnsi="Arial"/>
          <w:color w:val="334155"/>
          <w:sz w:val="19"/>
        </w:rPr>
        <w:t>Controle de horários, bloqueios de agenda, verificação algorítmica de conflitos (regras anti-overbooking), controle de sala de espera e justificativa obrigatória de cancelamentos;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de Pacientes: </w:t>
      </w:r>
      <w:r>
        <w:rPr>
          <w:rFonts w:ascii="Arial" w:hAnsi="Arial"/>
          <w:color w:val="334155"/>
          <w:sz w:val="19"/>
        </w:rPr>
        <w:t>Ficha cadastral completa, autocompletar de endereços via API ViaCEP, histórico de agendamentos e inativação lógica com anonimização LGPD;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de Prontuário Eletrônico (PEP): </w:t>
      </w:r>
      <w:r>
        <w:rPr>
          <w:rFonts w:ascii="Arial" w:hAnsi="Arial"/>
          <w:color w:val="334155"/>
          <w:sz w:val="19"/>
        </w:rPr>
        <w:t>Anamnese, queixas, evolução clínica, diagnósticos e atestados, com versionamento imutável de anotações (que impede a exclusão ou adulteração do histórico clínico pretérito) e trilha de auditoria de acessos;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de Notificações WhatsApp: </w:t>
      </w:r>
      <w:r>
        <w:rPr>
          <w:rFonts w:ascii="Arial" w:hAnsi="Arial"/>
          <w:color w:val="334155"/>
          <w:sz w:val="19"/>
        </w:rPr>
        <w:t>Gatilhos de disparo de mensagens de confirmação e lembretes aos pacientes via WhatsApp, com links diretos;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Financeiro: </w:t>
      </w:r>
      <w:r>
        <w:rPr>
          <w:rFonts w:ascii="Arial" w:hAnsi="Arial"/>
          <w:color w:val="334155"/>
          <w:sz w:val="19"/>
        </w:rPr>
        <w:t>Lançamentos de despesas/receitas, fluxo de caixa, controle de status de recebimento e suporte nativo a pagamentos divididos/mistos (ex: entrada em dinheiro e saldo no cartão);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Módulo de Fidelização, Ouvidoria e Exames: </w:t>
      </w:r>
      <w:r>
        <w:rPr>
          <w:rFonts w:ascii="Arial" w:hAnsi="Arial"/>
          <w:color w:val="334155"/>
          <w:sz w:val="19"/>
        </w:rPr>
        <w:t>Alerta preventivo semestral (check-up 180+ dias), pesquisa de satisfação de atendimento (1 a 5 estrelas) e rastreamento do ciclo de vida de amostras laboratoriais externas.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SEGUNDA — DAS MODALIDADES DE CONTRATAÇÃO (ESCOLHA NO ANEXO I)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2.1. O presente contrato opera sob uma estrutura híbrida, cabendo às partes eleger formalmente no ANEXO I uma das duas modalidades comerciais abaixo: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2240"/>
          <w:sz w:val="20"/>
        </w:rPr>
        <w:t xml:space="preserve">PARÁGRAFO PRIMEIRO: </w:t>
      </w:r>
      <w:r>
        <w:rPr>
          <w:rFonts w:ascii="Arial" w:hAnsi="Arial"/>
          <w:i w:val="0"/>
          <w:color w:val="334155"/>
          <w:sz w:val="20"/>
        </w:rPr>
        <w:t>2.2. PARÁGRAFO PRIMEIRO — DA MODALIDADE A: SOFTWARE COMO SERVIÇO (SaaS / ASSINATURA RECORRENTE):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Caso eleita a Modalidade A, aplicam-se as seguintes condições específicas: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I. Taxa Única de Adesão e Implantação (Setup): </w:t>
      </w:r>
      <w:r>
        <w:rPr>
          <w:rFonts w:ascii="Arial" w:hAnsi="Arial"/>
          <w:color w:val="334155"/>
          <w:sz w:val="19"/>
        </w:rPr>
        <w:t>R$ 290,00 (duzentos e noventa reais), quitados em parcela única na assinatura deste contrato, cobrindo a parametrização de profissionais/horários, importação e saneamento da base existente de pacientes, provisionamento do banco de dados relacional dedicado na nuvem e treinamento operacional da equipe da clínica;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II. Mensalidade de Parceiro Fundador: </w:t>
      </w:r>
      <w:r>
        <w:rPr>
          <w:rFonts w:ascii="Arial" w:hAnsi="Arial"/>
          <w:color w:val="334155"/>
          <w:sz w:val="19"/>
        </w:rPr>
        <w:t>R$ 179,00 (cento e setenta e nove reais) mensais, com carência da 1ª mensalidade de 30 (trinta) dias após a entrada em operação definitiva, permitindo o uso completo da plataforma no primeiro mês antes da primeira cobrança recorrente;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III. Serviços e Nuvem Inclusos: </w:t>
      </w:r>
      <w:r>
        <w:rPr>
          <w:rFonts w:ascii="Arial" w:hAnsi="Arial"/>
          <w:color w:val="334155"/>
          <w:sz w:val="19"/>
        </w:rPr>
        <w:t>Servidores web e banco de dados relacional (MySQL) em nuvem gerenciada com custos 100% inclusos na mensalidade, rotinas diárias e automáticas de backup em nuvem, suporte técnico contínuo e direito ao recebimento automático de todas as atualizações evolutivas da plataforma Clinix.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2240"/>
          <w:sz w:val="20"/>
        </w:rPr>
        <w:t xml:space="preserve">PARÁGRAFO SEGUNDO: </w:t>
      </w:r>
      <w:r>
        <w:rPr>
          <w:rFonts w:ascii="Arial" w:hAnsi="Arial"/>
          <w:i w:val="0"/>
          <w:color w:val="334155"/>
          <w:sz w:val="20"/>
        </w:rPr>
        <w:t>2.3. PARÁGRAFO SEGUNDO — DA MODALIDADE B: PROJETO DEDICADO FECHADO (LICENÇA PERPÉTUA DEDICADA):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Caso eleita a Modalidade B, aplicam-se as seguintes condições específicas: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I. Valor Total Fechado: </w:t>
      </w:r>
      <w:r>
        <w:rPr>
          <w:rFonts w:ascii="Arial" w:hAnsi="Arial"/>
          <w:color w:val="334155"/>
          <w:sz w:val="19"/>
        </w:rPr>
        <w:t>R$ 2.400,00 (dois mil e quatrocentos reais), liquidado em 3 (três) marcos de entrega: (a) Entrada de 40% (R$ 960,00) na assinatura; (b) Entrega Intermediária de 30% (R$ 720,00) após validação do ambiente com dados reais; (c) Homologação Final de 30% (R$ 720,00) na liberação em produção e conclusão do treinamento;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II. Infraestrutura e Custos de Nuvem: </w:t>
      </w:r>
      <w:r>
        <w:rPr>
          <w:rFonts w:ascii="Arial" w:hAnsi="Arial"/>
          <w:color w:val="334155"/>
          <w:sz w:val="19"/>
        </w:rPr>
        <w:t>As contas e custos mensais de servidores e banco de dados em nuvem serão cadastrados e faturados diretamente no nome e cartão da CONTRATANTE, sendo esta a titular das faturas de nuvem;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III. Garantia Técnica Total de 90 Dias: </w:t>
      </w:r>
      <w:r>
        <w:rPr>
          <w:rFonts w:ascii="Arial" w:hAnsi="Arial"/>
          <w:color w:val="334155"/>
          <w:sz w:val="19"/>
        </w:rPr>
        <w:t>Garantia técnica integral de 90 (noventa) dias corridos a partir da homologação para correção prioritária e sem custos de quaisquer bugs, falhas de sistema ou inconsistências;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IV. Serviços Pós-Garantia (Opcionais): </w:t>
      </w:r>
      <w:r>
        <w:rPr>
          <w:rFonts w:ascii="Arial" w:hAnsi="Arial"/>
          <w:color w:val="334155"/>
          <w:sz w:val="19"/>
        </w:rPr>
        <w:t>Expirada a garantia, a CONTRATANTE poderá optar por Contrato de Sustentação Mensal (R$ 90,00 a R$ 120,00/mês para monitoramento e backups) ou Banco de Horas sob demanda (R$ 75,00/hora técnica) para novas funcionalidades.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TERCEIRA — DA PROPRIEDADE INTELECTUAL E DIREITOS AUTORAIS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3.1. O software CLINIX, seu código-fonte, arquitetura de sistemas, modelos conceituais de banco de dados, algoritmos, fluxos operacionais, interfaces de usuário, marcas e documentações técnicas são de PROPRIEDADE INTELECTUAL EXCLUSIVA, UNIVERSAL E INALIENÁVEL DO CONTRATADO (DAVI FELINTO DOS SANTOS), protegidos pela Lei de Software (Lei nº 9.609/1998) e pela Lei de Direitos Autorais (Lei nº 9.610/1998).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3.2. O presente contrato confere à CONTRATANTE única e exclusivamente o DIREITO DE USO da solução, sendo-lhe terminantemente vedado, sob as penas da lei civil e penal: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color w:val="334155"/>
          <w:sz w:val="19"/>
        </w:rPr>
        <w:t>Copiar, reproduzir, modificar, descompilar, realizar engenharia reversa ou tentar derivar o código-fonte da aplicação;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color w:val="334155"/>
          <w:sz w:val="19"/>
        </w:rPr>
        <w:t>Vender, revender, sublicenciar, alugar, ceder, emprestar ou disponibilizar o software para terceiros ou outras clínicas;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color w:val="334155"/>
          <w:sz w:val="19"/>
        </w:rPr>
        <w:t>Utilizar a plataforma para operar unidades ou filiais não descritas neste contrato sem anuência prévia e expressa do CONTRATADO.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3.3. Na Modalidade A (SaaS), a licença é outorgada em caráter temporário, precário, não-exclusivo e revogável, estritamente condicionada à pontualidade das mensalidades contratadas.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3.4. Na Modalidade B (Projeto Dedicado), a licença é outorgada em caráter perpétuo, não-exclusivo e intransferível, estritamente limitada ao estabelecimento e unidade de saúde da CONTRATANTE, não implicando em qualquer cessão patrimonial dos direitos autorais do software.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QUARTA — DA PROTEÇÃO DE DADOS PESSOAIS (LGPD) E SIGILO MÉDICO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4.1. As partes reconhecem expressamente os papéis e responsabilidades definidos pela Lei Geral de Proteção de Dados Pessoais (Lei nº 13.709/2018 — LGPD) e pelas normas ético-profissionais de saúde (em especial a Resolução CFM nº 1.821/2007):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I. Controladora de Dados: </w:t>
      </w:r>
      <w:r>
        <w:rPr>
          <w:rFonts w:ascii="Arial" w:hAnsi="Arial"/>
          <w:color w:val="334155"/>
          <w:sz w:val="19"/>
        </w:rPr>
        <w:t>A CONTRATANTE figura juridicamente como CONTROLADORA DOS DADOS: detém a titularidade sobre as decisões de tratamento dos dados de pacientes e profissionais, o dever de obter os consentimentos necessários e a responsabilidade exclusiva pelo sigilo médico de seus atendentes perante a ANPD e os conselhos de classe;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II. Operador Técnico: </w:t>
      </w:r>
      <w:r>
        <w:rPr>
          <w:rFonts w:ascii="Arial" w:hAnsi="Arial"/>
          <w:color w:val="334155"/>
          <w:sz w:val="19"/>
        </w:rPr>
        <w:t>O CONTRATADO figura juridicamente como OPERADOR TÉCNICO: limita-se a realizar o tratamento e custódia tecnológica dos dados estritamente em nome e conforme as diretrizes da CONTRATANTE, assegurando infraestrutura segura, criptografia e rotinas de backup.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4.2. O CONTRATADO implementa mecanismos robustos de segurança da informação na plataforma Clinix, incluindo hash criptográfico de senhas com Salt (PBKDF2/SHA-256), trilha de auditoria imutável registrando a identidade e horário de todos os acessos a prontuários (RN13/RQ07) e preservação histórica de versões de anotações médicas (RN17).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4.3. O CONTRATADO assume compromisso de estrito sigilo sobre quaisquer prontuários e dados aos quais tenha acesso fortuito durante suporte técnico, sendo vedada sua utilização para qualquer fim estranho a este contrato.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QUINTA — DO NÍVEL DE SERVIÇO (SLA) E SUPORTE TÉCNICO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5.1. O suporte técnico será prestado de forma remota via WhatsApp e E-mail técnico, de segunda a sexta-feira, das 08h00 às 18h00 (horário de Brasília), excetuados os feriados nacionais e do Distrito Federal.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5.2. Prazos máximos contratuais de atendimento (SLA):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I. Incidentes Críticos (sistema inacessível ou paralisação de atendimento): </w:t>
      </w:r>
      <w:r>
        <w:rPr>
          <w:rFonts w:ascii="Arial" w:hAnsi="Arial"/>
          <w:color w:val="334155"/>
          <w:sz w:val="19"/>
        </w:rPr>
        <w:t>Resposta em até 2 (duas) horas úteis, com início imediato das providências de reestabelecimento;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II. Dúvidas Operacionais, Parametrizações e Treinamento Complementar: </w:t>
      </w:r>
      <w:r>
        <w:rPr>
          <w:rFonts w:ascii="Arial" w:hAnsi="Arial"/>
          <w:color w:val="334155"/>
          <w:sz w:val="19"/>
        </w:rPr>
        <w:t>Resposta em até 24 (vinte e quatro) horas úteis.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5.3. O suporte técnico não cobre problemas originados na conexão de internet da clínica, defeitos em hardwares próprios (computadores e impressoras) ou infecções por vírus decorrentes do uso da rede local da CONTRATANTE.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SEXTA — DO PAGAMENTO, REAJUSTE E INADIMPLÊNCIA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6.1. Todos os pagamentos serão efetuados via Pix ou Transferência Bancária para os dados indicados no ANEXO I.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6.2. Na Modalidade A (SaaS), o valor da mensalidade sofrerá reajuste anual pela variação positiva do IPCA/IBGE acumulado no período de 12 (doze) meses.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6.3. O atraso em qualquer pagamento sujeitará a CONTRATANTE a multa moratória de 2% (dois por cento), juros de mora de 1% (um por cento) ao mês pro rata die e atualização monetária pelo IPCA.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6.4. Régua de inadimplência no SaaS (Modalidade A):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5º dia de atraso: </w:t>
      </w:r>
      <w:r>
        <w:rPr>
          <w:rFonts w:ascii="Arial" w:hAnsi="Arial"/>
          <w:color w:val="334155"/>
          <w:sz w:val="19"/>
        </w:rPr>
        <w:t>Envio de notificação formal de advertência via e-mail e WhatsApp;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10º dia de atraso: </w:t>
      </w:r>
      <w:r>
        <w:rPr>
          <w:rFonts w:ascii="Arial" w:hAnsi="Arial"/>
          <w:color w:val="334155"/>
          <w:sz w:val="19"/>
        </w:rPr>
        <w:t>Suspensão temporária do acesso à plataforma, bloqueando novos logins;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Preservação da Base por até 90 dias: </w:t>
      </w:r>
      <w:r>
        <w:rPr>
          <w:rFonts w:ascii="Arial" w:hAnsi="Arial"/>
          <w:color w:val="334155"/>
          <w:sz w:val="19"/>
        </w:rPr>
        <w:t>O CONTRATADO manterá todos os dados e prontuários íntegros e preservados com segurança, permitindo a imediata reativação do acesso em até 24 horas após a liquidação do saldo pendente.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SÉTIMA — DA VIGÊNCIA, RESCISÃO E PORTABILIDADE DE DADOS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7.1. Na Modalidade A (SaaS), a vigência inicial é de 12 (doze) meses, renovando-se automaticamente, podendo ser rescindido imotivadamente por qualquer das partes mediante aviso prévio por escrito com 30 (trinta) dias de antecedência, sem incidência de multa rescisória, desde que quitadas as mensalidades vencidas e a taxa de setup.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7.2. Na Modalidade B (Projeto Dedicado), a vigência perdura desde a assinatura até a homologação final e decurso dos 90 dias de garantia.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2240"/>
          <w:sz w:val="20"/>
        </w:rPr>
        <w:t xml:space="preserve">CLÁUSULA DE PORTABILIDADE: </w:t>
      </w:r>
      <w:r>
        <w:rPr>
          <w:rFonts w:ascii="Arial" w:hAnsi="Arial"/>
          <w:i w:val="0"/>
          <w:color w:val="334155"/>
          <w:sz w:val="20"/>
        </w:rPr>
        <w:t>7.3. CLÁUSULA MANDATÓRIA DE PORTABILIDADE E DEVOLUÇÃO DE DADOS (LGPD / CFM):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I. Entrega em Formatos Abertos: </w:t>
      </w:r>
      <w:r>
        <w:rPr>
          <w:rFonts w:ascii="Arial" w:hAnsi="Arial"/>
          <w:color w:val="334155"/>
          <w:sz w:val="19"/>
        </w:rPr>
        <w:t>O CONTRATADO obriga-se a entregar à CONTRATANTE, em até 15 (quinze) dias úteis, cópia integral e consolidada de toda a base de dados de pacientes, agendamentos, prontuários e movimentações financeiras em formatos abertos e interoperáveis (arquivos SQL e planilhas eletrônicas CSV/Excel), garantindo a continuidade do consultório sem cobrança de taxa de resgate;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II. Exclusão Segura: </w:t>
      </w:r>
      <w:r>
        <w:rPr>
          <w:rFonts w:ascii="Arial" w:hAnsi="Arial"/>
          <w:color w:val="334155"/>
          <w:sz w:val="19"/>
        </w:rPr>
        <w:t>Após a entrega formal e transcorrido o prazo de salvaguarda de 60 (sessenta) dias, o CONTRATADO eliminará de forma segura e irreversível todas as cópias dos dados clínicos de seus servidores.</w:t>
      </w:r>
    </w:p>
    <w:p>
      <w:pPr>
        <w:keepNext/>
        <w:spacing w:before="280" w:after="80"/>
      </w:pPr>
      <w:r>
        <w:rPr>
          <w:rFonts w:ascii="Arial" w:hAnsi="Arial"/>
          <w:b/>
          <w:color w:val="0F2240"/>
          <w:sz w:val="22"/>
        </w:rPr>
        <w:t>CLÁUSULA OITAVA — DO FORO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8.1. Fica eleito o Foro da Circunscrição Judiciária de Brasília, Distrito Federal, para dirimir qualquer dúvida ou litígio decorrente deste contrato, com renúncia a qualquer outro.</w:t>
      </w:r>
    </w:p>
    <w:p>
      <w:pPr>
        <w:spacing w:before="0" w:after="400" w:line="276" w:lineRule="auto"/>
        <w:jc w:val="right"/>
      </w:pPr>
      <w:r>
        <w:rPr>
          <w:rFonts w:ascii="Arial" w:hAnsi="Arial"/>
          <w:i w:val="0"/>
          <w:color w:val="334155"/>
          <w:sz w:val="20"/>
        </w:rPr>
        <w:t>Brasília - DF, [DIA] de [MÊS] de 2026.</w:t>
      </w:r>
    </w:p>
    <w:p>
      <w:pPr>
        <w:spacing w:before="300" w:after="80"/>
      </w:pPr>
      <w:r>
        <w:rPr>
          <w:b/>
          <w:color w:val="0F2240"/>
        </w:rPr>
        <w:t>_____________________________________________________________</w:t>
        <w:br/>
      </w:r>
      <w:r>
        <w:rPr>
          <w:sz w:val="19"/>
        </w:rPr>
        <w:t>CONTRATADO: DAVI FELINTO DOS SANTOS</w:t>
        <w:br/>
        <w:t>CPF: [000.000.000-00]</w:t>
        <w:br/>
        <w:br/>
        <w:br/>
      </w:r>
      <w:r>
        <w:rPr>
          <w:b/>
          <w:color w:val="0F2240"/>
        </w:rPr>
        <w:t>_____________________________________________________________</w:t>
        <w:br/>
      </w:r>
      <w:r>
        <w:rPr>
          <w:sz w:val="19"/>
        </w:rPr>
        <w:t>CONTRATANTE: [RAZÃO SOCIAL DA CLÍNICA OU PROFISSIONAL]</w:t>
        <w:br/>
        <w:t>Representante Legal: [NOME DO RESPONSÁVEL]</w:t>
        <w:br/>
        <w:t>CPF: [000.000.000-00] | CRM/CRO/CRP: [00000-DF]</w:t>
        <w:br/>
        <w:br/>
        <w:br/>
      </w:r>
      <w:r>
        <w:rPr>
          <w:color w:val="334155"/>
          <w:sz w:val="18"/>
        </w:rPr>
        <w:t>TESTEMUNHAS:</w:t>
        <w:br/>
        <w:br/>
        <w:t>1. ________________________________________      2. ________________________________________</w:t>
        <w:br/>
        <w:t>Nome:                                           Nome:</w:t>
        <w:br/>
        <w:t>CPF:                                            CPF:</w:t>
        <w:br/>
      </w:r>
    </w:p>
    <w:p>
      <w:r>
        <w:br w:type="page"/>
      </w:r>
    </w:p>
    <w:p>
      <w:pPr>
        <w:spacing w:before="200" w:after="40"/>
        <w:jc w:val="center"/>
      </w:pPr>
      <w:r>
        <w:rPr>
          <w:rFonts w:ascii="Arial" w:hAnsi="Arial"/>
          <w:b/>
          <w:color w:val="0F2240"/>
          <w:sz w:val="24"/>
        </w:rPr>
        <w:t>ANEXO I — FORMULÁRIO DE ESCOLHA DE MODALIDADE E PARAMETRIZAÇÃO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18"/>
        </w:rPr>
        <w:t>(Parte integrante e indissociável do Contrato de Licenciamento do Software Clinix)</w:t>
      </w: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2240"/>
          <w:sz w:val="20"/>
        </w:rPr>
        <w:t xml:space="preserve">1. SELEÇÃO: </w:t>
      </w:r>
      <w:r>
        <w:rPr>
          <w:rFonts w:ascii="Arial" w:hAnsi="Arial"/>
          <w:i w:val="0"/>
          <w:color w:val="334155"/>
          <w:sz w:val="20"/>
        </w:rPr>
        <w:t>1. SELEÇÃO DA MODALIDADE COMERCIAL CONTRATADA:</w:t>
      </w:r>
    </w:p>
    <w:p>
      <w:pPr>
        <w:spacing w:before="0" w:after="120" w:line="276" w:lineRule="auto"/>
        <w:jc w:val="both"/>
      </w:pPr>
      <w:r>
        <w:rPr>
          <w:rFonts w:ascii="Arial" w:hAnsi="Arial"/>
          <w:i w:val="0"/>
          <w:color w:val="334155"/>
          <w:sz w:val="20"/>
        </w:rPr>
        <w:t>A CONTRATANTE formaliza neste ato a opção pela modalidade assinalada com [X]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E3A8A"/>
          <w:bottom w:val="single" w:sz="8" w:space="0" w:color="1E3A8A"/>
          <w:left w:val="none"/>
          <w:right w:val="none"/>
          <w:insideH w:val="single" w:sz="8" w:space="0" w:color="1E3A8A"/>
          <w:insideV w:val="none"/>
        </w:tblBorders>
      </w:tblPr>
      <w:tblGrid>
        <w:gridCol w:w="9072"/>
      </w:tblGrid>
      <w:tr>
        <w:tc>
          <w:tcPr>
            <w:tcW w:type="dxa" w:w="9072"/>
            <w:shd w:fill="F0F7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F2240"/>
                <w:sz w:val="21"/>
              </w:rPr>
              <w:t>[   ] OPÇÃO A — SOFTWARE COMO SERVIÇO (SaaS / ASSINATURA RECORRENTE)</w:t>
              <w:br/>
            </w:r>
          </w:p>
          <w:p>
            <w:pPr>
              <w:spacing w:line="276" w:lineRule="auto" w:after="0"/>
            </w:pPr>
            <w:r>
              <w:rPr>
                <w:rFonts w:ascii="Arial" w:hAnsi="Arial"/>
                <w:color w:val="334155"/>
                <w:sz w:val="18"/>
              </w:rPr>
              <w:t>• Taxa de Adesão / Implantação (Setup): R$ 290,00 à vista na assinatura;</w:t>
              <w:br/>
              <w:t>• Mensalidade Recorrente: R$ 179,00 / mês (1ª mensalidade vence após 30 dias de uso);</w:t>
              <w:br/>
              <w:t>• Infraestrutura de Nuvem e Banco de Dados: 100% Inclusos na assinatura sob gestão do Contratado;</w:t>
              <w:br/>
              <w:t>• Backups Diários e Automáticos: Inclusos;</w:t>
              <w:br/>
              <w:t>• Suporte Técnico e Atualizações de Versão: Contínuos durante toda a vigência;</w:t>
              <w:br/>
              <w:t>• Vigência: 12 meses renováveis, com rescisão livre mediante aviso prévio de 30 dias.</w:t>
            </w:r>
          </w:p>
        </w:tc>
      </w:tr>
      <w:tr>
        <w:tc>
          <w:tcPr>
            <w:tcW w:type="dxa" w:w="90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F2240"/>
                <w:sz w:val="21"/>
              </w:rPr>
              <w:t>[   ] OPÇÃO B — PROJETO DEDICADO FECHADO (LICENÇA PERPÉTUA DEDICADA)</w:t>
              <w:br/>
            </w:r>
          </w:p>
          <w:p>
            <w:pPr>
              <w:spacing w:line="276" w:lineRule="auto" w:after="0"/>
            </w:pPr>
            <w:r>
              <w:rPr>
                <w:rFonts w:ascii="Arial" w:hAnsi="Arial"/>
                <w:color w:val="334155"/>
                <w:sz w:val="18"/>
              </w:rPr>
              <w:t>• Valor Global Fechado: R$ 2.400,00 fixos;</w:t>
              <w:br/>
              <w:t>• Forma de Liquidação: Entrada de 40% (R$ 960,00) na assinatura; Entrega Intermediária de 30% (R$ 720,00); Homologação Final de 30% (R$ 720,00);</w:t>
              <w:br/>
              <w:t>• Infraestrutura de Nuvem: Faturada diretamente em nome e cartão da Contratante;</w:t>
              <w:br/>
              <w:t>• Garantia Técnica: 90 dias corridos inclusos para correção gratuita de quaisquer bugs;</w:t>
              <w:br/>
              <w:t>• Pós-Garantia Opcional: Contrato de Sustentação (R$ 90 a R$ 120/mês) ou Banco de Horas (R$ 75,00/h);</w:t>
              <w:br/>
              <w:t>• Licença de Uso: Perpétua e intransferível, estritamente restrita à unidade da Contratante.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  <w:jc w:val="both"/>
      </w:pPr>
      <w:r>
        <w:rPr>
          <w:rFonts w:ascii="Arial" w:hAnsi="Arial"/>
          <w:b/>
          <w:color w:val="0F2240"/>
          <w:sz w:val="20"/>
        </w:rPr>
        <w:t xml:space="preserve">2. DADOS BANCÁRIOS: </w:t>
      </w:r>
      <w:r>
        <w:rPr>
          <w:rFonts w:ascii="Arial" w:hAnsi="Arial"/>
          <w:i w:val="0"/>
          <w:color w:val="334155"/>
          <w:sz w:val="20"/>
        </w:rPr>
        <w:t>2. DADOS BANCÁRIOS DO CONTRATADO PARA PAGAMENTOS (PIX / TED):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Favorecido: </w:t>
      </w:r>
      <w:r>
        <w:rPr>
          <w:rFonts w:ascii="Arial" w:hAnsi="Arial"/>
          <w:color w:val="334155"/>
          <w:sz w:val="19"/>
        </w:rPr>
        <w:t>Davi Felinto dos Santos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Chave Pix (E-mail): </w:t>
      </w:r>
      <w:r>
        <w:rPr>
          <w:rFonts w:ascii="Arial" w:hAnsi="Arial"/>
          <w:color w:val="334155"/>
          <w:sz w:val="19"/>
        </w:rPr>
        <w:t>davifd0978@gmail.com</w:t>
      </w:r>
    </w:p>
    <w:p>
      <w:pPr>
        <w:pStyle w:val="ListBullet"/>
        <w:spacing w:before="0" w:after="60" w:line="276" w:lineRule="auto"/>
        <w:jc w:val="both"/>
      </w:pPr>
      <w:r>
        <w:rPr>
          <w:rFonts w:ascii="Arial" w:hAnsi="Arial"/>
          <w:b/>
          <w:color w:val="0F2240"/>
          <w:sz w:val="19"/>
        </w:rPr>
        <w:t xml:space="preserve">• Conta Bancária: </w:t>
      </w:r>
      <w:r>
        <w:rPr>
          <w:rFonts w:ascii="Arial" w:hAnsi="Arial"/>
          <w:color w:val="334155"/>
          <w:sz w:val="19"/>
        </w:rPr>
        <w:t>[Banco Inter / Nubank / Banco do Brasil] | Agência: [0001] | Conta Corrente: [0000000-0]</w:t>
      </w:r>
    </w:p>
    <w:p>
      <w:pPr>
        <w:spacing w:after="240"/>
      </w:pPr>
    </w:p>
    <w:p>
      <w:pPr>
        <w:spacing w:before="400" w:after="0"/>
        <w:jc w:val="center"/>
      </w:pPr>
      <w:r>
        <w:rPr>
          <w:b/>
          <w:color w:val="0F2240"/>
        </w:rPr>
        <w:t>_________________________________________              _________________________________________</w:t>
        <w:br/>
      </w:r>
      <w:r>
        <w:rPr>
          <w:color w:val="334155"/>
          <w:sz w:val="18"/>
        </w:rPr>
        <w:t>Visto do CONTRATADO (Davi Felinto)                  Visto do(a) CONTRATANTE (Responsável Legal)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6"/>
      </w:rPr>
      <w:t xml:space="preserve">Contrato de Licenciamento, Hospedagem e Prestação de Serviços Técnicos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INSTRUMENTO CONTRATUAL — SISTEMA CLINIX | GESTÃO CLÍNICA E PRONTUÁRIO ELETRÔNICO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