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 w:line="276" w:lineRule="auto"/>
        <w:jc w:val="both"/>
      </w:pPr>
    </w:p>
    <w:p>
      <w:pPr>
        <w:spacing w:after="120" w:line="276" w:lineRule="auto"/>
        <w:jc w:val="center"/>
      </w:pPr>
      <w:r>
        <w:rPr>
          <w:rFonts w:ascii="Calibri" w:hAnsi="Calibri"/>
          <w:b/>
          <w:i w:val="0"/>
          <w:color w:val="1E293B"/>
          <w:sz w:val="24"/>
        </w:rPr>
        <w:t>CENTRO UNIVERSITÁRIO DE BRASÍLIA — CEUB</w:t>
      </w:r>
    </w:p>
    <w:p>
      <w:pPr>
        <w:spacing w:after="120" w:line="276" w:lineRule="auto"/>
        <w:jc w:val="center"/>
      </w:pPr>
      <w:r>
        <w:rPr>
          <w:rFonts w:ascii="Calibri" w:hAnsi="Calibri"/>
          <w:b/>
          <w:i w:val="0"/>
          <w:color w:val="475569"/>
          <w:sz w:val="22"/>
        </w:rPr>
        <w:t>FACULDADE DE TECNOLOGIA E CIÊNCIAS SOCIAIS APLICADAS — FATECS</w:t>
      </w:r>
    </w:p>
    <w:p>
      <w:pPr>
        <w:spacing w:after="1400" w:line="276" w:lineRule="auto"/>
        <w:jc w:val="center"/>
      </w:pPr>
      <w:r>
        <w:rPr>
          <w:rFonts w:ascii="Calibri" w:hAnsi="Calibri"/>
          <w:b w:val="0"/>
          <w:i w:val="0"/>
          <w:color w:val="475569"/>
          <w:sz w:val="22"/>
        </w:rPr>
        <w:t>CURSO DE BACHARELADO EM ENGENHARIA DE SOFTWARE</w:t>
      </w:r>
    </w:p>
    <w:p>
      <w:pPr>
        <w:spacing w:after="160" w:line="276" w:lineRule="auto"/>
        <w:jc w:val="center"/>
      </w:pPr>
      <w:r>
        <w:rPr>
          <w:rFonts w:ascii="Calibri" w:hAnsi="Calibri"/>
          <w:b/>
          <w:i w:val="0"/>
          <w:color w:val="0F172A"/>
          <w:sz w:val="52"/>
        </w:rPr>
        <w:t>Análise de Negócio</w:t>
      </w:r>
    </w:p>
    <w:p>
      <w:pPr>
        <w:spacing w:after="2400" w:line="276" w:lineRule="auto"/>
        <w:jc w:val="center"/>
      </w:pPr>
      <w:r>
        <w:rPr>
          <w:rFonts w:ascii="Calibri" w:hAnsi="Calibri"/>
          <w:b/>
          <w:i/>
          <w:color w:val="0D9488"/>
          <w:sz w:val="28"/>
        </w:rPr>
        <w:t>Necessidades e Proposta de Solução — Sistema Clinix</w:t>
      </w:r>
    </w:p>
    <w:p>
      <w:pPr>
        <w:spacing w:after="80" w:line="276" w:lineRule="auto"/>
        <w:jc w:val="both"/>
      </w:pPr>
      <w:r>
        <w:rPr>
          <w:rFonts w:ascii="Calibri" w:hAnsi="Calibri"/>
          <w:b/>
          <w:i w:val="0"/>
          <w:color w:val="0F172A"/>
          <w:sz w:val="22"/>
        </w:rPr>
        <w:t>Equipe de Desenvolvimento:</w:t>
      </w:r>
    </w:p>
    <w:p>
      <w:pPr>
        <w:spacing w:after="40" w:line="276" w:lineRule="auto"/>
        <w:jc w:val="both"/>
      </w:pPr>
      <w:r>
        <w:rPr>
          <w:rFonts w:ascii="Calibri" w:hAnsi="Calibri"/>
          <w:b w:val="0"/>
          <w:i w:val="0"/>
          <w:color w:val="334155"/>
          <w:sz w:val="22"/>
        </w:rPr>
        <w:t>• Davi Felinto</w:t>
      </w:r>
    </w:p>
    <w:p>
      <w:pPr>
        <w:spacing w:after="40" w:line="276" w:lineRule="auto"/>
        <w:jc w:val="both"/>
      </w:pPr>
      <w:r>
        <w:rPr>
          <w:rFonts w:ascii="Calibri" w:hAnsi="Calibri"/>
          <w:b w:val="0"/>
          <w:i w:val="0"/>
          <w:color w:val="334155"/>
          <w:sz w:val="22"/>
        </w:rPr>
        <w:t>• Isaac Soares</w:t>
      </w:r>
    </w:p>
    <w:p>
      <w:pPr>
        <w:spacing w:after="40" w:line="276" w:lineRule="auto"/>
        <w:jc w:val="both"/>
      </w:pPr>
      <w:r>
        <w:rPr>
          <w:rFonts w:ascii="Calibri" w:hAnsi="Calibri"/>
          <w:b w:val="0"/>
          <w:i w:val="0"/>
          <w:color w:val="334155"/>
          <w:sz w:val="22"/>
        </w:rPr>
        <w:t>• Miguel Dias</w:t>
      </w:r>
    </w:p>
    <w:p>
      <w:pPr>
        <w:spacing w:after="40" w:line="276" w:lineRule="auto"/>
        <w:jc w:val="both"/>
      </w:pPr>
      <w:r>
        <w:rPr>
          <w:rFonts w:ascii="Calibri" w:hAnsi="Calibri"/>
          <w:b w:val="0"/>
          <w:i w:val="0"/>
          <w:color w:val="334155"/>
          <w:sz w:val="22"/>
        </w:rPr>
        <w:t>• Lucas Evaldo</w:t>
      </w:r>
    </w:p>
    <w:p>
      <w:pPr>
        <w:spacing w:after="40" w:line="276" w:lineRule="auto"/>
        <w:jc w:val="both"/>
      </w:pPr>
      <w:r>
        <w:rPr>
          <w:rFonts w:ascii="Calibri" w:hAnsi="Calibri"/>
          <w:b w:val="0"/>
          <w:i w:val="0"/>
          <w:color w:val="334155"/>
          <w:sz w:val="22"/>
        </w:rPr>
        <w:t>• Vanessa Mendoça</w:t>
      </w:r>
    </w:p>
    <w:p>
      <w:pPr>
        <w:spacing w:after="2000" w:line="276" w:lineRule="auto"/>
        <w:jc w:val="both"/>
      </w:pPr>
    </w:p>
    <w:p>
      <w:pPr>
        <w:spacing w:after="80" w:line="276" w:lineRule="auto"/>
        <w:jc w:val="center"/>
      </w:pPr>
      <w:r>
        <w:rPr>
          <w:rFonts w:ascii="Calibri" w:hAnsi="Calibri"/>
          <w:b/>
          <w:i w:val="0"/>
          <w:color w:val="1E293B"/>
          <w:sz w:val="22"/>
        </w:rPr>
        <w:t>Professor: Sérgio Haddad</w:t>
      </w:r>
    </w:p>
    <w:p>
      <w:pPr>
        <w:spacing w:after="80" w:line="276" w:lineRule="auto"/>
        <w:jc w:val="center"/>
      </w:pPr>
      <w:r>
        <w:rPr>
          <w:rFonts w:ascii="Calibri" w:hAnsi="Calibri"/>
          <w:b w:val="0"/>
          <w:i w:val="0"/>
          <w:color w:val="475569"/>
          <w:sz w:val="22"/>
        </w:rPr>
        <w:t>Disciplina: Engenharia de Requisitos</w:t>
      </w:r>
    </w:p>
    <w:p>
      <w:pPr>
        <w:spacing w:after="120" w:line="276" w:lineRule="auto"/>
        <w:jc w:val="center"/>
      </w:pPr>
      <w:r>
        <w:rPr>
          <w:rFonts w:ascii="Calibri" w:hAnsi="Calibri"/>
          <w:b w:val="0"/>
          <w:i w:val="0"/>
          <w:color w:val="64748B"/>
          <w:sz w:val="22"/>
        </w:rPr>
        <w:t>Brasília – DF, Outubro de 2026</w:t>
      </w:r>
    </w:p>
    <w:p>
      <w:r>
        <w:br w:type="page"/>
      </w:r>
    </w:p>
    <w:p>
      <w:pPr>
        <w:keepNext/>
        <w:spacing w:before="240" w:after="120"/>
      </w:pPr>
      <w:r>
        <w:rPr>
          <w:rFonts w:ascii="Calibri" w:hAnsi="Calibri"/>
          <w:b/>
          <w:color w:val="1E293B"/>
          <w:sz w:val="24"/>
        </w:rPr>
        <w:t>Controle de Versões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2200"/>
        <w:gridCol w:w="2200"/>
        <w:gridCol w:w="2200"/>
        <w:gridCol w:w="2200"/>
      </w:tblGrid>
      <w:tr>
        <w:tc>
          <w:tcPr>
            <w:tcW w:type="dxa" w:w="1728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Data</w:t>
            </w:r>
          </w:p>
        </w:tc>
        <w:tc>
          <w:tcPr>
            <w:tcW w:type="dxa" w:w="1152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Versão</w:t>
            </w:r>
          </w:p>
        </w:tc>
        <w:tc>
          <w:tcPr>
            <w:tcW w:type="dxa" w:w="3744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Descrição</w:t>
            </w:r>
          </w:p>
        </w:tc>
        <w:tc>
          <w:tcPr>
            <w:tcW w:type="dxa" w:w="2592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Autor(es)</w:t>
            </w:r>
          </w:p>
        </w:tc>
      </w:tr>
      <w:tr>
        <w:tc>
          <w:tcPr>
            <w:tcW w:type="dxa" w:w="172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sz w:val="19"/>
              </w:rPr>
              <w:t>20/10/2026</w:t>
            </w:r>
          </w:p>
        </w:tc>
        <w:tc>
          <w:tcPr>
            <w:tcW w:type="dxa" w:w="115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sz w:val="19"/>
              </w:rPr>
              <w:t>1.0</w:t>
            </w:r>
          </w:p>
        </w:tc>
        <w:tc>
          <w:tcPr>
            <w:tcW w:type="dxa" w:w="374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Versão Inicial da Análise de Negócio do Sistema Clinix (Entrevista com Amanda Souza Peixoto, BPMN AS-IS/TO-BE, problemas, objetivos e requisitos).</w:t>
            </w:r>
          </w:p>
        </w:tc>
        <w:tc>
          <w:tcPr>
            <w:tcW w:type="dxa" w:w="259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Davi Felinto, Isaac Soares, Miguel Dias, Lucas Evaldo, Vanessa Mendoça</w:t>
            </w:r>
          </w:p>
        </w:tc>
      </w:tr>
    </w:tbl>
    <w:p>
      <w:pPr>
        <w:spacing w:after="280" w:line="276" w:lineRule="auto"/>
        <w:jc w:val="both"/>
      </w:pPr>
    </w:p>
    <w:p>
      <w:pPr>
        <w:keepNext/>
        <w:spacing w:before="320" w:after="160"/>
      </w:pPr>
      <w:r>
        <w:rPr>
          <w:rFonts w:ascii="Calibri" w:hAnsi="Calibri"/>
          <w:b/>
          <w:color w:val="0F172A"/>
          <w:sz w:val="28"/>
        </w:rPr>
        <w:t>1. Análise Institucional e Funcional</w:t>
      </w:r>
    </w:p>
    <w:p>
      <w:pPr>
        <w:spacing w:after="120" w:line="276" w:lineRule="auto"/>
        <w:jc w:val="both"/>
      </w:pPr>
      <w:r>
        <w:rPr>
          <w:rFonts w:ascii="Calibri" w:hAnsi="Calibri"/>
          <w:b w:val="0"/>
          <w:i w:val="0"/>
          <w:sz w:val="22"/>
        </w:rPr>
        <w:t>A presente Análise de Negócio especifica as necessidades operacionais e a proposta de solução para consultórios e clínicas ambulatoriais de pequeno porte no Distrito Federal. A organização demandante do estudo de caso é o consultório clínico gerenciado pela profissional de saúde Amanda Souza Peixoto, localizado em Brasília – DF.</w:t>
      </w:r>
    </w:p>
    <w:p>
      <w:pPr>
        <w:spacing w:after="120" w:line="276" w:lineRule="auto"/>
        <w:jc w:val="both"/>
      </w:pPr>
      <w:r>
        <w:rPr>
          <w:rFonts w:ascii="Calibri" w:hAnsi="Calibri"/>
          <w:b w:val="0"/>
          <w:i w:val="0"/>
          <w:sz w:val="22"/>
        </w:rPr>
        <w:t>Amanda Souza Peixoto atua como responsável técnica e gestora do estabelecimento, que presta serviços essenciais de saúde humana em regime ambulatorial (consultas presenciais, procedimentos eletivos de rotina, acompanhamento longitudinal de pacientes e solicitação de exames diagnósticos laboratoriais). O consultório conta com equipe de apoio composta por recepcionistas/secretárias encarregadas do acolhimento, marcação e cobrança.</w:t>
      </w:r>
    </w:p>
    <w:p>
      <w:pPr>
        <w:keepNext/>
        <w:spacing w:before="240" w:after="120"/>
      </w:pPr>
      <w:r>
        <w:rPr>
          <w:rFonts w:ascii="Calibri" w:hAnsi="Calibri"/>
          <w:b/>
          <w:color w:val="1E293B"/>
          <w:sz w:val="24"/>
        </w:rPr>
        <w:t>1.1 Áreas de Negócio Relacionadas</w:t>
      </w:r>
    </w:p>
    <w:p>
      <w:pPr>
        <w:spacing w:after="120" w:line="276" w:lineRule="auto"/>
        <w:jc w:val="both"/>
      </w:pPr>
      <w:r>
        <w:rPr>
          <w:rFonts w:ascii="Calibri" w:hAnsi="Calibri"/>
          <w:b w:val="0"/>
          <w:i w:val="0"/>
          <w:sz w:val="22"/>
        </w:rPr>
        <w:t>O funcionamento da organização envolve cinco áreas de negócio primárias:</w:t>
      </w:r>
    </w:p>
    <w:p>
      <w:pPr>
        <w:pStyle w:val="ListBullet"/>
        <w:spacing w:after="80" w:line="276" w:lineRule="auto"/>
        <w:jc w:val="both"/>
      </w:pPr>
      <w:r>
        <w:rPr>
          <w:rFonts w:ascii="Calibri" w:hAnsi="Calibri"/>
          <w:b/>
          <w:color w:val="0F172A"/>
          <w:sz w:val="22"/>
        </w:rPr>
        <w:t xml:space="preserve">a) Recepção e Agendamento: </w:t>
      </w:r>
      <w:r>
        <w:rPr>
          <w:rFonts w:ascii="Calibri" w:hAnsi="Calibri"/>
          <w:color w:val="334155"/>
          <w:sz w:val="22"/>
        </w:rPr>
        <w:t>Ponto focal de triagem, contato telefônico e por aplicativo de mensagens, cadastro de novos pacientes, alocação de horários e acolhimento presencial.</w:t>
      </w:r>
    </w:p>
    <w:p>
      <w:pPr>
        <w:pStyle w:val="ListBullet"/>
        <w:spacing w:after="80" w:line="276" w:lineRule="auto"/>
        <w:jc w:val="both"/>
      </w:pPr>
      <w:r>
        <w:rPr>
          <w:rFonts w:ascii="Calibri" w:hAnsi="Calibri"/>
          <w:b/>
          <w:color w:val="0F172A"/>
          <w:sz w:val="22"/>
        </w:rPr>
        <w:t xml:space="preserve">b) Atendimento Clínico Especializado: </w:t>
      </w:r>
      <w:r>
        <w:rPr>
          <w:rFonts w:ascii="Calibri" w:hAnsi="Calibri"/>
          <w:color w:val="334155"/>
          <w:sz w:val="22"/>
        </w:rPr>
        <w:t>Realização da consulta médica/terapêutica, anamnese, exame clínico, diagnóstico, prescrição, registro do prontuário e solicitação de exames complementares.</w:t>
      </w:r>
    </w:p>
    <w:p>
      <w:pPr>
        <w:pStyle w:val="ListBullet"/>
        <w:spacing w:after="80" w:line="276" w:lineRule="auto"/>
        <w:jc w:val="both"/>
      </w:pPr>
      <w:r>
        <w:rPr>
          <w:rFonts w:ascii="Calibri" w:hAnsi="Calibri"/>
          <w:b/>
          <w:color w:val="0F172A"/>
          <w:sz w:val="22"/>
        </w:rPr>
        <w:t xml:space="preserve">c) Gestão Financeira e Faturamento: </w:t>
      </w:r>
      <w:r>
        <w:rPr>
          <w:rFonts w:ascii="Calibri" w:hAnsi="Calibri"/>
          <w:color w:val="334155"/>
          <w:sz w:val="22"/>
        </w:rPr>
        <w:t>Cobrança de consultas, recebimento em modalidades à vista e parceladas (dinheiro, PIX, cartões de crédito/débito), conciliação de pagamentos mistos (entrada + saldo) e controle de caixa.</w:t>
      </w:r>
    </w:p>
    <w:p>
      <w:pPr>
        <w:pStyle w:val="ListBullet"/>
        <w:spacing w:after="80" w:line="276" w:lineRule="auto"/>
        <w:jc w:val="both"/>
      </w:pPr>
      <w:r>
        <w:rPr>
          <w:rFonts w:ascii="Calibri" w:hAnsi="Calibri"/>
          <w:b/>
          <w:color w:val="0F172A"/>
          <w:sz w:val="22"/>
        </w:rPr>
        <w:t xml:space="preserve">d) Ouvidoria e Relacionamento com Pacientes: </w:t>
      </w:r>
      <w:r>
        <w:rPr>
          <w:rFonts w:ascii="Calibri" w:hAnsi="Calibri"/>
          <w:color w:val="334155"/>
          <w:sz w:val="22"/>
        </w:rPr>
        <w:t>Canal de pós-consulta, escuta de críticas e sugestões, monitoramento da qualidade do atendimento e campanhas de recall para retornos preventivos semestrais.</w:t>
      </w:r>
    </w:p>
    <w:p>
      <w:pPr>
        <w:pStyle w:val="ListBullet"/>
        <w:spacing w:after="80" w:line="276" w:lineRule="auto"/>
        <w:jc w:val="both"/>
      </w:pPr>
      <w:r>
        <w:rPr>
          <w:rFonts w:ascii="Calibri" w:hAnsi="Calibri"/>
          <w:b/>
          <w:color w:val="0F172A"/>
          <w:sz w:val="22"/>
        </w:rPr>
        <w:t xml:space="preserve">e) Apoio Diagnóstico Laboratorial Externo: </w:t>
      </w:r>
      <w:r>
        <w:rPr>
          <w:rFonts w:ascii="Calibri" w:hAnsi="Calibri"/>
          <w:color w:val="334155"/>
          <w:sz w:val="22"/>
        </w:rPr>
        <w:t>Coleta de amostras biológicas no consultório, encaminhamento a laboratórios parceiros e acompanhamento da esteira de laudos necessários para retornos clínicos.</w:t>
      </w:r>
    </w:p>
    <w:p>
      <w:pPr>
        <w:keepNext/>
        <w:spacing w:before="240" w:after="120"/>
      </w:pPr>
      <w:r>
        <w:rPr>
          <w:rFonts w:ascii="Calibri" w:hAnsi="Calibri"/>
          <w:b/>
          <w:color w:val="1E293B"/>
          <w:sz w:val="24"/>
        </w:rPr>
        <w:t>1.2 Identificação dos Principais Stakeholders</w:t>
      </w:r>
    </w:p>
    <w:p>
      <w:pPr>
        <w:spacing w:after="120" w:line="276" w:lineRule="auto"/>
        <w:jc w:val="both"/>
      </w:pPr>
      <w:r>
        <w:rPr>
          <w:rFonts w:ascii="Calibri" w:hAnsi="Calibri"/>
          <w:b w:val="0"/>
          <w:i w:val="0"/>
          <w:sz w:val="22"/>
        </w:rPr>
        <w:t>Foram identificados os seguintes atores-chave com interesse direto no sucesso da solução:</w:t>
      </w:r>
    </w:p>
    <w:p>
      <w:pPr>
        <w:pStyle w:val="ListBullet"/>
        <w:spacing w:after="80" w:line="276" w:lineRule="auto"/>
        <w:jc w:val="both"/>
      </w:pPr>
      <w:r>
        <w:rPr>
          <w:rFonts w:ascii="Calibri" w:hAnsi="Calibri"/>
          <w:b/>
          <w:color w:val="0F172A"/>
          <w:sz w:val="22"/>
        </w:rPr>
        <w:t xml:space="preserve">• Amanda Souza Peixoto (Cliente e Patrocinadora): </w:t>
      </w:r>
      <w:r>
        <w:rPr>
          <w:rFonts w:ascii="Calibri" w:hAnsi="Calibri"/>
          <w:color w:val="334155"/>
          <w:sz w:val="22"/>
        </w:rPr>
        <w:t>Profissional de saúde e gestora da clínica; requer grade de horários sem conflitos, prontuário ágil em estrita conformidade com a LGPD e visibilidade financeira em tempo real.</w:t>
      </w:r>
    </w:p>
    <w:p>
      <w:pPr>
        <w:pStyle w:val="ListBullet"/>
        <w:spacing w:after="80" w:line="276" w:lineRule="auto"/>
        <w:jc w:val="both"/>
      </w:pPr>
      <w:r>
        <w:rPr>
          <w:rFonts w:ascii="Calibri" w:hAnsi="Calibri"/>
          <w:b/>
          <w:color w:val="0F172A"/>
          <w:sz w:val="22"/>
        </w:rPr>
        <w:t xml:space="preserve">• Recepcionistas e Secretárias: </w:t>
      </w:r>
      <w:r>
        <w:rPr>
          <w:rFonts w:ascii="Calibri" w:hAnsi="Calibri"/>
          <w:color w:val="334155"/>
          <w:sz w:val="22"/>
        </w:rPr>
        <w:t>Operadoras primárias do fluxo de marcação, cadastro e cobrança; demandam preenchimento ágil de endereços por CEP e facilidade para lançar pagamentos divididos.</w:t>
      </w:r>
    </w:p>
    <w:p>
      <w:pPr>
        <w:pStyle w:val="ListBullet"/>
        <w:spacing w:after="80" w:line="276" w:lineRule="auto"/>
        <w:jc w:val="both"/>
      </w:pPr>
      <w:r>
        <w:rPr>
          <w:rFonts w:ascii="Calibri" w:hAnsi="Calibri"/>
          <w:b/>
          <w:color w:val="0F172A"/>
          <w:sz w:val="22"/>
        </w:rPr>
        <w:t xml:space="preserve">• Pacientes (Clientes Finais): </w:t>
      </w:r>
      <w:r>
        <w:rPr>
          <w:rFonts w:ascii="Calibri" w:hAnsi="Calibri"/>
          <w:color w:val="334155"/>
          <w:sz w:val="22"/>
        </w:rPr>
        <w:t>Usuários dos serviços de saúde; valorizam pontualidade no atendimento, confirmações e lembretes automáticos via WhatsApp e proteção absoluta de seus dados clínicos.</w:t>
      </w:r>
    </w:p>
    <w:p>
      <w:pPr>
        <w:pStyle w:val="ListBullet"/>
        <w:spacing w:after="80" w:line="276" w:lineRule="auto"/>
        <w:jc w:val="both"/>
      </w:pPr>
      <w:r>
        <w:rPr>
          <w:rFonts w:ascii="Calibri" w:hAnsi="Calibri"/>
          <w:b/>
          <w:color w:val="0F172A"/>
          <w:sz w:val="22"/>
        </w:rPr>
        <w:t xml:space="preserve">• Laboratórios Parceiros Terceirizados: </w:t>
      </w:r>
      <w:r>
        <w:rPr>
          <w:rFonts w:ascii="Calibri" w:hAnsi="Calibri"/>
          <w:color w:val="334155"/>
          <w:sz w:val="22"/>
        </w:rPr>
        <w:t>Centros de diagnóstico externos responsáveis por análises de amostras; necessitam de previsibilidade e sincronismo com a agenda da clínica.</w:t>
      </w:r>
    </w:p>
    <w:p>
      <w:pPr>
        <w:pStyle w:val="ListBullet"/>
        <w:spacing w:after="80" w:line="276" w:lineRule="auto"/>
        <w:jc w:val="both"/>
      </w:pPr>
      <w:r>
        <w:rPr>
          <w:rFonts w:ascii="Calibri" w:hAnsi="Calibri"/>
          <w:b/>
          <w:color w:val="0F172A"/>
          <w:sz w:val="22"/>
        </w:rPr>
        <w:t xml:space="preserve">• Órgãos Reguladores (Conselho Federal de Medicina - CFM e ANPD): </w:t>
      </w:r>
      <w:r>
        <w:rPr>
          <w:rFonts w:ascii="Calibri" w:hAnsi="Calibri"/>
          <w:color w:val="334155"/>
          <w:sz w:val="22"/>
        </w:rPr>
        <w:t>Entidades responsáveis pela fiscalização ética e legal do sigilo de prontuários (Resolução CFM nº 1.821/2007) e tratamento de dados pessoais (Lei nº 13.709/2018 - LGPD).</w:t>
      </w:r>
    </w:p>
    <w:p>
      <w:pPr>
        <w:keepNext/>
        <w:spacing w:before="320" w:after="160"/>
      </w:pPr>
      <w:r>
        <w:rPr>
          <w:rFonts w:ascii="Calibri" w:hAnsi="Calibri"/>
          <w:b/>
          <w:color w:val="0F172A"/>
          <w:sz w:val="28"/>
        </w:rPr>
        <w:t>2. Mapeamento do Processo Atual (AS IS)</w:t>
      </w:r>
    </w:p>
    <w:p>
      <w:pPr>
        <w:spacing w:after="120" w:line="276" w:lineRule="auto"/>
        <w:jc w:val="both"/>
      </w:pPr>
      <w:r>
        <w:rPr>
          <w:rFonts w:ascii="Calibri" w:hAnsi="Calibri"/>
          <w:b w:val="0"/>
          <w:i w:val="0"/>
          <w:sz w:val="22"/>
        </w:rPr>
        <w:t>O processo de negócio atual no consultório de Amanda Souza Peixoto é conduzido com expressiva dependência de métodos manuais, agendas de papel, planilhas eletrônicas locais (Excel) e conversas pulverizadas no WhatsApp pessoal/comercial.</w:t>
      </w:r>
    </w:p>
    <w:p>
      <w:pPr>
        <w:spacing w:after="120" w:line="276" w:lineRule="auto"/>
        <w:jc w:val="both"/>
      </w:pPr>
      <w:r>
        <w:rPr>
          <w:rFonts w:ascii="Calibri" w:hAnsi="Calibri"/>
          <w:b w:val="0"/>
          <w:i w:val="0"/>
          <w:sz w:val="22"/>
        </w:rPr>
        <w:t>O fluxo compreende as seguintes etapas sequenciais:</w:t>
      </w:r>
    </w:p>
    <w:p>
      <w:pPr>
        <w:pStyle w:val="ListBullet"/>
        <w:spacing w:after="80" w:line="276" w:lineRule="auto"/>
        <w:jc w:val="both"/>
      </w:pPr>
      <w:r>
        <w:rPr>
          <w:rFonts w:ascii="Calibri" w:hAnsi="Calibri"/>
          <w:b/>
          <w:color w:val="0F172A"/>
          <w:sz w:val="22"/>
        </w:rPr>
        <w:t xml:space="preserve">1. Solicitação de Horário: </w:t>
      </w:r>
      <w:r>
        <w:rPr>
          <w:rFonts w:ascii="Calibri" w:hAnsi="Calibri"/>
          <w:color w:val="334155"/>
          <w:sz w:val="22"/>
        </w:rPr>
        <w:t>O paciente entra em contato. A secretária consulta o caderno ou planilha do Excel. Devido a rasuras e múltiplos atendimentos, são comuns os choques de horários (duas pessoas marcadas no mesmo intervalo) ou lacunas que passam despercebidas.</w:t>
      </w:r>
    </w:p>
    <w:p>
      <w:pPr>
        <w:pStyle w:val="ListBullet"/>
        <w:spacing w:after="80" w:line="276" w:lineRule="auto"/>
        <w:jc w:val="both"/>
      </w:pPr>
      <w:r>
        <w:rPr>
          <w:rFonts w:ascii="Calibri" w:hAnsi="Calibri"/>
          <w:b/>
          <w:color w:val="0F172A"/>
          <w:sz w:val="22"/>
        </w:rPr>
        <w:t xml:space="preserve">2. Confirmação Manual: </w:t>
      </w:r>
      <w:r>
        <w:rPr>
          <w:rFonts w:ascii="Calibri" w:hAnsi="Calibri"/>
          <w:color w:val="334155"/>
          <w:sz w:val="22"/>
        </w:rPr>
        <w:t>A secretária tenta enviar mensagens manuais de confirmação na véspera. Em dias de recepção cheia, essa tarefa não é executada, resultando em uma taxa média de absenteísmo (no-show) de 25% a 30% dos agendamentos.</w:t>
      </w:r>
    </w:p>
    <w:p>
      <w:pPr>
        <w:pStyle w:val="ListBullet"/>
        <w:spacing w:after="80" w:line="276" w:lineRule="auto"/>
        <w:jc w:val="both"/>
      </w:pPr>
      <w:r>
        <w:rPr>
          <w:rFonts w:ascii="Calibri" w:hAnsi="Calibri"/>
          <w:b/>
          <w:color w:val="0F172A"/>
          <w:sz w:val="22"/>
        </w:rPr>
        <w:t xml:space="preserve">3. Cadastro Físico em Papel: </w:t>
      </w:r>
      <w:r>
        <w:rPr>
          <w:rFonts w:ascii="Calibri" w:hAnsi="Calibri"/>
          <w:color w:val="334155"/>
          <w:sz w:val="22"/>
        </w:rPr>
        <w:t>O paciente preenche uma prancheta com ficha de papel. Como o endereço não é validado em tempo real via CEP, campos ficam em branco ou com erros, prejudicando contratos e correspondências.</w:t>
      </w:r>
    </w:p>
    <w:p>
      <w:pPr>
        <w:pStyle w:val="ListBullet"/>
        <w:spacing w:after="80" w:line="276" w:lineRule="auto"/>
        <w:jc w:val="both"/>
      </w:pPr>
      <w:r>
        <w:rPr>
          <w:rFonts w:ascii="Calibri" w:hAnsi="Calibri"/>
          <w:b/>
          <w:color w:val="0F172A"/>
          <w:sz w:val="22"/>
        </w:rPr>
        <w:t xml:space="preserve">4. Registro Clínico Descentralizado: </w:t>
      </w:r>
      <w:r>
        <w:rPr>
          <w:rFonts w:ascii="Calibri" w:hAnsi="Calibri"/>
          <w:color w:val="334155"/>
          <w:sz w:val="22"/>
        </w:rPr>
        <w:t>Amanda atende o paciente e anota a evolução clínica em folhas de papel arquivadas em pastas físicas ou em arquivos avulsos do Microsoft Word no computador da sala. Não há histórico imutável (edições sobrescrevem o original) nem trilha de auditoria para fins da LGPD.</w:t>
      </w:r>
    </w:p>
    <w:p>
      <w:pPr>
        <w:pStyle w:val="ListBullet"/>
        <w:spacing w:after="80" w:line="276" w:lineRule="auto"/>
        <w:jc w:val="both"/>
      </w:pPr>
      <w:r>
        <w:rPr>
          <w:rFonts w:ascii="Calibri" w:hAnsi="Calibri"/>
          <w:b/>
          <w:color w:val="0F172A"/>
          <w:sz w:val="22"/>
        </w:rPr>
        <w:t xml:space="preserve">5. Solicitação Laboratorial Desconectada: </w:t>
      </w:r>
      <w:r>
        <w:rPr>
          <w:rFonts w:ascii="Calibri" w:hAnsi="Calibri"/>
          <w:color w:val="334155"/>
          <w:sz w:val="22"/>
        </w:rPr>
        <w:t>Amostras coletadas são enviadas a laboratórios terceirizados com guias manuais e anotação em post-it. Frequentemente o paciente retorna para a consulta de revisão sem que o laudo tenha sido liberado, frustrando o atendimento.</w:t>
      </w:r>
    </w:p>
    <w:p>
      <w:pPr>
        <w:pStyle w:val="ListBullet"/>
        <w:spacing w:after="80" w:line="276" w:lineRule="auto"/>
        <w:jc w:val="both"/>
      </w:pPr>
      <w:r>
        <w:rPr>
          <w:rFonts w:ascii="Calibri" w:hAnsi="Calibri"/>
          <w:b/>
          <w:color w:val="0F172A"/>
          <w:sz w:val="22"/>
        </w:rPr>
        <w:t xml:space="preserve">6. Cobrança Manual com Pagamento Misto: </w:t>
      </w:r>
      <w:r>
        <w:rPr>
          <w:rFonts w:ascii="Calibri" w:hAnsi="Calibri"/>
          <w:color w:val="334155"/>
          <w:sz w:val="22"/>
        </w:rPr>
        <w:t>Na saída, a cobrança é realizada. Pacientes que pedem para pagar entrada no PIX e saldo no cartão têm a pendência anotada à mão em bloco de notas, gerando frequentes divergências no fechamento mensal.</w:t>
      </w:r>
    </w:p>
    <w:p>
      <w:pPr>
        <w:pStyle w:val="ListBullet"/>
        <w:spacing w:after="80" w:line="276" w:lineRule="auto"/>
        <w:jc w:val="both"/>
      </w:pPr>
      <w:r>
        <w:rPr>
          <w:rFonts w:ascii="Calibri" w:hAnsi="Calibri"/>
          <w:b/>
          <w:color w:val="0F172A"/>
          <w:sz w:val="22"/>
        </w:rPr>
        <w:t xml:space="preserve">7. Ausência de Ouvidoria e Recall Preventivo: </w:t>
      </w:r>
      <w:r>
        <w:rPr>
          <w:rFonts w:ascii="Calibri" w:hAnsi="Calibri"/>
          <w:color w:val="334155"/>
          <w:sz w:val="22"/>
        </w:rPr>
        <w:t>Não há pesquisa de satisfação estruturada e pacientes que deveriam retornar em 6 meses para profilaxia/manutenção são esquecidos, ocasionando evasão de clientes.</w:t>
      </w:r>
    </w:p>
    <w:p>
      <w:pPr>
        <w:spacing w:after="120" w:line="276" w:lineRule="auto"/>
        <w:jc w:val="both"/>
      </w:pPr>
      <w:r>
        <w:rPr>
          <w:rFonts w:ascii="Calibri" w:hAnsi="Calibri"/>
          <w:b w:val="0"/>
          <w:i w:val="0"/>
          <w:sz w:val="22"/>
        </w:rPr>
        <w:t>A representação visual modelada na notação BPMN para o processo AS-IS encontra-se detalhada no Anexo 5.1 deste documento.</w:t>
      </w:r>
    </w:p>
    <w:p>
      <w:pPr>
        <w:keepNext/>
        <w:spacing w:before="320" w:after="160"/>
      </w:pPr>
      <w:r>
        <w:rPr>
          <w:rFonts w:ascii="Calibri" w:hAnsi="Calibri"/>
          <w:b/>
          <w:color w:val="0F172A"/>
          <w:sz w:val="28"/>
        </w:rPr>
        <w:t>3. Identificação do(s) Problema(s) ou Necessidade(s)</w:t>
      </w:r>
    </w:p>
    <w:p>
      <w:pPr>
        <w:spacing w:after="120" w:line="276" w:lineRule="auto"/>
        <w:jc w:val="both"/>
      </w:pPr>
      <w:r>
        <w:rPr>
          <w:rFonts w:ascii="Calibri" w:hAnsi="Calibri"/>
          <w:b w:val="0"/>
          <w:i w:val="0"/>
          <w:sz w:val="22"/>
        </w:rPr>
        <w:t>A partir do diagnóstico das rotinas operacionais e das declarações colhidas junto a Amanda Souza Peixoto, foram consolidados oito problemas centrais do negócio: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2933"/>
        <w:gridCol w:w="2933"/>
        <w:gridCol w:w="2933"/>
      </w:tblGrid>
      <w:tr>
        <w:tc>
          <w:tcPr>
            <w:tcW w:type="dxa" w:w="2592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  <w:sz w:val="20"/>
              </w:rPr>
              <w:t>Item / Problema</w:t>
            </w:r>
          </w:p>
        </w:tc>
        <w:tc>
          <w:tcPr>
            <w:tcW w:type="dxa" w:w="3168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  <w:sz w:val="20"/>
              </w:rPr>
              <w:t>Causa Raiz Identificada</w:t>
            </w:r>
          </w:p>
        </w:tc>
        <w:tc>
          <w:tcPr>
            <w:tcW w:type="dxa" w:w="3456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  <w:sz w:val="20"/>
              </w:rPr>
              <w:t>Impacto Operacional e Financeiro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sz w:val="19"/>
              </w:rPr>
              <w:t>P01: Conflitos de Agenda e Overbooking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Marcação em cadernos de papel e planilhas estáticas sem validação algorítmica de sobreposição.</w:t>
            </w:r>
          </w:p>
        </w:tc>
        <w:tc>
          <w:tcPr>
            <w:tcW w:type="dxa" w:w="345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Pacientes aguardando simultaneamente na recepção; constrangimento, atrasos e estresse profissional.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sz w:val="19"/>
              </w:rPr>
              <w:t>P02: Elevado No-Show (25% a 30%)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Confirmações manuais no WhatsApp frequentemente esquecidas pela recepção sobrecarregada.</w:t>
            </w:r>
          </w:p>
        </w:tc>
        <w:tc>
          <w:tcPr>
            <w:tcW w:type="dxa" w:w="345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Salas ociosas, tempo clínico desperdiçado e perda direta de até 30% do faturamento diário estimado.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sz w:val="19"/>
              </w:rPr>
              <w:t>P03: Fragilidade do Prontuário e Risco LGPD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Anotações em papel e arquivos Word sem versionamento imutável e sem trilha de auditoria.</w:t>
            </w:r>
          </w:p>
        </w:tc>
        <w:tc>
          <w:tcPr>
            <w:tcW w:type="dxa" w:w="345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Insegurança jurídica contra contestações éticas e exposição a sanções severas da ANPD (Art. 18 da Lei 13.709/2018).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sz w:val="19"/>
              </w:rPr>
              <w:t>P04: Descontrole de Pagamentos Mistos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Planilha e ferramentas incapazes de vincular múltiplos pagamentos (Entrada + Saldo) a uma consulta.</w:t>
            </w:r>
          </w:p>
        </w:tc>
        <w:tc>
          <w:tcPr>
            <w:tcW w:type="dxa" w:w="345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Inadimplência oculta, desorganização no fluxo de caixa e divergências recorrentes no fechamento mensal.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sz w:val="19"/>
              </w:rPr>
              <w:t>P05: Ausência de Dados sobre Cancelamentos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Desmarcações de consultas são apenas apagadas da agenda sem registrar o motivo do paciente.</w:t>
            </w:r>
          </w:p>
        </w:tc>
        <w:tc>
          <w:tcPr>
            <w:tcW w:type="dxa" w:w="345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Incapacidade gerencial de identificar e corrigir as causas de evasão (preço, tempo de espera, insatisfação).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sz w:val="19"/>
              </w:rPr>
              <w:t>P06: Inexistência de Canal de Ouvidoria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Falta de mecanismo estruturado para avaliação de satisfação (estrelas) e manifestações anônimas.</w:t>
            </w:r>
          </w:p>
        </w:tc>
        <w:tc>
          <w:tcPr>
            <w:tcW w:type="dxa" w:w="345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Desconhecimento da gestão sobre deficiências no atendimento da recepção, limpeza e pontualidade.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sz w:val="19"/>
              </w:rPr>
              <w:t>P07: Perda de Recorrência (180+ Dias)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Falta de controle automatizado de pacientes que completaram 6 meses sem retorno preventivo.</w:t>
            </w:r>
          </w:p>
        </w:tc>
        <w:tc>
          <w:tcPr>
            <w:tcW w:type="dxa" w:w="345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Evasão de pacientes fidelizados e redução expressiva da receita recorrente e previsível do consultório.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sz w:val="19"/>
              </w:rPr>
              <w:t>P08: Retorno Clínico sem Laudo Laboratorial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Falta de acompanhamento da esteira de exames e amostras terceirizadas junto a laboratórios parceiros.</w:t>
            </w:r>
          </w:p>
        </w:tc>
        <w:tc>
          <w:tcPr>
            <w:tcW w:type="dxa" w:w="345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Consultas de retorno realizadas inutilmente sem o laudo em mãos, exigindo nova remarcação.</w:t>
            </w:r>
          </w:p>
        </w:tc>
      </w:tr>
    </w:tbl>
    <w:p>
      <w:pPr>
        <w:spacing w:after="280" w:line="276" w:lineRule="auto"/>
        <w:jc w:val="both"/>
      </w:pPr>
    </w:p>
    <w:p>
      <w:pPr>
        <w:keepNext/>
        <w:spacing w:before="320" w:after="160"/>
      </w:pPr>
      <w:r>
        <w:rPr>
          <w:rFonts w:ascii="Calibri" w:hAnsi="Calibri"/>
          <w:b/>
          <w:color w:val="0F172A"/>
          <w:sz w:val="28"/>
        </w:rPr>
        <w:t>4. Proposta de Solução</w:t>
      </w:r>
    </w:p>
    <w:p>
      <w:pPr>
        <w:spacing w:after="120" w:line="276" w:lineRule="auto"/>
        <w:jc w:val="both"/>
      </w:pPr>
      <w:r>
        <w:rPr>
          <w:rFonts w:ascii="Calibri" w:hAnsi="Calibri"/>
          <w:b w:val="0"/>
          <w:i w:val="0"/>
          <w:sz w:val="22"/>
        </w:rPr>
        <w:t>Para sanar definitivamente os problemas diagnosticados, propõe-se a implantação do Clinix — Sistema de Agendamento e Prontuário para Clínicas Pequenas. Trata-se de uma plataforma computacional em nuvem, baseada no padrão de arquitetura em camadas e desenvolvida com tecnologias de nível corporativo:</w:t>
      </w:r>
    </w:p>
    <w:p>
      <w:pPr>
        <w:pStyle w:val="ListBullet"/>
        <w:spacing w:after="80" w:line="276" w:lineRule="auto"/>
        <w:jc w:val="both"/>
      </w:pPr>
      <w:r>
        <w:rPr>
          <w:rFonts w:ascii="Calibri" w:hAnsi="Calibri"/>
          <w:b/>
          <w:color w:val="0F172A"/>
          <w:sz w:val="22"/>
        </w:rPr>
        <w:t xml:space="preserve">• Backend Robusto em C# (.NET 8): </w:t>
      </w:r>
      <w:r>
        <w:rPr>
          <w:rFonts w:ascii="Calibri" w:hAnsi="Calibri"/>
          <w:color w:val="334155"/>
          <w:sz w:val="22"/>
        </w:rPr>
        <w:t>Estruturado com princípios de Clean Architecture e Domain-Driven Design (DDD), garantindo que as regras de negócio sejam invioláveis.</w:t>
      </w:r>
    </w:p>
    <w:p>
      <w:pPr>
        <w:pStyle w:val="ListBullet"/>
        <w:spacing w:after="80" w:line="276" w:lineRule="auto"/>
        <w:jc w:val="both"/>
      </w:pPr>
      <w:r>
        <w:rPr>
          <w:rFonts w:ascii="Calibri" w:hAnsi="Calibri"/>
          <w:b/>
          <w:color w:val="0F172A"/>
          <w:sz w:val="22"/>
        </w:rPr>
        <w:t xml:space="preserve">• Banco de Dados Relacional MySQL 8.0/8.4: </w:t>
      </w:r>
      <w:r>
        <w:rPr>
          <w:rFonts w:ascii="Calibri" w:hAnsi="Calibri"/>
          <w:color w:val="334155"/>
          <w:sz w:val="22"/>
        </w:rPr>
        <w:t>Modelado em estrita 3ª Forma Normal (3FN), com integridade referencial ACID e queries parametrizadas via micro-ORM Dapper (imunidade a SQL Injection).</w:t>
      </w:r>
    </w:p>
    <w:p>
      <w:pPr>
        <w:pStyle w:val="ListBullet"/>
        <w:spacing w:after="80" w:line="276" w:lineRule="auto"/>
        <w:jc w:val="both"/>
      </w:pPr>
      <w:r>
        <w:rPr>
          <w:rFonts w:ascii="Calibri" w:hAnsi="Calibri"/>
          <w:b/>
          <w:color w:val="0F172A"/>
          <w:sz w:val="22"/>
        </w:rPr>
        <w:t xml:space="preserve">• Frontend Web Responsivo (HTML5 / TailwindCSS / React): </w:t>
      </w:r>
      <w:r>
        <w:rPr>
          <w:rFonts w:ascii="Calibri" w:hAnsi="Calibri"/>
          <w:color w:val="334155"/>
          <w:sz w:val="22"/>
        </w:rPr>
        <w:t>Interface limpa, moderna e ergonômica, desenhada para operação fluida em computadores, tablets e smartphones sob a 'Regra dos 3 Cliques'.</w:t>
      </w:r>
    </w:p>
    <w:p>
      <w:pPr>
        <w:keepNext/>
        <w:spacing w:before="240" w:after="120"/>
      </w:pPr>
      <w:r>
        <w:rPr>
          <w:rFonts w:ascii="Calibri" w:hAnsi="Calibri"/>
          <w:b/>
          <w:color w:val="1E293B"/>
          <w:sz w:val="24"/>
        </w:rPr>
        <w:t>4.1 Mapeamento do Processo Proposto (TO BE)</w:t>
      </w:r>
    </w:p>
    <w:p>
      <w:pPr>
        <w:spacing w:after="120" w:line="276" w:lineRule="auto"/>
        <w:jc w:val="both"/>
      </w:pPr>
      <w:r>
        <w:rPr>
          <w:rFonts w:ascii="Calibri" w:hAnsi="Calibri"/>
          <w:b w:val="0"/>
          <w:i w:val="0"/>
          <w:sz w:val="22"/>
        </w:rPr>
        <w:t>O processo proposto automatiza as atividades repetitivas, insere checagens de validação em milissegundos e estabelece comunicação digital proativa com o paciente:</w:t>
      </w:r>
    </w:p>
    <w:p>
      <w:pPr>
        <w:pStyle w:val="ListBullet"/>
        <w:spacing w:after="80" w:line="276" w:lineRule="auto"/>
        <w:jc w:val="both"/>
      </w:pPr>
      <w:r>
        <w:rPr>
          <w:rFonts w:ascii="Calibri" w:hAnsi="Calibri"/>
          <w:b/>
          <w:color w:val="0F172A"/>
          <w:sz w:val="22"/>
        </w:rPr>
        <w:t xml:space="preserve">1. Agendamento com Validação Anti-Conflito: </w:t>
      </w:r>
      <w:r>
        <w:rPr>
          <w:rFonts w:ascii="Calibri" w:hAnsi="Calibri"/>
          <w:color w:val="334155"/>
          <w:sz w:val="22"/>
        </w:rPr>
        <w:t>A secretária escolhe o profissional e o horário. O sistema valida imediatamente a disponibilidade na grade; qualquer sobreposição é sumariamente bloqueada com alerta orientativo (RN01, RN02).</w:t>
      </w:r>
    </w:p>
    <w:p>
      <w:pPr>
        <w:pStyle w:val="ListBullet"/>
        <w:spacing w:after="80" w:line="276" w:lineRule="auto"/>
        <w:jc w:val="both"/>
      </w:pPr>
      <w:r>
        <w:rPr>
          <w:rFonts w:ascii="Calibri" w:hAnsi="Calibri"/>
          <w:b/>
          <w:color w:val="0F172A"/>
          <w:sz w:val="22"/>
        </w:rPr>
        <w:t xml:space="preserve">2. Autopreenchimento de Endereço via CEP: </w:t>
      </w:r>
      <w:r>
        <w:rPr>
          <w:rFonts w:ascii="Calibri" w:hAnsi="Calibri"/>
          <w:color w:val="334155"/>
          <w:sz w:val="22"/>
        </w:rPr>
        <w:t>Ao digitar o CEP de 8 dígitos, o sistema consulta a API pública ViaCEP em segundo plano e preenche logradouro, bairro, cidade e UF em menos de 1 segundo (RF29, RN18).</w:t>
      </w:r>
    </w:p>
    <w:p>
      <w:pPr>
        <w:pStyle w:val="ListBullet"/>
        <w:spacing w:after="80" w:line="276" w:lineRule="auto"/>
        <w:jc w:val="both"/>
      </w:pPr>
      <w:r>
        <w:rPr>
          <w:rFonts w:ascii="Calibri" w:hAnsi="Calibri"/>
          <w:b/>
          <w:color w:val="0F172A"/>
          <w:sz w:val="22"/>
        </w:rPr>
        <w:t xml:space="preserve">3. Confirmação Imediata e Lembretes 24h via WhatsApp: </w:t>
      </w:r>
      <w:r>
        <w:rPr>
          <w:rFonts w:ascii="Calibri" w:hAnsi="Calibri"/>
          <w:color w:val="334155"/>
          <w:sz w:val="22"/>
        </w:rPr>
        <w:t>A gravação do agendamento dispara confirmação instantânea no WhatsApp do paciente (RF12, RN03). Um cronjob de segundo plano dispara o lembrete preventivo exatamente 24 horas antes do atendimento (RF13, RN04).</w:t>
      </w:r>
    </w:p>
    <w:p>
      <w:pPr>
        <w:pStyle w:val="ListBullet"/>
        <w:spacing w:after="80" w:line="276" w:lineRule="auto"/>
        <w:jc w:val="both"/>
      </w:pPr>
      <w:r>
        <w:rPr>
          <w:rFonts w:ascii="Calibri" w:hAnsi="Calibri"/>
          <w:b/>
          <w:color w:val="0F172A"/>
          <w:sz w:val="22"/>
        </w:rPr>
        <w:t xml:space="preserve">4. Prontuário Eletrônico Imutável com Auditoria LGPD: </w:t>
      </w:r>
      <w:r>
        <w:rPr>
          <w:rFonts w:ascii="Calibri" w:hAnsi="Calibri"/>
          <w:color w:val="334155"/>
          <w:sz w:val="22"/>
        </w:rPr>
        <w:t>O atendimento é lançado por profissional autenticado com token JWT. Alterações em anotações geram snapshots imutáveis com texto anterior, data, autor e motivo (RF16, RN17). Acesso a dados pessoais gera log de auditoria append-only (RF28, RN13).</w:t>
      </w:r>
    </w:p>
    <w:p>
      <w:pPr>
        <w:pStyle w:val="ListBullet"/>
        <w:spacing w:after="80" w:line="276" w:lineRule="auto"/>
        <w:jc w:val="both"/>
      </w:pPr>
      <w:r>
        <w:rPr>
          <w:rFonts w:ascii="Calibri" w:hAnsi="Calibri"/>
          <w:b/>
          <w:color w:val="0F172A"/>
          <w:sz w:val="22"/>
        </w:rPr>
        <w:t xml:space="preserve">5. Pagamento Dividido (Entrada + Saldo): </w:t>
      </w:r>
      <w:r>
        <w:rPr>
          <w:rFonts w:ascii="Calibri" w:hAnsi="Calibri"/>
          <w:color w:val="334155"/>
          <w:sz w:val="22"/>
        </w:rPr>
        <w:t>O módulo financeiro permite lançar a quitação em múltiplas modalidades distintas (ex.: Entrada no PIX e Saldo no Cartão parcelado), garantindo conciliação matemática automática da soma (RF30, RN19).</w:t>
      </w:r>
    </w:p>
    <w:p>
      <w:pPr>
        <w:pStyle w:val="ListBullet"/>
        <w:spacing w:after="80" w:line="276" w:lineRule="auto"/>
        <w:jc w:val="both"/>
      </w:pPr>
      <w:r>
        <w:rPr>
          <w:rFonts w:ascii="Calibri" w:hAnsi="Calibri"/>
          <w:b/>
          <w:color w:val="0F172A"/>
          <w:sz w:val="22"/>
        </w:rPr>
        <w:t xml:space="preserve">6. Cancelamento com Motivo Obrigatório: </w:t>
      </w:r>
      <w:r>
        <w:rPr>
          <w:rFonts w:ascii="Calibri" w:hAnsi="Calibri"/>
          <w:color w:val="334155"/>
          <w:sz w:val="22"/>
        </w:rPr>
        <w:t>Ao desmarcar uma consulta, o sistema exige a seleção de categoria (Incompatibilidade, Preço, Saúde, etc.) e justificativa, alimentando relatórios de churn (RF31, RN20).</w:t>
      </w:r>
    </w:p>
    <w:p>
      <w:pPr>
        <w:pStyle w:val="ListBullet"/>
        <w:spacing w:after="80" w:line="276" w:lineRule="auto"/>
        <w:jc w:val="both"/>
      </w:pPr>
      <w:r>
        <w:rPr>
          <w:rFonts w:ascii="Calibri" w:hAnsi="Calibri"/>
          <w:b/>
          <w:color w:val="0F172A"/>
          <w:sz w:val="22"/>
        </w:rPr>
        <w:t xml:space="preserve">7. Ouvidoria com Notas de 1 a 5 Estrelas: </w:t>
      </w:r>
      <w:r>
        <w:rPr>
          <w:rFonts w:ascii="Calibri" w:hAnsi="Calibri"/>
          <w:color w:val="334155"/>
          <w:sz w:val="22"/>
        </w:rPr>
        <w:t>O paciente avalia o atendimento sob opção de anonimato, gerando médias de satisfação para recepção, atendimento clínico e espaço físico (RF32, RN21).</w:t>
      </w:r>
    </w:p>
    <w:p>
      <w:pPr>
        <w:pStyle w:val="ListBullet"/>
        <w:spacing w:after="80" w:line="276" w:lineRule="auto"/>
        <w:jc w:val="both"/>
      </w:pPr>
      <w:r>
        <w:rPr>
          <w:rFonts w:ascii="Calibri" w:hAnsi="Calibri"/>
          <w:b/>
          <w:color w:val="0F172A"/>
          <w:sz w:val="22"/>
        </w:rPr>
        <w:t xml:space="preserve">8. Gestão de Amostras Laboratoriais e Trava de Retorno: </w:t>
      </w:r>
      <w:r>
        <w:rPr>
          <w:rFonts w:ascii="Calibri" w:hAnsi="Calibri"/>
          <w:color w:val="334155"/>
          <w:sz w:val="22"/>
        </w:rPr>
        <w:t>Pedidos de exames a laboratórios parceiros são rastreados por código e prazo; se o laudo estiver pendente, a agenda exibe alerta visual pulsante, impedindo consultas de retorno sem resultado (RF34, RN23).</w:t>
      </w:r>
    </w:p>
    <w:p>
      <w:pPr>
        <w:pStyle w:val="ListBullet"/>
        <w:spacing w:after="80" w:line="276" w:lineRule="auto"/>
        <w:jc w:val="both"/>
      </w:pPr>
      <w:r>
        <w:rPr>
          <w:rFonts w:ascii="Calibri" w:hAnsi="Calibri"/>
          <w:b/>
          <w:color w:val="0F172A"/>
          <w:sz w:val="22"/>
        </w:rPr>
        <w:t xml:space="preserve">9. Retorno Preventivo de 180 Dias: </w:t>
      </w:r>
      <w:r>
        <w:rPr>
          <w:rFonts w:ascii="Calibri" w:hAnsi="Calibri"/>
          <w:color w:val="334155"/>
          <w:sz w:val="22"/>
        </w:rPr>
        <w:t>O sistema lista pacientes sem atendimento há mais de 6 meses e permite disparar convite de retorno com cupom de fidelidade de 10% (CHECKUP10) com apenas um clique (RF33, RN22).</w:t>
      </w:r>
    </w:p>
    <w:p>
      <w:pPr>
        <w:keepNext/>
        <w:spacing w:before="240" w:after="120"/>
      </w:pPr>
      <w:r>
        <w:rPr>
          <w:rFonts w:ascii="Calibri" w:hAnsi="Calibri"/>
          <w:b/>
          <w:color w:val="1E293B"/>
          <w:sz w:val="24"/>
        </w:rPr>
        <w:t>4.2 Objetivos da Solução</w:t>
      </w:r>
    </w:p>
    <w:p>
      <w:pPr>
        <w:spacing w:after="120" w:line="276" w:lineRule="auto"/>
        <w:jc w:val="both"/>
      </w:pPr>
      <w:r>
        <w:rPr>
          <w:rFonts w:ascii="Calibri" w:hAnsi="Calibri"/>
          <w:b w:val="0"/>
          <w:i w:val="0"/>
          <w:sz w:val="22"/>
        </w:rPr>
        <w:t>Objetivo Geral: Desenvolver, homologar e implantar um sistema computacional integrado de agendamento anti-conflito, prontuário eletrônico seguro em conformidade com a LGPD e gestão administrativa-financeira para consultórios e clínicas de pequeno porte.</w:t>
      </w:r>
    </w:p>
    <w:p>
      <w:pPr>
        <w:spacing w:after="120" w:line="276" w:lineRule="auto"/>
        <w:jc w:val="both"/>
      </w:pPr>
      <w:r>
        <w:rPr>
          <w:rFonts w:ascii="Calibri" w:hAnsi="Calibri"/>
          <w:b w:val="0"/>
          <w:i w:val="0"/>
          <w:sz w:val="22"/>
        </w:rPr>
        <w:t>Objetivos Específicos:</w:t>
      </w:r>
    </w:p>
    <w:p>
      <w:pPr>
        <w:pStyle w:val="ListBullet"/>
        <w:spacing w:after="80" w:line="276" w:lineRule="auto"/>
        <w:jc w:val="both"/>
      </w:pPr>
      <w:r>
        <w:rPr>
          <w:rFonts w:ascii="Calibri" w:hAnsi="Calibri"/>
          <w:b/>
          <w:color w:val="0F172A"/>
          <w:sz w:val="22"/>
        </w:rPr>
        <w:t xml:space="preserve">a) </w:t>
      </w:r>
      <w:r>
        <w:rPr>
          <w:rFonts w:ascii="Calibri" w:hAnsi="Calibri"/>
          <w:color w:val="334155"/>
          <w:sz w:val="22"/>
        </w:rPr>
        <w:t>Erradicar 100% dos conflitos de agenda através de motor de validação algorítmica de sobreposição temporal antes de qualquer gravação (RN01, RN02).</w:t>
      </w:r>
    </w:p>
    <w:p>
      <w:pPr>
        <w:pStyle w:val="ListBullet"/>
        <w:spacing w:after="80" w:line="276" w:lineRule="auto"/>
        <w:jc w:val="both"/>
      </w:pPr>
      <w:r>
        <w:rPr>
          <w:rFonts w:ascii="Calibri" w:hAnsi="Calibri"/>
          <w:b/>
          <w:color w:val="0F172A"/>
          <w:sz w:val="22"/>
        </w:rPr>
        <w:t xml:space="preserve">b) </w:t>
      </w:r>
      <w:r>
        <w:rPr>
          <w:rFonts w:ascii="Calibri" w:hAnsi="Calibri"/>
          <w:color w:val="334155"/>
          <w:sz w:val="22"/>
        </w:rPr>
        <w:t>Reduzir o índice de no-show para menos de 5% mediante automação de confirmações imediatas e lembretes preventivos de 24 horas via WhatsApp (RF12, RF13, RN03, RN04).</w:t>
      </w:r>
    </w:p>
    <w:p>
      <w:pPr>
        <w:pStyle w:val="ListBullet"/>
        <w:spacing w:after="80" w:line="276" w:lineRule="auto"/>
        <w:jc w:val="both"/>
      </w:pPr>
      <w:r>
        <w:rPr>
          <w:rFonts w:ascii="Calibri" w:hAnsi="Calibri"/>
          <w:b/>
          <w:color w:val="0F172A"/>
          <w:sz w:val="22"/>
        </w:rPr>
        <w:t xml:space="preserve">c) </w:t>
      </w:r>
      <w:r>
        <w:rPr>
          <w:rFonts w:ascii="Calibri" w:hAnsi="Calibri"/>
          <w:color w:val="334155"/>
          <w:sz w:val="22"/>
        </w:rPr>
        <w:t>Assegurar conformidade plena com a LGPD (Lei 13.709/2018) e normas do CFM, mantendo versionamento imutável de anotações e trilha de auditoria em tabela somente-leitura (RF15, RF16, RF28, RN13, RN17).</w:t>
      </w:r>
    </w:p>
    <w:p>
      <w:pPr>
        <w:pStyle w:val="ListBullet"/>
        <w:spacing w:after="80" w:line="276" w:lineRule="auto"/>
        <w:jc w:val="both"/>
      </w:pPr>
      <w:r>
        <w:rPr>
          <w:rFonts w:ascii="Calibri" w:hAnsi="Calibri"/>
          <w:b/>
          <w:color w:val="0F172A"/>
          <w:sz w:val="22"/>
        </w:rPr>
        <w:t xml:space="preserve">d) </w:t>
      </w:r>
      <w:r>
        <w:rPr>
          <w:rFonts w:ascii="Calibri" w:hAnsi="Calibri"/>
          <w:color w:val="334155"/>
          <w:sz w:val="22"/>
        </w:rPr>
        <w:t>Acelerar em 60% o tempo de cadastro de pacientes através de consulta síncrona de endereço por CEP (RF29, RN18).</w:t>
      </w:r>
    </w:p>
    <w:p>
      <w:pPr>
        <w:pStyle w:val="ListBullet"/>
        <w:spacing w:after="80" w:line="276" w:lineRule="auto"/>
        <w:jc w:val="both"/>
      </w:pPr>
      <w:r>
        <w:rPr>
          <w:rFonts w:ascii="Calibri" w:hAnsi="Calibri"/>
          <w:b/>
          <w:color w:val="0F172A"/>
          <w:sz w:val="22"/>
        </w:rPr>
        <w:t xml:space="preserve">e) </w:t>
      </w:r>
      <w:r>
        <w:rPr>
          <w:rFonts w:ascii="Calibri" w:hAnsi="Calibri"/>
          <w:color w:val="334155"/>
          <w:sz w:val="22"/>
        </w:rPr>
        <w:t>Possibilitar a quitação flexível de procedimentos em Entrada + Saldo com conciliação contábil automática (RF30, RN19).</w:t>
      </w:r>
    </w:p>
    <w:p>
      <w:pPr>
        <w:pStyle w:val="ListBullet"/>
        <w:spacing w:after="80" w:line="276" w:lineRule="auto"/>
        <w:jc w:val="both"/>
      </w:pPr>
      <w:r>
        <w:rPr>
          <w:rFonts w:ascii="Calibri" w:hAnsi="Calibri"/>
          <w:b/>
          <w:color w:val="0F172A"/>
          <w:sz w:val="22"/>
        </w:rPr>
        <w:t xml:space="preserve">f) </w:t>
      </w:r>
      <w:r>
        <w:rPr>
          <w:rFonts w:ascii="Calibri" w:hAnsi="Calibri"/>
          <w:color w:val="334155"/>
          <w:sz w:val="22"/>
        </w:rPr>
        <w:t>Fornecer métricas das razões de cancelamento para subsídio de tomadas de decisão gerenciais (RF31, RN20).</w:t>
      </w:r>
    </w:p>
    <w:p>
      <w:pPr>
        <w:pStyle w:val="ListBullet"/>
        <w:spacing w:after="80" w:line="276" w:lineRule="auto"/>
        <w:jc w:val="both"/>
      </w:pPr>
      <w:r>
        <w:rPr>
          <w:rFonts w:ascii="Calibri" w:hAnsi="Calibri"/>
          <w:b/>
          <w:color w:val="0F172A"/>
          <w:sz w:val="22"/>
        </w:rPr>
        <w:t xml:space="preserve">g) </w:t>
      </w:r>
      <w:r>
        <w:rPr>
          <w:rFonts w:ascii="Calibri" w:hAnsi="Calibri"/>
          <w:color w:val="334155"/>
          <w:sz w:val="22"/>
        </w:rPr>
        <w:t>Instituir canal contínuo de ouvidoria com notas de 1 a 5 estrelas e feedbacks qualitativos (RF32, RN21).</w:t>
      </w:r>
    </w:p>
    <w:p>
      <w:pPr>
        <w:pStyle w:val="ListBullet"/>
        <w:spacing w:after="80" w:line="276" w:lineRule="auto"/>
        <w:jc w:val="both"/>
      </w:pPr>
      <w:r>
        <w:rPr>
          <w:rFonts w:ascii="Calibri" w:hAnsi="Calibri"/>
          <w:b/>
          <w:color w:val="0F172A"/>
          <w:sz w:val="22"/>
        </w:rPr>
        <w:t xml:space="preserve">h) </w:t>
      </w:r>
      <w:r>
        <w:rPr>
          <w:rFonts w:ascii="Calibri" w:hAnsi="Calibri"/>
          <w:color w:val="334155"/>
          <w:sz w:val="22"/>
        </w:rPr>
        <w:t>Incrementar a receita recorrente monitorando pacientes elegíveis a retornos preventivos após 180 dias com cupom promocional (RF33, RN22).</w:t>
      </w:r>
    </w:p>
    <w:p>
      <w:pPr>
        <w:pStyle w:val="ListBullet"/>
        <w:spacing w:after="80" w:line="276" w:lineRule="auto"/>
        <w:jc w:val="both"/>
      </w:pPr>
      <w:r>
        <w:rPr>
          <w:rFonts w:ascii="Calibri" w:hAnsi="Calibri"/>
          <w:b/>
          <w:color w:val="0F172A"/>
          <w:sz w:val="22"/>
        </w:rPr>
        <w:t xml:space="preserve">i) </w:t>
      </w:r>
      <w:r>
        <w:rPr>
          <w:rFonts w:ascii="Calibri" w:hAnsi="Calibri"/>
          <w:color w:val="334155"/>
          <w:sz w:val="22"/>
        </w:rPr>
        <w:t>Rastrear o fluxo de laudos laboratoriais externos com alerta na agenda para evitar retornos prematuros (RF34, RN23).</w:t>
      </w:r>
    </w:p>
    <w:p>
      <w:pPr>
        <w:keepNext/>
        <w:spacing w:before="240" w:after="120"/>
      </w:pPr>
      <w:r>
        <w:rPr>
          <w:rFonts w:ascii="Calibri" w:hAnsi="Calibri"/>
          <w:b/>
          <w:color w:val="1E293B"/>
          <w:sz w:val="24"/>
        </w:rPr>
        <w:t>4.3 Benefícios da Solução</w:t>
      </w:r>
    </w:p>
    <w:p>
      <w:pPr>
        <w:pStyle w:val="ListBullet"/>
        <w:spacing w:after="80" w:line="276" w:lineRule="auto"/>
        <w:jc w:val="both"/>
      </w:pPr>
      <w:r>
        <w:rPr>
          <w:rFonts w:ascii="Calibri" w:hAnsi="Calibri"/>
          <w:b/>
          <w:color w:val="0F172A"/>
          <w:sz w:val="22"/>
        </w:rPr>
        <w:t xml:space="preserve">• Benefícios Tangíveis (Econômicos e Operacionais): </w:t>
      </w:r>
      <w:r>
        <w:rPr>
          <w:rFonts w:ascii="Calibri" w:hAnsi="Calibri"/>
          <w:color w:val="334155"/>
          <w:sz w:val="22"/>
        </w:rPr>
        <w:t>Recuperação estimada de R$ 1.500 a R$ 3.000 mensais com a drástica redução de faltas; economia de 15 a 20 horas mensais da equipe da recepção em digitação e confirmações telefônicas; 100% de precisão no fechamento do caixa diário e mensal.</w:t>
      </w:r>
    </w:p>
    <w:p>
      <w:pPr>
        <w:pStyle w:val="ListBullet"/>
        <w:spacing w:after="80" w:line="276" w:lineRule="auto"/>
        <w:jc w:val="both"/>
      </w:pPr>
      <w:r>
        <w:rPr>
          <w:rFonts w:ascii="Calibri" w:hAnsi="Calibri"/>
          <w:b/>
          <w:color w:val="0F172A"/>
          <w:sz w:val="22"/>
        </w:rPr>
        <w:t xml:space="preserve">• Benefícios Intangíveis (Estratégicos e Reputacionais): </w:t>
      </w:r>
      <w:r>
        <w:rPr>
          <w:rFonts w:ascii="Calibri" w:hAnsi="Calibri"/>
          <w:color w:val="334155"/>
          <w:sz w:val="22"/>
        </w:rPr>
        <w:t>Segurança jurídica total contra contestações éticas ou judiciais em prontuários; blindagem contra sanções administrativas da ANPD; percepção de profissionalismo e modernidade transmitida aos pacientes; decisões clínicas fundamentadas em laudos conferidos previamente.</w:t>
      </w:r>
    </w:p>
    <w:p>
      <w:pPr>
        <w:keepNext/>
        <w:spacing w:before="240" w:after="120"/>
      </w:pPr>
      <w:r>
        <w:rPr>
          <w:rFonts w:ascii="Calibri" w:hAnsi="Calibri"/>
          <w:b/>
          <w:color w:val="1E293B"/>
          <w:sz w:val="24"/>
        </w:rPr>
        <w:t>4.4 Características da Solução</w:t>
      </w:r>
    </w:p>
    <w:p>
      <w:pPr>
        <w:pStyle w:val="ListBullet"/>
        <w:spacing w:after="80" w:line="276" w:lineRule="auto"/>
        <w:jc w:val="both"/>
      </w:pPr>
      <w:r>
        <w:rPr>
          <w:rFonts w:ascii="Calibri" w:hAnsi="Calibri"/>
          <w:b/>
          <w:color w:val="0F172A"/>
          <w:sz w:val="22"/>
        </w:rPr>
        <w:t xml:space="preserve">• Acessibilidade Universal Web: </w:t>
      </w:r>
      <w:r>
        <w:rPr>
          <w:rFonts w:ascii="Calibri" w:hAnsi="Calibri"/>
          <w:color w:val="334155"/>
          <w:sz w:val="22"/>
        </w:rPr>
        <w:t>Disponível em qualquer dispositivo conectado sem necessidade de instalação local de drivers ou servidores.</w:t>
      </w:r>
    </w:p>
    <w:p>
      <w:pPr>
        <w:pStyle w:val="ListBullet"/>
        <w:spacing w:after="80" w:line="276" w:lineRule="auto"/>
        <w:jc w:val="both"/>
      </w:pPr>
      <w:r>
        <w:rPr>
          <w:rFonts w:ascii="Calibri" w:hAnsi="Calibri"/>
          <w:b/>
          <w:color w:val="0F172A"/>
          <w:sz w:val="22"/>
        </w:rPr>
        <w:t xml:space="preserve">• Usabilidade 'Regra dos 3 Cliques' (RQ10): </w:t>
      </w:r>
      <w:r>
        <w:rPr>
          <w:rFonts w:ascii="Calibri" w:hAnsi="Calibri"/>
          <w:color w:val="334155"/>
          <w:sz w:val="22"/>
        </w:rPr>
        <w:t>Fluxos de marcação, atendimento e recebimento realizáveis em até 3 cliques do mouse a partir da tela principal.</w:t>
      </w:r>
    </w:p>
    <w:p>
      <w:pPr>
        <w:pStyle w:val="ListBullet"/>
        <w:spacing w:after="80" w:line="276" w:lineRule="auto"/>
        <w:jc w:val="both"/>
      </w:pPr>
      <w:r>
        <w:rPr>
          <w:rFonts w:ascii="Calibri" w:hAnsi="Calibri"/>
          <w:b/>
          <w:color w:val="0F172A"/>
          <w:sz w:val="22"/>
        </w:rPr>
        <w:t xml:space="preserve">• Controle de Acesso Baseado em Perfis (RBAC - RF27): </w:t>
      </w:r>
      <w:r>
        <w:rPr>
          <w:rFonts w:ascii="Calibri" w:hAnsi="Calibri"/>
          <w:color w:val="334155"/>
          <w:sz w:val="22"/>
        </w:rPr>
        <w:t>Separação lógica estrita entre módulos administrativos/recepção e dados privativos de prontuário médico.</w:t>
      </w:r>
    </w:p>
    <w:p>
      <w:pPr>
        <w:pStyle w:val="ListBullet"/>
        <w:spacing w:after="80" w:line="276" w:lineRule="auto"/>
        <w:jc w:val="both"/>
      </w:pPr>
      <w:r>
        <w:rPr>
          <w:rFonts w:ascii="Calibri" w:hAnsi="Calibri"/>
          <w:b/>
          <w:color w:val="0F172A"/>
          <w:sz w:val="22"/>
        </w:rPr>
        <w:t xml:space="preserve">• Criptografia de Alta Entropia (RQ08): </w:t>
      </w:r>
      <w:r>
        <w:rPr>
          <w:rFonts w:ascii="Calibri" w:hAnsi="Calibri"/>
          <w:color w:val="334155"/>
          <w:sz w:val="22"/>
        </w:rPr>
        <w:t>Senhas armazenadas com hash PBKDF2/SHA-256 e Salt criptográfico; transmissão segura via HTTPS com cabeçalhos de proteção CSP e HSTS.</w:t>
      </w:r>
    </w:p>
    <w:p>
      <w:pPr>
        <w:pStyle w:val="ListBullet"/>
        <w:spacing w:after="80" w:line="276" w:lineRule="auto"/>
        <w:jc w:val="both"/>
      </w:pPr>
      <w:r>
        <w:rPr>
          <w:rFonts w:ascii="Calibri" w:hAnsi="Calibri"/>
          <w:b/>
          <w:color w:val="0F172A"/>
          <w:sz w:val="22"/>
        </w:rPr>
        <w:t xml:space="preserve">• Arquitetura Híbrida e Resiliente (RQ15): </w:t>
      </w:r>
      <w:r>
        <w:rPr>
          <w:rFonts w:ascii="Calibri" w:hAnsi="Calibri"/>
          <w:color w:val="334155"/>
          <w:sz w:val="22"/>
        </w:rPr>
        <w:t>Suporte à persistência defensiva em localStorage caso ocorram oscilações transitórias de conectividade de rede.</w:t>
      </w:r>
    </w:p>
    <w:p>
      <w:pPr>
        <w:keepNext/>
        <w:spacing w:before="240" w:after="120"/>
      </w:pPr>
      <w:r>
        <w:rPr>
          <w:rFonts w:ascii="Calibri" w:hAnsi="Calibri"/>
          <w:b/>
          <w:color w:val="1E293B"/>
          <w:sz w:val="24"/>
        </w:rPr>
        <w:t>4.5 Funcionalidades e Principais Requisitos Funcionais</w:t>
      </w:r>
    </w:p>
    <w:p>
      <w:pPr>
        <w:spacing w:after="120" w:line="276" w:lineRule="auto"/>
        <w:jc w:val="both"/>
      </w:pPr>
      <w:r>
        <w:rPr>
          <w:rFonts w:ascii="Calibri" w:hAnsi="Calibri"/>
          <w:b w:val="0"/>
          <w:i w:val="0"/>
          <w:sz w:val="22"/>
        </w:rPr>
        <w:t>A solução implementa 11 macrofuncionalidades que englobam a matriz completa de requisitos funcionais:</w:t>
      </w:r>
    </w:p>
    <w:p>
      <w:pPr>
        <w:pStyle w:val="ListBullet"/>
        <w:spacing w:after="80" w:line="276" w:lineRule="auto"/>
        <w:jc w:val="both"/>
      </w:pPr>
      <w:r>
        <w:rPr>
          <w:rFonts w:ascii="Calibri" w:hAnsi="Calibri"/>
          <w:b/>
          <w:color w:val="0F172A"/>
          <w:sz w:val="22"/>
        </w:rPr>
        <w:t xml:space="preserve">1. Autenticação Segura e Controle de Sessão (RF26, RF27): </w:t>
      </w:r>
      <w:r>
        <w:rPr>
          <w:rFonts w:ascii="Calibri" w:hAnsi="Calibri"/>
          <w:color w:val="334155"/>
          <w:sz w:val="22"/>
        </w:rPr>
        <w:t>Login com validação de hash PBKDF2/SHA-256, geração de tokens JWT e diferenciação de papéis (Profissional vs. Administrador).</w:t>
      </w:r>
    </w:p>
    <w:p>
      <w:pPr>
        <w:pStyle w:val="ListBullet"/>
        <w:spacing w:after="80" w:line="276" w:lineRule="auto"/>
        <w:jc w:val="both"/>
      </w:pPr>
      <w:r>
        <w:rPr>
          <w:rFonts w:ascii="Calibri" w:hAnsi="Calibri"/>
          <w:b/>
          <w:color w:val="0F172A"/>
          <w:sz w:val="22"/>
        </w:rPr>
        <w:t xml:space="preserve">2. Cadastro de Pacientes com CEP Estruturado (RF01-RF05, RF29, RN18): </w:t>
      </w:r>
      <w:r>
        <w:rPr>
          <w:rFonts w:ascii="Calibri" w:hAnsi="Calibri"/>
          <w:color w:val="334155"/>
          <w:sz w:val="22"/>
        </w:rPr>
        <w:t>Ficha cadastral com autopreenchimento de endereço via ViaCEP, validação de documento único e alertas de saúde em destaque.</w:t>
      </w:r>
    </w:p>
    <w:p>
      <w:pPr>
        <w:pStyle w:val="ListBullet"/>
        <w:spacing w:after="80" w:line="276" w:lineRule="auto"/>
        <w:jc w:val="both"/>
      </w:pPr>
      <w:r>
        <w:rPr>
          <w:rFonts w:ascii="Calibri" w:hAnsi="Calibri"/>
          <w:b/>
          <w:color w:val="0F172A"/>
          <w:sz w:val="22"/>
        </w:rPr>
        <w:t xml:space="preserve">3. Agenda Clínica Anti-Conflito e Bloqueios (RF06-RF11, RN01, RN02, RN14): </w:t>
      </w:r>
      <w:r>
        <w:rPr>
          <w:rFonts w:ascii="Calibri" w:hAnsi="Calibri"/>
          <w:color w:val="334155"/>
          <w:sz w:val="22"/>
        </w:rPr>
        <w:t>Grade dinâmica com validação matemática de intervalos, reagendamentos, cancelamentos tardios e bloqueios de períodos.</w:t>
      </w:r>
    </w:p>
    <w:p>
      <w:pPr>
        <w:pStyle w:val="ListBullet"/>
        <w:spacing w:after="80" w:line="276" w:lineRule="auto"/>
        <w:jc w:val="both"/>
      </w:pPr>
      <w:r>
        <w:rPr>
          <w:rFonts w:ascii="Calibri" w:hAnsi="Calibri"/>
          <w:b/>
          <w:color w:val="0F172A"/>
          <w:sz w:val="22"/>
        </w:rPr>
        <w:t xml:space="preserve">4. Automação de Lembretes Digitais (RF12-RF14, RN03, RN04): </w:t>
      </w:r>
      <w:r>
        <w:rPr>
          <w:rFonts w:ascii="Calibri" w:hAnsi="Calibri"/>
          <w:color w:val="334155"/>
          <w:sz w:val="22"/>
        </w:rPr>
        <w:t>Disparo instantâneo de comprovante no WhatsApp e lembrete preventivo 24h com opção de confirmação do paciente.</w:t>
      </w:r>
    </w:p>
    <w:p>
      <w:pPr>
        <w:pStyle w:val="ListBullet"/>
        <w:spacing w:after="80" w:line="276" w:lineRule="auto"/>
        <w:jc w:val="both"/>
      </w:pPr>
      <w:r>
        <w:rPr>
          <w:rFonts w:ascii="Calibri" w:hAnsi="Calibri"/>
          <w:b/>
          <w:color w:val="0F172A"/>
          <w:sz w:val="22"/>
        </w:rPr>
        <w:t xml:space="preserve">5. Prontuário Eletrônico do Paciente - PEP (RF15-RF18, RN05, RN06, RN17): </w:t>
      </w:r>
      <w:r>
        <w:rPr>
          <w:rFonts w:ascii="Calibri" w:hAnsi="Calibri"/>
          <w:color w:val="334155"/>
          <w:sz w:val="22"/>
        </w:rPr>
        <w:t>Linha do tempo clínica contínua, editor de anotações e versionamento imutável de edições com justificativa obrigatória.</w:t>
      </w:r>
    </w:p>
    <w:p>
      <w:pPr>
        <w:pStyle w:val="ListBullet"/>
        <w:spacing w:after="80" w:line="276" w:lineRule="auto"/>
        <w:jc w:val="both"/>
      </w:pPr>
      <w:r>
        <w:rPr>
          <w:rFonts w:ascii="Calibri" w:hAnsi="Calibri"/>
          <w:b/>
          <w:color w:val="0F172A"/>
          <w:sz w:val="22"/>
        </w:rPr>
        <w:t xml:space="preserve">6. Trilha de Auditoria e Portabilidade LGPD (RF28, RN13, RQ03, RQ07): </w:t>
      </w:r>
      <w:r>
        <w:rPr>
          <w:rFonts w:ascii="Calibri" w:hAnsi="Calibri"/>
          <w:color w:val="334155"/>
          <w:sz w:val="22"/>
        </w:rPr>
        <w:t>Gravação de logs append-only para consultas a dados sensíveis e rotina de inativação com anonimização lógica cadastral.</w:t>
      </w:r>
    </w:p>
    <w:p>
      <w:pPr>
        <w:pStyle w:val="ListBullet"/>
        <w:spacing w:after="80" w:line="276" w:lineRule="auto"/>
        <w:jc w:val="both"/>
      </w:pPr>
      <w:r>
        <w:rPr>
          <w:rFonts w:ascii="Calibri" w:hAnsi="Calibri"/>
          <w:b/>
          <w:color w:val="0F172A"/>
          <w:sz w:val="22"/>
        </w:rPr>
        <w:t xml:space="preserve">7. Gestão Financeira com Pagamento Misto/Dividido (RF19-RF22, RF30, RN07, RN08, RN09, RN19): </w:t>
      </w:r>
      <w:r>
        <w:rPr>
          <w:rFonts w:ascii="Calibri" w:hAnsi="Calibri"/>
          <w:color w:val="334155"/>
          <w:sz w:val="22"/>
        </w:rPr>
        <w:t>Desdobramento da quitação de uma consulta em Entrada e Saldo Restante com conciliação contábil e resumo mensal.</w:t>
      </w:r>
    </w:p>
    <w:p>
      <w:pPr>
        <w:pStyle w:val="ListBullet"/>
        <w:spacing w:after="80" w:line="276" w:lineRule="auto"/>
        <w:jc w:val="both"/>
      </w:pPr>
      <w:r>
        <w:rPr>
          <w:rFonts w:ascii="Calibri" w:hAnsi="Calibri"/>
          <w:b/>
          <w:color w:val="0F172A"/>
          <w:sz w:val="22"/>
        </w:rPr>
        <w:t xml:space="preserve">8. Métricas de Cancelamento e Churn (RF10, RF31, RN10, RN20): </w:t>
      </w:r>
      <w:r>
        <w:rPr>
          <w:rFonts w:ascii="Calibri" w:hAnsi="Calibri"/>
          <w:color w:val="334155"/>
          <w:sz w:val="22"/>
        </w:rPr>
        <w:t>Exigência de categoria (Financeiro, Horário, Saúde, etc.) e justificativa ao cancelar, gerando relatórios gerenciais.</w:t>
      </w:r>
    </w:p>
    <w:p>
      <w:pPr>
        <w:pStyle w:val="ListBullet"/>
        <w:spacing w:after="80" w:line="276" w:lineRule="auto"/>
        <w:jc w:val="both"/>
      </w:pPr>
      <w:r>
        <w:rPr>
          <w:rFonts w:ascii="Calibri" w:hAnsi="Calibri"/>
          <w:b/>
          <w:color w:val="0F172A"/>
          <w:sz w:val="22"/>
        </w:rPr>
        <w:t xml:space="preserve">9. Ouvidoria Clínica e NPS (RF32, RN21): </w:t>
      </w:r>
      <w:r>
        <w:rPr>
          <w:rFonts w:ascii="Calibri" w:hAnsi="Calibri"/>
          <w:color w:val="334155"/>
          <w:sz w:val="22"/>
        </w:rPr>
        <w:t>Coleta de notas de 1 a 5 estrelas para Recepção, Atendimento e Espaço Físico, permitindo depoimentos anônimos.</w:t>
      </w:r>
    </w:p>
    <w:p>
      <w:pPr>
        <w:pStyle w:val="ListBullet"/>
        <w:spacing w:after="80" w:line="276" w:lineRule="auto"/>
        <w:jc w:val="both"/>
      </w:pPr>
      <w:r>
        <w:rPr>
          <w:rFonts w:ascii="Calibri" w:hAnsi="Calibri"/>
          <w:b/>
          <w:color w:val="0F172A"/>
          <w:sz w:val="22"/>
        </w:rPr>
        <w:t xml:space="preserve">10. Recall de Retorno Preventivo Semestral (RF33, RN22): </w:t>
      </w:r>
      <w:r>
        <w:rPr>
          <w:rFonts w:ascii="Calibri" w:hAnsi="Calibri"/>
          <w:color w:val="334155"/>
          <w:sz w:val="22"/>
        </w:rPr>
        <w:t>Filtro de pacientes sem retorno há 180+ dias com botão de 1 clique para envio de convite com cupom CHECKUP10 no WhatsApp.</w:t>
      </w:r>
    </w:p>
    <w:p>
      <w:pPr>
        <w:pStyle w:val="ListBullet"/>
        <w:spacing w:after="80" w:line="276" w:lineRule="auto"/>
        <w:jc w:val="both"/>
      </w:pPr>
      <w:r>
        <w:rPr>
          <w:rFonts w:ascii="Calibri" w:hAnsi="Calibri"/>
          <w:b/>
          <w:color w:val="0F172A"/>
          <w:sz w:val="22"/>
        </w:rPr>
        <w:t xml:space="preserve">11. Rastreamento de Amostras Laboratoriais (RF34, RN23): </w:t>
      </w:r>
      <w:r>
        <w:rPr>
          <w:rFonts w:ascii="Calibri" w:hAnsi="Calibri"/>
          <w:color w:val="334155"/>
          <w:sz w:val="22"/>
        </w:rPr>
        <w:t>Acompanhamento da esteira de exames externos com alerta visual pulsante na agenda médica até a liberação do laudo.</w:t>
      </w:r>
    </w:p>
    <w:p>
      <w:pPr>
        <w:keepNext/>
        <w:spacing w:before="240" w:after="120"/>
      </w:pPr>
      <w:r>
        <w:rPr>
          <w:rFonts w:ascii="Calibri" w:hAnsi="Calibri"/>
          <w:b/>
          <w:color w:val="1E293B"/>
          <w:sz w:val="24"/>
        </w:rPr>
        <w:t>4.6 Principais Requisitos de Qualidade (Não Funcionais)</w:t>
      </w:r>
    </w:p>
    <w:p>
      <w:pPr>
        <w:spacing w:after="120" w:line="276" w:lineRule="auto"/>
        <w:jc w:val="both"/>
      </w:pPr>
      <w:r>
        <w:rPr>
          <w:rFonts w:ascii="Calibri" w:hAnsi="Calibri"/>
          <w:b w:val="0"/>
          <w:i w:val="0"/>
          <w:sz w:val="22"/>
        </w:rPr>
        <w:t>Os requisitos de qualidade foram estabelecidos segundo a norma internacional ISO/IEC 25010 e as diretrizes da LGPD:</w:t>
      </w:r>
    </w:p>
    <w:p>
      <w:pPr>
        <w:pStyle w:val="ListBullet"/>
        <w:spacing w:after="80" w:line="276" w:lineRule="auto"/>
        <w:jc w:val="both"/>
      </w:pPr>
      <w:r>
        <w:rPr>
          <w:rFonts w:ascii="Calibri" w:hAnsi="Calibri"/>
          <w:b/>
          <w:color w:val="0F172A"/>
          <w:sz w:val="22"/>
        </w:rPr>
        <w:t xml:space="preserve">• Desempenho (RQ01): </w:t>
      </w:r>
      <w:r>
        <w:rPr>
          <w:rFonts w:ascii="Calibri" w:hAnsi="Calibri"/>
          <w:color w:val="334155"/>
          <w:sz w:val="22"/>
        </w:rPr>
        <w:t>Tempo de resposta para buscas de pacientes e consultas inferior a 1,5 segundos.</w:t>
      </w:r>
    </w:p>
    <w:p>
      <w:pPr>
        <w:pStyle w:val="ListBullet"/>
        <w:spacing w:after="80" w:line="276" w:lineRule="auto"/>
        <w:jc w:val="both"/>
      </w:pPr>
      <w:r>
        <w:rPr>
          <w:rFonts w:ascii="Calibri" w:hAnsi="Calibri"/>
          <w:b/>
          <w:color w:val="0F172A"/>
          <w:sz w:val="22"/>
        </w:rPr>
        <w:t xml:space="preserve">• Confiabilidade (RQ02): </w:t>
      </w:r>
      <w:r>
        <w:rPr>
          <w:rFonts w:ascii="Calibri" w:hAnsi="Calibri"/>
          <w:color w:val="334155"/>
          <w:sz w:val="22"/>
        </w:rPr>
        <w:t>Tolerância a falhas na camada externa de mensageria sem interrupção do salvamento do prontuário.</w:t>
      </w:r>
    </w:p>
    <w:p>
      <w:pPr>
        <w:pStyle w:val="ListBullet"/>
        <w:spacing w:after="80" w:line="276" w:lineRule="auto"/>
        <w:jc w:val="both"/>
      </w:pPr>
      <w:r>
        <w:rPr>
          <w:rFonts w:ascii="Calibri" w:hAnsi="Calibri"/>
          <w:b/>
          <w:color w:val="0F172A"/>
          <w:sz w:val="22"/>
        </w:rPr>
        <w:t xml:space="preserve">• Privacidade / LGPD (RQ03): </w:t>
      </w:r>
      <w:r>
        <w:rPr>
          <w:rFonts w:ascii="Calibri" w:hAnsi="Calibri"/>
          <w:color w:val="334155"/>
          <w:sz w:val="22"/>
        </w:rPr>
        <w:t>Anonimização cadastral e separação estrita de dados clínicos conforme Lei 13.709/2018.</w:t>
      </w:r>
    </w:p>
    <w:p>
      <w:pPr>
        <w:pStyle w:val="ListBullet"/>
        <w:spacing w:after="80" w:line="276" w:lineRule="auto"/>
        <w:jc w:val="both"/>
      </w:pPr>
      <w:r>
        <w:rPr>
          <w:rFonts w:ascii="Calibri" w:hAnsi="Calibri"/>
          <w:b/>
          <w:color w:val="0F172A"/>
          <w:sz w:val="22"/>
        </w:rPr>
        <w:t xml:space="preserve">• Compatibilidade (RQ04): </w:t>
      </w:r>
      <w:r>
        <w:rPr>
          <w:rFonts w:ascii="Calibri" w:hAnsi="Calibri"/>
          <w:color w:val="334155"/>
          <w:sz w:val="22"/>
        </w:rPr>
        <w:t>Execução idêntica em Chrome, Edge, Firefox e Safari em desktop e smartphones.</w:t>
      </w:r>
    </w:p>
    <w:p>
      <w:pPr>
        <w:pStyle w:val="ListBullet"/>
        <w:spacing w:after="80" w:line="276" w:lineRule="auto"/>
        <w:jc w:val="both"/>
      </w:pPr>
      <w:r>
        <w:rPr>
          <w:rFonts w:ascii="Calibri" w:hAnsi="Calibri"/>
          <w:b/>
          <w:color w:val="0F172A"/>
          <w:sz w:val="22"/>
        </w:rPr>
        <w:t xml:space="preserve">• Portabilidade (RQ05): </w:t>
      </w:r>
      <w:r>
        <w:rPr>
          <w:rFonts w:ascii="Calibri" w:hAnsi="Calibri"/>
          <w:color w:val="334155"/>
          <w:sz w:val="22"/>
        </w:rPr>
        <w:t>Backend em .NET 8 conteinerizado com Docker para implantação em servidores Windows e Linux.</w:t>
      </w:r>
    </w:p>
    <w:p>
      <w:pPr>
        <w:pStyle w:val="ListBullet"/>
        <w:spacing w:after="80" w:line="276" w:lineRule="auto"/>
        <w:jc w:val="both"/>
      </w:pPr>
      <w:r>
        <w:rPr>
          <w:rFonts w:ascii="Calibri" w:hAnsi="Calibri"/>
          <w:b/>
          <w:color w:val="0F172A"/>
          <w:sz w:val="22"/>
        </w:rPr>
        <w:t xml:space="preserve">• Segurança RBAC e Criptografia (RQ06, RQ07, RQ08, RQ09): </w:t>
      </w:r>
      <w:r>
        <w:rPr>
          <w:rFonts w:ascii="Calibri" w:hAnsi="Calibri"/>
          <w:color w:val="334155"/>
          <w:sz w:val="22"/>
        </w:rPr>
        <w:t>Controle de acesso por papéis, logs somente-leitura, senhas com PBKDF2/Salt e queries SQL 100% parametrizadas via Dapper.</w:t>
      </w:r>
    </w:p>
    <w:p>
      <w:pPr>
        <w:pStyle w:val="ListBullet"/>
        <w:spacing w:after="80" w:line="276" w:lineRule="auto"/>
        <w:jc w:val="both"/>
      </w:pPr>
      <w:r>
        <w:rPr>
          <w:rFonts w:ascii="Calibri" w:hAnsi="Calibri"/>
          <w:b/>
          <w:color w:val="0F172A"/>
          <w:sz w:val="22"/>
        </w:rPr>
        <w:t xml:space="preserve">• Usabilidade (RQ10): </w:t>
      </w:r>
      <w:r>
        <w:rPr>
          <w:rFonts w:ascii="Calibri" w:hAnsi="Calibri"/>
          <w:color w:val="334155"/>
          <w:sz w:val="22"/>
        </w:rPr>
        <w:t>Conclusão de ações prioritárias em no máximo 3 cliques a partir do dashboard.</w:t>
      </w:r>
    </w:p>
    <w:p>
      <w:pPr>
        <w:pStyle w:val="ListBullet"/>
        <w:spacing w:after="80" w:line="276" w:lineRule="auto"/>
        <w:jc w:val="both"/>
      </w:pPr>
      <w:r>
        <w:rPr>
          <w:rFonts w:ascii="Calibri" w:hAnsi="Calibri"/>
          <w:b/>
          <w:color w:val="0F172A"/>
          <w:sz w:val="22"/>
        </w:rPr>
        <w:t xml:space="preserve">• Tratamento de Exceções (RQ11): </w:t>
      </w:r>
      <w:r>
        <w:rPr>
          <w:rFonts w:ascii="Calibri" w:hAnsi="Calibri"/>
          <w:color w:val="334155"/>
          <w:sz w:val="22"/>
        </w:rPr>
        <w:t>Exibição de mensagens orientativas e acolhedoras sem exposição de stack traces técnicos.</w:t>
      </w:r>
    </w:p>
    <w:p>
      <w:pPr>
        <w:pStyle w:val="ListBullet"/>
        <w:spacing w:after="80" w:line="276" w:lineRule="auto"/>
        <w:jc w:val="both"/>
      </w:pPr>
      <w:r>
        <w:rPr>
          <w:rFonts w:ascii="Calibri" w:hAnsi="Calibri"/>
          <w:b/>
          <w:color w:val="0F172A"/>
          <w:sz w:val="22"/>
        </w:rPr>
        <w:t xml:space="preserve">• Testabilidade (RQ13): </w:t>
      </w:r>
      <w:r>
        <w:rPr>
          <w:rFonts w:ascii="Calibri" w:hAnsi="Calibri"/>
          <w:color w:val="334155"/>
          <w:sz w:val="22"/>
        </w:rPr>
        <w:t>Cobertura com 66 testes unitários automatizados xUnit aprovados com 100% de sucesso.</w:t>
      </w:r>
    </w:p>
    <w:p>
      <w:pPr>
        <w:pStyle w:val="ListBullet"/>
        <w:spacing w:after="80" w:line="276" w:lineRule="auto"/>
        <w:jc w:val="both"/>
      </w:pPr>
      <w:r>
        <w:rPr>
          <w:rFonts w:ascii="Calibri" w:hAnsi="Calibri"/>
          <w:b/>
          <w:color w:val="0F172A"/>
          <w:sz w:val="22"/>
        </w:rPr>
        <w:t xml:space="preserve">• Auditoria Fiscal (RQ16): </w:t>
      </w:r>
      <w:r>
        <w:rPr>
          <w:rFonts w:ascii="Calibri" w:hAnsi="Calibri"/>
          <w:color w:val="334155"/>
          <w:sz w:val="22"/>
        </w:rPr>
        <w:t>Preservação contínua de registros financeiros por período legal mínimo de 5 anos.</w:t>
      </w:r>
    </w:p>
    <w:p>
      <w:pPr>
        <w:keepNext/>
        <w:spacing w:before="320" w:after="160"/>
      </w:pPr>
      <w:r>
        <w:rPr>
          <w:rFonts w:ascii="Calibri" w:hAnsi="Calibri"/>
          <w:b/>
          <w:color w:val="0F172A"/>
          <w:sz w:val="28"/>
        </w:rPr>
        <w:t>5. Anexos</w:t>
      </w:r>
    </w:p>
    <w:p>
      <w:pPr>
        <w:keepNext/>
        <w:spacing w:before="240" w:after="120"/>
      </w:pPr>
      <w:r>
        <w:rPr>
          <w:rFonts w:ascii="Calibri" w:hAnsi="Calibri"/>
          <w:b/>
          <w:color w:val="1E293B"/>
          <w:sz w:val="24"/>
        </w:rPr>
        <w:t>5.1 Modelos / Mapas de Processos de Negócio (Obrigatório)</w:t>
      </w:r>
    </w:p>
    <w:p>
      <w:pPr>
        <w:spacing w:after="120" w:line="276" w:lineRule="auto"/>
        <w:jc w:val="both"/>
      </w:pPr>
      <w:r>
        <w:rPr>
          <w:rFonts w:ascii="Calibri" w:hAnsi="Calibri"/>
          <w:b w:val="0"/>
          <w:i w:val="0"/>
          <w:sz w:val="22"/>
        </w:rPr>
        <w:t>A seguir são apresentados os mapas formais dos processos de negócio modelados em raias (swimlanes):</w:t>
      </w:r>
    </w:p>
    <w:p>
      <w:pPr>
        <w:keepNext/>
        <w:spacing w:before="160" w:after="80"/>
      </w:pPr>
      <w:r>
        <w:rPr>
          <w:rFonts w:ascii="Calibri" w:hAnsi="Calibri"/>
          <w:b/>
          <w:i/>
          <w:color w:val="334155"/>
          <w:sz w:val="22"/>
        </w:rPr>
        <w:t>5.1.1 Mapeamento do Processo Atual (AS-IS)</w:t>
      </w:r>
    </w:p>
    <w:p>
      <w:r>
        <w:drawing>
          <wp:inline xmlns:a="http://schemas.openxmlformats.org/drawingml/2006/main" xmlns:pic="http://schemas.openxmlformats.org/drawingml/2006/picture">
            <wp:extent cx="5669280" cy="3725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pmn_as_i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25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20" w:line="276" w:lineRule="auto"/>
        <w:jc w:val="center"/>
      </w:pPr>
      <w:r>
        <w:rPr>
          <w:rFonts w:ascii="Calibri" w:hAnsi="Calibri"/>
          <w:b w:val="0"/>
          <w:i/>
          <w:color w:val="64748B"/>
          <w:sz w:val="19"/>
        </w:rPr>
        <w:t>Figura 1: Mapeamento BPMN do Processo Atual (AS-IS) — Consultório Amanda Souza Peixoto.</w:t>
      </w:r>
    </w:p>
    <w:p>
      <w:pPr>
        <w:keepNext/>
        <w:spacing w:before="160" w:after="80"/>
      </w:pPr>
      <w:r>
        <w:rPr>
          <w:rFonts w:ascii="Calibri" w:hAnsi="Calibri"/>
          <w:b/>
          <w:i/>
          <w:color w:val="334155"/>
          <w:sz w:val="22"/>
        </w:rPr>
        <w:t>5.1.2 Mapeamento do Processo Proposto (TO-BE)</w:t>
      </w:r>
    </w:p>
    <w:p>
      <w:r>
        <w:drawing>
          <wp:inline xmlns:a="http://schemas.openxmlformats.org/drawingml/2006/main" xmlns:pic="http://schemas.openxmlformats.org/drawingml/2006/picture">
            <wp:extent cx="5669280" cy="40818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pmn_to_b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81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20" w:line="276" w:lineRule="auto"/>
        <w:jc w:val="center"/>
      </w:pPr>
      <w:r>
        <w:rPr>
          <w:rFonts w:ascii="Calibri" w:hAnsi="Calibri"/>
          <w:b w:val="0"/>
          <w:i/>
          <w:color w:val="64748B"/>
          <w:sz w:val="19"/>
        </w:rPr>
        <w:t>Figura 2: Mapeamento BPMN do Processo Proposto (TO-BE) — Plataforma Clinix.</w:t>
      </w:r>
    </w:p>
    <w:p>
      <w:pPr>
        <w:keepNext/>
        <w:spacing w:before="240" w:after="120"/>
      </w:pPr>
      <w:r>
        <w:rPr>
          <w:rFonts w:ascii="Calibri" w:hAnsi="Calibri"/>
          <w:b/>
          <w:color w:val="1E293B"/>
          <w:sz w:val="24"/>
        </w:rPr>
        <w:t>5.2 Protótipos de Tela (MVP Funcional Implementado)</w:t>
      </w:r>
    </w:p>
    <w:p>
      <w:pPr>
        <w:spacing w:after="120" w:line="276" w:lineRule="auto"/>
        <w:jc w:val="both"/>
      </w:pPr>
      <w:r>
        <w:rPr>
          <w:rFonts w:ascii="Calibri" w:hAnsi="Calibri"/>
          <w:b w:val="0"/>
          <w:i w:val="0"/>
          <w:sz w:val="22"/>
        </w:rPr>
        <w:t>O projeto já conta com protótipo funcional de alta fidelidade operando e validado com a cliente, integrando interface web React e API REST em C# .NET 8:</w:t>
      </w:r>
    </w:p>
    <w:p>
      <w:pPr>
        <w:pStyle w:val="ListBullet"/>
        <w:spacing w:after="80" w:line="276" w:lineRule="auto"/>
        <w:jc w:val="both"/>
      </w:pPr>
      <w:r>
        <w:rPr>
          <w:rFonts w:ascii="Calibri" w:hAnsi="Calibri"/>
          <w:b/>
          <w:color w:val="0F172A"/>
          <w:sz w:val="22"/>
        </w:rPr>
        <w:t xml:space="preserve">• Tela 1 — Acesso e Login RBAC: </w:t>
      </w:r>
      <w:r>
        <w:rPr>
          <w:rFonts w:ascii="Calibri" w:hAnsi="Calibri"/>
          <w:color w:val="334155"/>
          <w:sz w:val="22"/>
        </w:rPr>
        <w:t>Autenticação por perfil com suporte a Dra. Amanda (Profissional) e Atendente (Administrador).</w:t>
      </w:r>
    </w:p>
    <w:p>
      <w:pPr>
        <w:pStyle w:val="ListBullet"/>
        <w:spacing w:after="80" w:line="276" w:lineRule="auto"/>
        <w:jc w:val="both"/>
      </w:pPr>
      <w:r>
        <w:rPr>
          <w:rFonts w:ascii="Calibri" w:hAnsi="Calibri"/>
          <w:b/>
          <w:color w:val="0F172A"/>
          <w:sz w:val="22"/>
        </w:rPr>
        <w:t xml:space="preserve">• Tela 2 — Dashboard de Gestão: </w:t>
      </w:r>
      <w:r>
        <w:rPr>
          <w:rFonts w:ascii="Calibri" w:hAnsi="Calibri"/>
          <w:color w:val="334155"/>
          <w:sz w:val="22"/>
        </w:rPr>
        <w:t>Painel analítico com faturamento do dia, taxa de cancelamento e chamados de ouvidoria.</w:t>
      </w:r>
    </w:p>
    <w:p>
      <w:pPr>
        <w:pStyle w:val="ListBullet"/>
        <w:spacing w:after="80" w:line="276" w:lineRule="auto"/>
        <w:jc w:val="both"/>
      </w:pPr>
      <w:r>
        <w:rPr>
          <w:rFonts w:ascii="Calibri" w:hAnsi="Calibri"/>
          <w:b/>
          <w:color w:val="0F172A"/>
          <w:sz w:val="22"/>
        </w:rPr>
        <w:t xml:space="preserve">• Tela 3 — Grade de Agendamento: </w:t>
      </w:r>
      <w:r>
        <w:rPr>
          <w:rFonts w:ascii="Calibri" w:hAnsi="Calibri"/>
          <w:color w:val="334155"/>
          <w:sz w:val="22"/>
        </w:rPr>
        <w:t>Visualização semanal com bloqueio automático de colisões e alerta visual de exame laboratorial.</w:t>
      </w:r>
    </w:p>
    <w:p>
      <w:pPr>
        <w:pStyle w:val="ListBullet"/>
        <w:spacing w:after="80" w:line="276" w:lineRule="auto"/>
        <w:jc w:val="both"/>
      </w:pPr>
      <w:r>
        <w:rPr>
          <w:rFonts w:ascii="Calibri" w:hAnsi="Calibri"/>
          <w:b/>
          <w:color w:val="0F172A"/>
          <w:sz w:val="22"/>
        </w:rPr>
        <w:t xml:space="preserve">• Tela 4 — Ficha de Pacientes: </w:t>
      </w:r>
      <w:r>
        <w:rPr>
          <w:rFonts w:ascii="Calibri" w:hAnsi="Calibri"/>
          <w:color w:val="334155"/>
          <w:sz w:val="22"/>
        </w:rPr>
        <w:t>Busca imediata e cadastro com autopreenchimento por CEP em menos de 1 segundo.</w:t>
      </w:r>
    </w:p>
    <w:p>
      <w:pPr>
        <w:pStyle w:val="ListBullet"/>
        <w:spacing w:after="80" w:line="276" w:lineRule="auto"/>
        <w:jc w:val="both"/>
      </w:pPr>
      <w:r>
        <w:rPr>
          <w:rFonts w:ascii="Calibri" w:hAnsi="Calibri"/>
          <w:b/>
          <w:color w:val="0F172A"/>
          <w:sz w:val="22"/>
        </w:rPr>
        <w:t xml:space="preserve">• Tela 5 — Prontuário Eletrônico: </w:t>
      </w:r>
      <w:r>
        <w:rPr>
          <w:rFonts w:ascii="Calibri" w:hAnsi="Calibri"/>
          <w:color w:val="334155"/>
          <w:sz w:val="22"/>
        </w:rPr>
        <w:t>Linha do tempo clínica com botão de edição que gera versionamento imutável.</w:t>
      </w:r>
    </w:p>
    <w:p>
      <w:pPr>
        <w:pStyle w:val="ListBullet"/>
        <w:spacing w:after="80" w:line="276" w:lineRule="auto"/>
        <w:jc w:val="both"/>
      </w:pPr>
      <w:r>
        <w:rPr>
          <w:rFonts w:ascii="Calibri" w:hAnsi="Calibri"/>
          <w:b/>
          <w:color w:val="0F172A"/>
          <w:sz w:val="22"/>
        </w:rPr>
        <w:t xml:space="preserve">• Tela 6 — Quitação e Pagamento Dividido: </w:t>
      </w:r>
      <w:r>
        <w:rPr>
          <w:rFonts w:ascii="Calibri" w:hAnsi="Calibri"/>
          <w:color w:val="334155"/>
          <w:sz w:val="22"/>
        </w:rPr>
        <w:t>Modal interativo para desdobramento de valores em Entrada e Saldo com conciliação.</w:t>
      </w:r>
    </w:p>
    <w:p>
      <w:pPr>
        <w:pStyle w:val="ListBullet"/>
        <w:spacing w:after="80" w:line="276" w:lineRule="auto"/>
        <w:jc w:val="both"/>
      </w:pPr>
      <w:r>
        <w:rPr>
          <w:rFonts w:ascii="Calibri" w:hAnsi="Calibri"/>
          <w:b/>
          <w:color w:val="0F172A"/>
          <w:sz w:val="22"/>
        </w:rPr>
        <w:t xml:space="preserve">• Tela 7 — Ouvidoria e Avaliações: </w:t>
      </w:r>
      <w:r>
        <w:rPr>
          <w:rFonts w:ascii="Calibri" w:hAnsi="Calibri"/>
          <w:color w:val="334155"/>
          <w:sz w:val="22"/>
        </w:rPr>
        <w:t>Coleta de notas de 1 a 5 estrelas com opção de anonimato do paciente.</w:t>
      </w:r>
    </w:p>
    <w:p>
      <w:pPr>
        <w:pStyle w:val="ListBullet"/>
        <w:spacing w:after="80" w:line="276" w:lineRule="auto"/>
        <w:jc w:val="both"/>
      </w:pPr>
      <w:r>
        <w:rPr>
          <w:rFonts w:ascii="Calibri" w:hAnsi="Calibri"/>
          <w:b/>
          <w:color w:val="0F172A"/>
          <w:sz w:val="22"/>
        </w:rPr>
        <w:t xml:space="preserve">• Tela 8 — Esteira Laboratorial: </w:t>
      </w:r>
      <w:r>
        <w:rPr>
          <w:rFonts w:ascii="Calibri" w:hAnsi="Calibri"/>
          <w:color w:val="334155"/>
          <w:sz w:val="22"/>
        </w:rPr>
        <w:t>Linha do tempo de acompanhamento de amostras enviadas a laboratórios externos.</w:t>
      </w:r>
    </w:p>
    <w:p>
      <w:pPr>
        <w:keepNext/>
        <w:spacing w:before="240" w:after="120"/>
      </w:pPr>
      <w:r>
        <w:rPr>
          <w:rFonts w:ascii="Calibri" w:hAnsi="Calibri"/>
          <w:b/>
          <w:color w:val="1E293B"/>
          <w:sz w:val="24"/>
        </w:rPr>
        <w:t>5.3 Documentos de Referência</w:t>
      </w:r>
    </w:p>
    <w:p>
      <w:pPr>
        <w:pStyle w:val="ListBullet"/>
        <w:spacing w:after="80" w:line="276" w:lineRule="auto"/>
        <w:jc w:val="both"/>
      </w:pPr>
      <w:r>
        <w:rPr>
          <w:rFonts w:ascii="Calibri" w:hAnsi="Calibri"/>
          <w:b/>
          <w:color w:val="0F172A"/>
          <w:sz w:val="22"/>
        </w:rPr>
        <w:t xml:space="preserve">1. </w:t>
      </w:r>
      <w:r>
        <w:rPr>
          <w:rFonts w:ascii="Calibri" w:hAnsi="Calibri"/>
          <w:color w:val="334155"/>
          <w:sz w:val="22"/>
        </w:rPr>
        <w:t>BRASIL. Lei nº 13.709, de 14 de agosto de 2018. Dispõe sobre o tratamento de dados pessoais (Lei Geral de Proteção de Dados Pessoais - LGPD).</w:t>
      </w:r>
    </w:p>
    <w:p>
      <w:pPr>
        <w:pStyle w:val="ListBullet"/>
        <w:spacing w:after="80" w:line="276" w:lineRule="auto"/>
        <w:jc w:val="both"/>
      </w:pPr>
      <w:r>
        <w:rPr>
          <w:rFonts w:ascii="Calibri" w:hAnsi="Calibri"/>
          <w:b/>
          <w:color w:val="0F172A"/>
          <w:sz w:val="22"/>
        </w:rPr>
        <w:t xml:space="preserve">2. </w:t>
      </w:r>
      <w:r>
        <w:rPr>
          <w:rFonts w:ascii="Calibri" w:hAnsi="Calibri"/>
          <w:color w:val="334155"/>
          <w:sz w:val="22"/>
        </w:rPr>
        <w:t>CONSELHO FEDERAL DE MEDICINA. Resolução CFM nº 1.821/2007. Normas técnicas para guarda e manuseio de prontuários eletrônicos.</w:t>
      </w:r>
    </w:p>
    <w:p>
      <w:pPr>
        <w:pStyle w:val="ListBullet"/>
        <w:spacing w:after="80" w:line="276" w:lineRule="auto"/>
        <w:jc w:val="both"/>
      </w:pPr>
      <w:r>
        <w:rPr>
          <w:rFonts w:ascii="Calibri" w:hAnsi="Calibri"/>
          <w:b/>
          <w:color w:val="0F172A"/>
          <w:sz w:val="22"/>
        </w:rPr>
        <w:t xml:space="preserve">3. </w:t>
      </w:r>
      <w:r>
        <w:rPr>
          <w:rFonts w:ascii="Calibri" w:hAnsi="Calibri"/>
          <w:color w:val="334155"/>
          <w:sz w:val="22"/>
        </w:rPr>
        <w:t>INTERNATIONAL ORGANIZATION FOR STANDARDIZATION. ISO/IEC 25010:2011 — Systems and software Quality Requirements and Evaluation (SQRe).</w:t>
      </w:r>
    </w:p>
    <w:p>
      <w:pPr>
        <w:pStyle w:val="ListBullet"/>
        <w:spacing w:after="80" w:line="276" w:lineRule="auto"/>
        <w:jc w:val="both"/>
      </w:pPr>
      <w:r>
        <w:rPr>
          <w:rFonts w:ascii="Calibri" w:hAnsi="Calibri"/>
          <w:b/>
          <w:color w:val="0F172A"/>
          <w:sz w:val="22"/>
        </w:rPr>
        <w:t xml:space="preserve">4. </w:t>
      </w:r>
      <w:r>
        <w:rPr>
          <w:rFonts w:ascii="Calibri" w:hAnsi="Calibri"/>
          <w:color w:val="334155"/>
          <w:sz w:val="22"/>
        </w:rPr>
        <w:t>HADDAD, Sérgio. Orientações para Construção do Projeto Final de Engenharia de Requisitos. CEUB, 2026.</w:t>
      </w:r>
    </w:p>
    <w:p>
      <w:pPr>
        <w:pStyle w:val="ListBullet"/>
        <w:spacing w:after="80" w:line="276" w:lineRule="auto"/>
        <w:jc w:val="both"/>
      </w:pPr>
      <w:r>
        <w:rPr>
          <w:rFonts w:ascii="Calibri" w:hAnsi="Calibri"/>
          <w:b/>
          <w:color w:val="0F172A"/>
          <w:sz w:val="22"/>
        </w:rPr>
        <w:t xml:space="preserve">5. </w:t>
      </w:r>
      <w:r>
        <w:rPr>
          <w:rFonts w:ascii="Calibri" w:hAnsi="Calibri"/>
          <w:color w:val="334155"/>
          <w:sz w:val="22"/>
        </w:rPr>
        <w:t>FELINTO, Davi et al. Software Design Document (SDD) — Sistema Clinix (Versão 2.5). CEUB, Outubro de 2026.</w:t>
      </w:r>
    </w:p>
    <w:p>
      <w:pPr>
        <w:keepNext/>
        <w:spacing w:before="240" w:after="120"/>
      </w:pPr>
      <w:r>
        <w:rPr>
          <w:rFonts w:ascii="Calibri" w:hAnsi="Calibri"/>
          <w:b/>
          <w:color w:val="1E293B"/>
          <w:sz w:val="24"/>
        </w:rPr>
        <w:t>5.4 Outros — Síntese da Entrevista com a Cliente Amanda Souza Peixoto</w:t>
      </w:r>
    </w:p>
    <w:p>
      <w:pPr>
        <w:spacing w:after="120" w:line="276" w:lineRule="auto"/>
        <w:jc w:val="both"/>
      </w:pPr>
      <w:r>
        <w:rPr>
          <w:rFonts w:ascii="Calibri" w:hAnsi="Calibri"/>
          <w:b w:val="0"/>
          <w:i w:val="0"/>
          <w:sz w:val="22"/>
        </w:rPr>
        <w:t>A entrevista com a cliente Amanda Souza Peixoto foi realizada em Brasília – DF e forneceu os insumos diretos para o levantamento de necessidades e refinamento das funcionalidades:</w:t>
      </w:r>
    </w:p>
    <w:p>
      <w:pPr>
        <w:pStyle w:val="ListBullet"/>
        <w:spacing w:after="80" w:line="276" w:lineRule="auto"/>
        <w:jc w:val="both"/>
      </w:pPr>
      <w:r>
        <w:rPr>
          <w:rFonts w:ascii="Calibri" w:hAnsi="Calibri"/>
          <w:b/>
          <w:color w:val="0F172A"/>
          <w:sz w:val="22"/>
        </w:rPr>
        <w:t xml:space="preserve">• Conflito de Horários: </w:t>
      </w:r>
      <w:r>
        <w:rPr>
          <w:rFonts w:ascii="Calibri" w:hAnsi="Calibri"/>
          <w:color w:val="334155"/>
          <w:sz w:val="22"/>
        </w:rPr>
        <w:t>'Muitas vezes duas pessoas chegam no mesmo horário porque anotamos errado na correria do balcão ou na planilha. Isso gera um constrangimento imenso.' ➜ Originou RF06, RN01 e RN02.</w:t>
      </w:r>
    </w:p>
    <w:p>
      <w:pPr>
        <w:pStyle w:val="ListBullet"/>
        <w:spacing w:after="80" w:line="276" w:lineRule="auto"/>
        <w:jc w:val="both"/>
      </w:pPr>
      <w:r>
        <w:rPr>
          <w:rFonts w:ascii="Calibri" w:hAnsi="Calibri"/>
          <w:b/>
          <w:color w:val="0F172A"/>
          <w:sz w:val="22"/>
        </w:rPr>
        <w:t xml:space="preserve">• Faltas sem Aviso: </w:t>
      </w:r>
      <w:r>
        <w:rPr>
          <w:rFonts w:ascii="Calibri" w:hAnsi="Calibri"/>
          <w:color w:val="334155"/>
          <w:sz w:val="22"/>
        </w:rPr>
        <w:t>'Se a secretária não mandar mensagem no dia anterior, quase um terço dos pacientes falta e a gente fica com a sala vazia sem faturar.' ➜ Originou RF12, RF13, RN03 e RN04.</w:t>
      </w:r>
    </w:p>
    <w:p>
      <w:pPr>
        <w:pStyle w:val="ListBullet"/>
        <w:spacing w:after="80" w:line="276" w:lineRule="auto"/>
        <w:jc w:val="both"/>
      </w:pPr>
      <w:r>
        <w:rPr>
          <w:rFonts w:ascii="Calibri" w:hAnsi="Calibri"/>
          <w:b/>
          <w:color w:val="0F172A"/>
          <w:sz w:val="22"/>
        </w:rPr>
        <w:t xml:space="preserve">• Dificuldade com Endereços: </w:t>
      </w:r>
      <w:r>
        <w:rPr>
          <w:rFonts w:ascii="Calibri" w:hAnsi="Calibri"/>
          <w:color w:val="334155"/>
          <w:sz w:val="22"/>
        </w:rPr>
        <w:t>'Na hora de preencher contrato e ficha, a pessoa demora para lembrar o CEP e o endereço todo. Se o sistema já puxasse pelo CEP adiantaria demais.' ➜ Originou RF29 e RN18.</w:t>
      </w:r>
    </w:p>
    <w:p>
      <w:pPr>
        <w:pStyle w:val="ListBullet"/>
        <w:spacing w:after="80" w:line="276" w:lineRule="auto"/>
        <w:jc w:val="both"/>
      </w:pPr>
      <w:r>
        <w:rPr>
          <w:rFonts w:ascii="Calibri" w:hAnsi="Calibri"/>
          <w:b/>
          <w:color w:val="0F172A"/>
          <w:sz w:val="22"/>
        </w:rPr>
        <w:t xml:space="preserve">• Pagamentos Divididos: </w:t>
      </w:r>
      <w:r>
        <w:rPr>
          <w:rFonts w:ascii="Calibri" w:hAnsi="Calibri"/>
          <w:color w:val="334155"/>
          <w:sz w:val="22"/>
        </w:rPr>
        <w:t>'Em tratamentos mais caros, o paciente sempre pede: Posso dar R$ 150 no PIX agora e passar o resto no cartão em duas vezes? Hoje eu tenho que anotar isso em papel e no final do mês é uma confusão para bater o caixa.' ➜ Originou RF30 e RN19.</w:t>
      </w:r>
    </w:p>
    <w:p>
      <w:pPr>
        <w:pStyle w:val="ListBullet"/>
        <w:spacing w:after="80" w:line="276" w:lineRule="auto"/>
        <w:jc w:val="both"/>
      </w:pPr>
      <w:r>
        <w:rPr>
          <w:rFonts w:ascii="Calibri" w:hAnsi="Calibri"/>
          <w:b/>
          <w:color w:val="0F172A"/>
          <w:sz w:val="22"/>
        </w:rPr>
        <w:t xml:space="preserve">• Falta de Métricas de Cancelamento: </w:t>
      </w:r>
      <w:r>
        <w:rPr>
          <w:rFonts w:ascii="Calibri" w:hAnsi="Calibri"/>
          <w:color w:val="334155"/>
          <w:sz w:val="22"/>
        </w:rPr>
        <w:t>'A gente não tem o dado exato de desistência de consultas. Saber o porquê o paciente desmarcou ajudaria a entender se é o preço ou o horário.' ➜ Originou RF31 e RN20.</w:t>
      </w:r>
    </w:p>
    <w:p>
      <w:pPr>
        <w:pStyle w:val="ListBullet"/>
        <w:spacing w:after="80" w:line="276" w:lineRule="auto"/>
        <w:jc w:val="both"/>
      </w:pPr>
      <w:r>
        <w:rPr>
          <w:rFonts w:ascii="Calibri" w:hAnsi="Calibri"/>
          <w:b/>
          <w:color w:val="0F172A"/>
          <w:sz w:val="22"/>
        </w:rPr>
        <w:t xml:space="preserve">• Satisfação e Ouvidoria: </w:t>
      </w:r>
      <w:r>
        <w:rPr>
          <w:rFonts w:ascii="Calibri" w:hAnsi="Calibri"/>
          <w:color w:val="334155"/>
          <w:sz w:val="22"/>
        </w:rPr>
        <w:t>'Eu gostaria de ter uma ouvidoria, mesmo que simples, para saber como está o atendimento da recepção, a limpeza e a consulta.' ➜ Originou RF32 e RN21.</w:t>
      </w:r>
    </w:p>
    <w:p>
      <w:pPr>
        <w:pStyle w:val="ListBullet"/>
        <w:spacing w:after="80" w:line="276" w:lineRule="auto"/>
        <w:jc w:val="both"/>
      </w:pPr>
      <w:r>
        <w:rPr>
          <w:rFonts w:ascii="Calibri" w:hAnsi="Calibri"/>
          <w:b/>
          <w:color w:val="0F172A"/>
          <w:sz w:val="22"/>
        </w:rPr>
        <w:t xml:space="preserve">• Retorno Preventivo Semestral: </w:t>
      </w:r>
      <w:r>
        <w:rPr>
          <w:rFonts w:ascii="Calibri" w:hAnsi="Calibri"/>
          <w:color w:val="334155"/>
          <w:sz w:val="22"/>
        </w:rPr>
        <w:t>'O paciente faz o procedimento e esquece de voltar em 6 meses. Se a gente tivesse como puxar quem não volta há 6 meses e mandar um WhatsApp com um desconto de 10%, muitos voltariam.' ➜ Originou RF33 e RN22.</w:t>
      </w:r>
    </w:p>
    <w:p>
      <w:pPr>
        <w:pStyle w:val="ListBullet"/>
        <w:spacing w:after="80" w:line="276" w:lineRule="auto"/>
        <w:jc w:val="both"/>
      </w:pPr>
      <w:r>
        <w:rPr>
          <w:rFonts w:ascii="Calibri" w:hAnsi="Calibri"/>
          <w:b/>
          <w:color w:val="0F172A"/>
          <w:sz w:val="22"/>
        </w:rPr>
        <w:t xml:space="preserve">• Atrasos de Laudos de Laboratório: </w:t>
      </w:r>
      <w:r>
        <w:rPr>
          <w:rFonts w:ascii="Calibri" w:hAnsi="Calibri"/>
          <w:color w:val="334155"/>
          <w:sz w:val="22"/>
        </w:rPr>
        <w:t>'Muitas vezes a recepcionista marca o retorno do paciente sem saber se o exame que foi para o laboratório externo já ficou pronto. Aí o paciente vem à toa.' ➜ Originou RF34 e RN23.</w:t>
      </w:r>
    </w:p>
    <w:sectPr w:rsidR="00FC693F" w:rsidRPr="0006063C" w:rsidSect="00034616">
      <w:headerReference w:type="default" r:id="rId9"/>
      <w:pgSz w:w="11909" w:h="16834"/>
      <w:pgMar w:top="1699" w:right="1411" w:bottom="1411" w:left="169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94A3B8"/>
        <w:sz w:val="17"/>
      </w:rPr>
      <w:t>DOCUMENTO DE ANÁLISE DE NEGÓCIO — ENGENHARIA DE REQUISITOS (CEUB)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