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Pr>
        <w:drawing>
          <wp:inline distB="0" distT="0" distL="0" distR="0">
            <wp:extent cx="821690" cy="873125"/>
            <wp:effectExtent b="0" l="0" r="0" t="0"/>
            <wp:docPr descr="C:\Users\Positivo\Documents\UEPA\Serviços Técnicos\brasao_uepa_2006.jpg" id="1" name="image1.jpg"/>
            <a:graphic>
              <a:graphicData uri="http://schemas.openxmlformats.org/drawingml/2006/picture">
                <pic:pic>
                  <pic:nvPicPr>
                    <pic:cNvPr descr="C:\Users\Positivo\Documents\UEPA\Serviços Técnicos\brasao_uepa_2006.jpg" id="0" name="image1.jpg"/>
                    <pic:cNvPicPr preferRelativeResize="0"/>
                  </pic:nvPicPr>
                  <pic:blipFill>
                    <a:blip r:embed="rId6"/>
                    <a:srcRect b="0" l="0" r="0" t="0"/>
                    <a:stretch>
                      <a:fillRect/>
                    </a:stretch>
                  </pic:blipFill>
                  <pic:spPr>
                    <a:xfrm>
                      <a:off x="0" y="0"/>
                      <a:ext cx="821690" cy="873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UNIVERSIDADE DO ESTADO DO PARÁ – UEPA</w:t>
      </w:r>
    </w:p>
    <w:p w:rsidR="00000000" w:rsidDel="00000000" w:rsidP="00000000" w:rsidRDefault="00000000" w:rsidRPr="00000000" w14:paraId="00000003">
      <w:pPr>
        <w:spacing w:before="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BACHARELADO EM ENGENHARIA DE SOFTWARE</w:t>
      </w:r>
    </w:p>
    <w:p w:rsidR="00000000" w:rsidDel="00000000" w:rsidP="00000000" w:rsidRDefault="00000000" w:rsidRPr="00000000" w14:paraId="00000004">
      <w:pPr>
        <w:spacing w:before="120" w:line="276" w:lineRule="auto"/>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5">
      <w:pPr>
        <w:spacing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 Costa Mendes da Silva</w:t>
      </w:r>
    </w:p>
    <w:p w:rsidR="00000000" w:rsidDel="00000000" w:rsidP="00000000" w:rsidRDefault="00000000" w:rsidRPr="00000000" w14:paraId="00000006">
      <w:pPr>
        <w:spacing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Souza Santana</w:t>
      </w:r>
    </w:p>
    <w:p w:rsidR="00000000" w:rsidDel="00000000" w:rsidP="00000000" w:rsidRDefault="00000000" w:rsidRPr="00000000" w14:paraId="00000007">
      <w:pPr>
        <w:spacing w:before="120" w:line="276"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PROJETO INTEGRADO I</w:t>
      </w:r>
    </w:p>
    <w:p w:rsidR="00000000" w:rsidDel="00000000" w:rsidP="00000000" w:rsidRDefault="00000000" w:rsidRPr="00000000" w14:paraId="00000009">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APONTAMENTOS</w:t>
      </w:r>
      <w:r w:rsidDel="00000000" w:rsidR="00000000" w:rsidRPr="00000000">
        <w:rPr>
          <w:rtl w:val="0"/>
        </w:rPr>
      </w:r>
    </w:p>
    <w:p w:rsidR="00000000" w:rsidDel="00000000" w:rsidP="00000000" w:rsidRDefault="00000000" w:rsidRPr="00000000" w14:paraId="0000000A">
      <w:pPr>
        <w:spacing w:after="200" w:before="1440" w:line="360" w:lineRule="auto"/>
        <w:ind w:left="50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realizado sob orientação do </w:t>
      </w:r>
      <w:r w:rsidDel="00000000" w:rsidR="00000000" w:rsidRPr="00000000">
        <w:rPr>
          <w:rFonts w:ascii="Times New Roman" w:cs="Times New Roman" w:eastAsia="Times New Roman" w:hAnsi="Times New Roman"/>
          <w:i w:val="1"/>
          <w:sz w:val="24"/>
          <w:szCs w:val="24"/>
          <w:rtl w:val="0"/>
        </w:rPr>
        <w:t xml:space="preserve">Prof. Dr. Eng. Ítalo Flexa Di Paolo</w:t>
      </w:r>
      <w:r w:rsidDel="00000000" w:rsidR="00000000" w:rsidRPr="00000000">
        <w:rPr>
          <w:rFonts w:ascii="Times New Roman" w:cs="Times New Roman" w:eastAsia="Times New Roman" w:hAnsi="Times New Roman"/>
          <w:sz w:val="24"/>
          <w:szCs w:val="24"/>
          <w:rtl w:val="0"/>
        </w:rPr>
        <w:t xml:space="preserve"> como requisito parcial e complementar de avaliação na disciplina Projeto Integrado I.</w:t>
      </w:r>
    </w:p>
    <w:p w:rsidR="00000000" w:rsidDel="00000000" w:rsidP="00000000" w:rsidRDefault="00000000" w:rsidRPr="00000000" w14:paraId="0000000B">
      <w:pPr>
        <w:spacing w:after="0" w:before="14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1"/>
        <w:spacing w:before="120" w:line="360" w:lineRule="auto"/>
        <w:ind w:left="0" w:firstLine="0"/>
        <w:jc w:val="left"/>
        <w:rPr/>
      </w:pPr>
      <w:r w:rsidDel="00000000" w:rsidR="00000000" w:rsidRPr="00000000">
        <w:rPr>
          <w:rtl w:val="0"/>
        </w:rPr>
      </w:r>
    </w:p>
    <w:p w:rsidR="00000000" w:rsidDel="00000000" w:rsidP="00000000" w:rsidRDefault="00000000" w:rsidRPr="00000000" w14:paraId="0000000D">
      <w:pPr>
        <w:widowControl w:val="1"/>
        <w:spacing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1"/>
        <w:spacing w:before="120" w:line="36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Ananindeua</w:t>
      </w:r>
      <w:r w:rsidDel="00000000" w:rsidR="00000000" w:rsidRPr="00000000">
        <w:rPr>
          <w:rtl w:val="0"/>
        </w:rPr>
      </w:r>
    </w:p>
    <w:p w:rsidR="00000000" w:rsidDel="00000000" w:rsidP="00000000" w:rsidRDefault="00000000" w:rsidRPr="00000000" w14:paraId="0000000F">
      <w:pPr>
        <w:widowControl w:val="1"/>
        <w:spacing w:before="120"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10">
      <w:pPr>
        <w:spacing w:before="200" w:line="360" w:lineRule="auto"/>
        <w:rPr/>
      </w:pPr>
      <w:r w:rsidDel="00000000" w:rsidR="00000000" w:rsidRPr="00000000">
        <w:rPr>
          <w:rtl w:val="0"/>
        </w:rPr>
        <w:t xml:space="preserve">O presente documento representa parte da avaliação de Projeto Integrado I ministrada pelo Prof. Dr. Eng. Ítalo Flexa Di Paolo. Nele, estão os apontamentos exigidos com a referência de cada artigo, evento, anais, relatório e revista utilizado na elaboração do projeto de pesquisa. Em cada tópico estão apresentados: o título do documento, a referência do mesmo, um resumo do que se trata e,  por último, para que a obra foi utilizada.</w:t>
      </w:r>
    </w:p>
    <w:p w:rsidR="00000000" w:rsidDel="00000000" w:rsidP="00000000" w:rsidRDefault="00000000" w:rsidRPr="00000000" w14:paraId="00000011">
      <w:pPr>
        <w:spacing w:before="200" w:line="360" w:lineRule="auto"/>
        <w:rPr/>
      </w:pPr>
      <w:r w:rsidDel="00000000" w:rsidR="00000000" w:rsidRPr="00000000">
        <w:rPr>
          <w:rtl w:val="0"/>
        </w:rPr>
        <w:t xml:space="preserve">Ademais, foram utilizados 10 documentos acadêmicos para a elaboração do projeto. Estes, são fundamentais para a contextualização, definição do estado da arte e auxílio na metodologia aplicada na pesquisa. Pela Inteligência Artificial e seu Modelo Linguagem Larga serem uma realidade recente, a maioria das obras possuem datas de publicação recente, apresentando um tópico com amplo valor e pouco explorado em comparação a outras áreas mais consolidadas.</w:t>
      </w:r>
    </w:p>
    <w:p w:rsidR="00000000" w:rsidDel="00000000" w:rsidP="00000000" w:rsidRDefault="00000000" w:rsidRPr="00000000" w14:paraId="00000012">
      <w:pPr>
        <w:keepNext w:val="0"/>
        <w:keepLines w:val="0"/>
        <w:spacing w:before="200" w:lineRule="auto"/>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0"/>
        <w:keepLines w:val="0"/>
        <w:numPr>
          <w:ilvl w:val="0"/>
          <w:numId w:val="1"/>
        </w:numPr>
        <w:spacing w:before="200" w:line="360" w:lineRule="auto"/>
        <w:ind w:left="720" w:hanging="360"/>
        <w:jc w:val="both"/>
        <w:rPr>
          <w:sz w:val="24"/>
          <w:szCs w:val="24"/>
        </w:rPr>
      </w:pPr>
      <w:bookmarkStart w:colFirst="0" w:colLast="0" w:name="_o1rhzu90mk34" w:id="0"/>
      <w:bookmarkEnd w:id="0"/>
      <w:r w:rsidDel="00000000" w:rsidR="00000000" w:rsidRPr="00000000">
        <w:rPr>
          <w:sz w:val="24"/>
          <w:szCs w:val="24"/>
          <w:rtl w:val="0"/>
        </w:rPr>
        <w:t xml:space="preserve">Fabbri et al. (2021) — “SummEval: Re-evaluating Summarization Evaluation”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rPr>
          <w:sz w:val="24"/>
          <w:szCs w:val="24"/>
        </w:rPr>
      </w:pPr>
      <w:r w:rsidDel="00000000" w:rsidR="00000000" w:rsidRPr="00000000">
        <w:rPr>
          <w:rFonts w:ascii="Times New Roman" w:cs="Times New Roman" w:eastAsia="Times New Roman" w:hAnsi="Times New Roman"/>
          <w:sz w:val="24"/>
          <w:szCs w:val="24"/>
          <w:rtl w:val="0"/>
        </w:rPr>
        <w:t xml:space="preserve">Fabbri, A. R. et al. SummEval: Re-evaluating Summarization Evaluation. </w:t>
      </w:r>
      <w:r w:rsidDel="00000000" w:rsidR="00000000" w:rsidRPr="00000000">
        <w:rPr>
          <w:rFonts w:ascii="Times New Roman" w:cs="Times New Roman" w:eastAsia="Times New Roman" w:hAnsi="Times New Roman"/>
          <w:b w:val="1"/>
          <w:sz w:val="24"/>
          <w:szCs w:val="24"/>
          <w:rtl w:val="0"/>
        </w:rPr>
        <w:t xml:space="preserve">Transactions of the Association for Computational Linguistics</w:t>
      </w:r>
      <w:r w:rsidDel="00000000" w:rsidR="00000000" w:rsidRPr="00000000">
        <w:rPr>
          <w:rFonts w:ascii="Times New Roman" w:cs="Times New Roman" w:eastAsia="Times New Roman" w:hAnsi="Times New Roman"/>
          <w:sz w:val="24"/>
          <w:szCs w:val="24"/>
          <w:rtl w:val="0"/>
        </w:rPr>
        <w:t xml:space="preserve">, v. 9, p. 391–409, 26 abr. 2021. Disponivel em: https://direct.mit.edu/tacl/article/doi/10.1162/tacl_a_00373/100686/SummEval-Re-evaluating-Summarization-Evaluation Acesso em: 19 de maio de 2025.</w:t>
      </w:r>
      <w:r w:rsidDel="00000000" w:rsidR="00000000" w:rsidRPr="00000000">
        <w:rPr>
          <w:rtl w:val="0"/>
        </w:rPr>
      </w:r>
    </w:p>
    <w:p w:rsidR="00000000" w:rsidDel="00000000" w:rsidP="00000000" w:rsidRDefault="00000000" w:rsidRPr="00000000" w14:paraId="00000015">
      <w:pPr>
        <w:spacing w:after="2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artigo propõe uma reavaliação das métricas automáticas de sumarização, utilizando um conjunto diversificado de 23 modelos e 14 métricas. Os autores mostram que métricas tradicionais como ROUGE têm limitações significativas e destacam a necessidade de métodos de avaliação mais alinhados ao julgamento humano. Introduzem também uma toolkit para avaliação padronizada. A pesquisa busca </w:t>
      </w:r>
      <w:r w:rsidDel="00000000" w:rsidR="00000000" w:rsidRPr="00000000">
        <w:rPr>
          <w:rFonts w:ascii="Times New Roman" w:cs="Times New Roman" w:eastAsia="Times New Roman" w:hAnsi="Times New Roman"/>
          <w:b w:val="1"/>
          <w:sz w:val="24"/>
          <w:szCs w:val="24"/>
          <w:rtl w:val="0"/>
        </w:rPr>
        <w:t xml:space="preserve">padronizar e ampliar</w:t>
      </w:r>
      <w:r w:rsidDel="00000000" w:rsidR="00000000" w:rsidRPr="00000000">
        <w:rPr>
          <w:rFonts w:ascii="Times New Roman" w:cs="Times New Roman" w:eastAsia="Times New Roman" w:hAnsi="Times New Roman"/>
          <w:sz w:val="24"/>
          <w:szCs w:val="24"/>
          <w:rtl w:val="0"/>
        </w:rPr>
        <w:t xml:space="preserve"> a avaliação de sumários gerados por máquinas.</w:t>
      </w:r>
    </w:p>
    <w:p w:rsidR="00000000" w:rsidDel="00000000" w:rsidP="00000000" w:rsidRDefault="00000000" w:rsidRPr="00000000" w14:paraId="00000016">
      <w:pPr>
        <w:spacing w:after="240" w:before="200" w:line="360" w:lineRule="auto"/>
        <w:ind w:firstLine="720"/>
        <w:jc w:val="both"/>
        <w:rPr/>
      </w:pPr>
      <w:r w:rsidDel="00000000" w:rsidR="00000000" w:rsidRPr="00000000">
        <w:rPr>
          <w:b w:val="1"/>
          <w:sz w:val="24"/>
          <w:szCs w:val="24"/>
          <w:rtl w:val="0"/>
        </w:rPr>
        <w:t xml:space="preserve">Uso: </w:t>
      </w:r>
      <w:r w:rsidDel="00000000" w:rsidR="00000000" w:rsidRPr="00000000">
        <w:rPr>
          <w:rtl w:val="0"/>
        </w:rPr>
        <w:t xml:space="preserve">resenha em dois pontos da justificativa, como citação para embasamento do referencial teórico e uma na metodologia como resenha.</w:t>
      </w:r>
    </w:p>
    <w:p w:rsidR="00000000" w:rsidDel="00000000" w:rsidP="00000000" w:rsidRDefault="00000000" w:rsidRPr="00000000" w14:paraId="00000017">
      <w:pPr>
        <w:spacing w:after="240" w:before="200" w:line="360" w:lineRule="auto"/>
        <w:ind w:firstLine="720"/>
        <w:jc w:val="both"/>
        <w:rPr>
          <w:b w:val="1"/>
        </w:rPr>
      </w:pPr>
      <w:r w:rsidDel="00000000" w:rsidR="00000000" w:rsidRPr="00000000">
        <w:rPr>
          <w:b w:val="1"/>
          <w:rtl w:val="0"/>
        </w:rPr>
        <w:t xml:space="preserve">Citação do referencial teórico: </w:t>
      </w:r>
      <w:r w:rsidDel="00000000" w:rsidR="00000000" w:rsidRPr="00000000">
        <w:rPr>
          <w:rtl w:val="0"/>
        </w:rPr>
        <w:t xml:space="preserve">“Coherence - the collective quality of all sentences. We align this dimension with the DUC 396 quality question (Dang, 2005) of structure and coherence whereby ‘‘the summary should be well-structured and well-organized. The summary should not just be a heap of related information, but should build from sentence to sentence to a coherent body of information about a topic.’’Consistency - the factual alignment between the summary and the summarized source. A factually consistent summary contains only statements that are entailed by the source document. Annotators were also asked to penalize summaries that contained hallucinated facts. Fluency - the quality of individual sentences. Drawing again from the DUC quality guidelines, sentences in the summary ‘‘should have no formatting problems, capitalization errors or obviously ungrammatical sentences (e.g., fragments,missing components) that make the text difficult to read.’’Relevance - selection of important content from the source. The summary should include only important information from the source document. Annotators were instructed to penalize summaries that contained redundancies and excess information.”</w:t>
      </w:r>
      <w:r w:rsidDel="00000000" w:rsidR="00000000" w:rsidRPr="00000000">
        <w:rPr>
          <w:rtl w:val="0"/>
        </w:rPr>
      </w:r>
    </w:p>
    <w:p w:rsidR="00000000" w:rsidDel="00000000" w:rsidP="00000000" w:rsidRDefault="00000000" w:rsidRPr="00000000" w14:paraId="00000018">
      <w:pPr>
        <w:spacing w:before="20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numPr>
          <w:ilvl w:val="0"/>
          <w:numId w:val="1"/>
        </w:numPr>
        <w:spacing w:before="200" w:line="360" w:lineRule="auto"/>
        <w:ind w:left="720" w:hanging="360"/>
        <w:jc w:val="both"/>
        <w:rPr>
          <w:sz w:val="24"/>
          <w:szCs w:val="24"/>
        </w:rPr>
      </w:pPr>
      <w:bookmarkStart w:colFirst="0" w:colLast="0" w:name="_teuwyhjgzlpd" w:id="1"/>
      <w:bookmarkEnd w:id="1"/>
      <w:r w:rsidDel="00000000" w:rsidR="00000000" w:rsidRPr="00000000">
        <w:rPr>
          <w:sz w:val="24"/>
          <w:szCs w:val="24"/>
          <w:rtl w:val="0"/>
        </w:rPr>
        <w:t xml:space="preserve">Kryscinski et al. (2019) — “Neural Text Summarization: A Critical Evaluation”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Kryscinski, W. et al. </w:t>
      </w:r>
      <w:r w:rsidDel="00000000" w:rsidR="00000000" w:rsidRPr="00000000">
        <w:rPr>
          <w:rFonts w:ascii="Times New Roman" w:cs="Times New Roman" w:eastAsia="Times New Roman" w:hAnsi="Times New Roman"/>
          <w:b w:val="1"/>
          <w:sz w:val="24"/>
          <w:szCs w:val="24"/>
          <w:rtl w:val="0"/>
        </w:rPr>
        <w:t xml:space="preserve">Neural Text Summarization</w:t>
      </w:r>
      <w:r w:rsidDel="00000000" w:rsidR="00000000" w:rsidRPr="00000000">
        <w:rPr>
          <w:rFonts w:ascii="Times New Roman" w:cs="Times New Roman" w:eastAsia="Times New Roman" w:hAnsi="Times New Roman"/>
          <w:sz w:val="24"/>
          <w:szCs w:val="24"/>
          <w:rtl w:val="0"/>
        </w:rPr>
        <w:t xml:space="preserve">: A Critical Evaluation. Proceedings of the 2019 Conference on Empirical Methods in Natural Language Processing and the 9th International Joint Conference on Natural Language Processing (EMNLP-IJCNLP). Anais...Stroudsburg, PA, USA: Association for Computational Linguistics, 2019. Disponível em: https://www.aclweb.org/anthology/D19-1051 Acesso em: 19 de maio de 2025.</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trabalho critica o atual estado da pesquisa em sumarização neural. Os autores apontam três problemas principais: (1) datasets ruidosos, (2) métricas automáticas pouco confiáveis e (3) modelos que se aproveitam de </w:t>
      </w:r>
      <w:r w:rsidDel="00000000" w:rsidR="00000000" w:rsidRPr="00000000">
        <w:rPr>
          <w:rFonts w:ascii="Times New Roman" w:cs="Times New Roman" w:eastAsia="Times New Roman" w:hAnsi="Times New Roman"/>
          <w:b w:val="1"/>
          <w:sz w:val="24"/>
          <w:szCs w:val="24"/>
          <w:rtl w:val="0"/>
        </w:rPr>
        <w:t xml:space="preserve">viés de layout</w:t>
      </w:r>
      <w:r w:rsidDel="00000000" w:rsidR="00000000" w:rsidRPr="00000000">
        <w:rPr>
          <w:rFonts w:ascii="Times New Roman" w:cs="Times New Roman" w:eastAsia="Times New Roman" w:hAnsi="Times New Roman"/>
          <w:sz w:val="24"/>
          <w:szCs w:val="24"/>
          <w:rtl w:val="0"/>
        </w:rPr>
        <w:t xml:space="preserve"> (como o uso das primeiras frases dos textos). O estudo mostra que o progresso nas benchmarks é limitado, e argumenta que há uma </w:t>
      </w:r>
      <w:r w:rsidDel="00000000" w:rsidR="00000000" w:rsidRPr="00000000">
        <w:rPr>
          <w:rFonts w:ascii="Times New Roman" w:cs="Times New Roman" w:eastAsia="Times New Roman" w:hAnsi="Times New Roman"/>
          <w:b w:val="1"/>
          <w:sz w:val="24"/>
          <w:szCs w:val="24"/>
          <w:rtl w:val="0"/>
        </w:rPr>
        <w:t xml:space="preserve">estagnação</w:t>
      </w:r>
      <w:r w:rsidDel="00000000" w:rsidR="00000000" w:rsidRPr="00000000">
        <w:rPr>
          <w:rFonts w:ascii="Times New Roman" w:cs="Times New Roman" w:eastAsia="Times New Roman" w:hAnsi="Times New Roman"/>
          <w:sz w:val="24"/>
          <w:szCs w:val="24"/>
          <w:rtl w:val="0"/>
        </w:rPr>
        <w:t xml:space="preserve"> na área devido a deficiências metodológicas. Defende uma reestruturação das práticas de avaliação e construção de datasets.</w:t>
      </w:r>
    </w:p>
    <w:p w:rsidR="00000000" w:rsidDel="00000000" w:rsidP="00000000" w:rsidRDefault="00000000" w:rsidRPr="00000000" w14:paraId="0000001C">
      <w:pPr>
        <w:spacing w:after="240" w:before="200" w:line="360" w:lineRule="auto"/>
        <w:ind w:firstLine="720"/>
        <w:jc w:val="both"/>
        <w:rPr>
          <w:sz w:val="24"/>
          <w:szCs w:val="24"/>
        </w:rPr>
      </w:pPr>
      <w:r w:rsidDel="00000000" w:rsidR="00000000" w:rsidRPr="00000000">
        <w:rPr>
          <w:b w:val="1"/>
          <w:sz w:val="24"/>
          <w:szCs w:val="24"/>
          <w:rtl w:val="0"/>
        </w:rPr>
        <w:t xml:space="preserve">Uso </w:t>
      </w:r>
      <w:r w:rsidDel="00000000" w:rsidR="00000000" w:rsidRPr="00000000">
        <w:rPr>
          <w:rtl w:val="0"/>
        </w:rPr>
        <w:t xml:space="preserve">resenha no referencial teórico.</w:t>
      </w:r>
      <w:r w:rsidDel="00000000" w:rsidR="00000000" w:rsidRPr="00000000">
        <w:rPr>
          <w:rtl w:val="0"/>
        </w:rPr>
      </w:r>
    </w:p>
    <w:p w:rsidR="00000000" w:rsidDel="00000000" w:rsidP="00000000" w:rsidRDefault="00000000" w:rsidRPr="00000000" w14:paraId="0000001D">
      <w:pPr>
        <w:spacing w:before="20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numPr>
          <w:ilvl w:val="0"/>
          <w:numId w:val="1"/>
        </w:numPr>
        <w:spacing w:before="200" w:line="360" w:lineRule="auto"/>
        <w:ind w:left="720" w:hanging="360"/>
        <w:jc w:val="both"/>
        <w:rPr>
          <w:sz w:val="24"/>
          <w:szCs w:val="24"/>
        </w:rPr>
      </w:pPr>
      <w:bookmarkStart w:colFirst="0" w:colLast="0" w:name="_sth9189sn9es" w:id="2"/>
      <w:bookmarkEnd w:id="2"/>
      <w:r w:rsidDel="00000000" w:rsidR="00000000" w:rsidRPr="00000000">
        <w:rPr>
          <w:sz w:val="24"/>
          <w:szCs w:val="24"/>
          <w:rtl w:val="0"/>
        </w:rPr>
        <w:t xml:space="preserve">Martins (2001) — “Introdução à Sumarização Automática”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rPr>
          <w:sz w:val="24"/>
          <w:szCs w:val="24"/>
        </w:rPr>
      </w:pPr>
      <w:r w:rsidDel="00000000" w:rsidR="00000000" w:rsidRPr="00000000">
        <w:rPr>
          <w:rFonts w:ascii="Times New Roman" w:cs="Times New Roman" w:eastAsia="Times New Roman" w:hAnsi="Times New Roman"/>
          <w:sz w:val="24"/>
          <w:szCs w:val="24"/>
          <w:rtl w:val="0"/>
        </w:rPr>
        <w:t xml:space="preserve">Martins, C. B. et al. </w:t>
      </w:r>
      <w:r w:rsidDel="00000000" w:rsidR="00000000" w:rsidRPr="00000000">
        <w:rPr>
          <w:rFonts w:ascii="Times New Roman" w:cs="Times New Roman" w:eastAsia="Times New Roman" w:hAnsi="Times New Roman"/>
          <w:b w:val="1"/>
          <w:sz w:val="24"/>
          <w:szCs w:val="24"/>
          <w:rtl w:val="0"/>
        </w:rPr>
        <w:t xml:space="preserve">Introdução à sumarização automática</w:t>
      </w:r>
      <w:r w:rsidDel="00000000" w:rsidR="00000000" w:rsidRPr="00000000">
        <w:rPr>
          <w:rFonts w:ascii="Times New Roman" w:cs="Times New Roman" w:eastAsia="Times New Roman" w:hAnsi="Times New Roman"/>
          <w:sz w:val="24"/>
          <w:szCs w:val="24"/>
          <w:rtl w:val="0"/>
        </w:rPr>
        <w:t xml:space="preserve">. Relatório Técnico RT-DC, v. 2, 2001. https://sites.icmc.usp.br/taspardo/rtdc00201-cmartinsetal.pdf  Acesso em: 29 de abril de 2025.</w:t>
      </w:r>
      <w:r w:rsidDel="00000000" w:rsidR="00000000" w:rsidRPr="00000000">
        <w:rPr>
          <w:rtl w:val="0"/>
        </w:rPr>
      </w:r>
    </w:p>
    <w:p w:rsidR="00000000" w:rsidDel="00000000" w:rsidP="00000000" w:rsidRDefault="00000000" w:rsidRPr="00000000" w14:paraId="00000020">
      <w:pPr>
        <w:spacing w:after="2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relatório explora as bases da sumarização automática de textos. Discute os desafios de replicar a variação e a intenção presentes nos sumários humanos, e apresenta arquiteturas de sistemas e métodos históricos, como uso de palavras-chave. O trabalho é uma referência sólida para compreender os fundamentos e as limitações da sumarização automática.</w:t>
      </w:r>
    </w:p>
    <w:p w:rsidR="00000000" w:rsidDel="00000000" w:rsidP="00000000" w:rsidRDefault="00000000" w:rsidRPr="00000000" w14:paraId="00000021">
      <w:pPr>
        <w:spacing w:after="240" w:before="200" w:line="360" w:lineRule="auto"/>
        <w:ind w:firstLine="720"/>
        <w:jc w:val="both"/>
        <w:rPr>
          <w:rFonts w:ascii="Times New Roman" w:cs="Times New Roman" w:eastAsia="Times New Roman" w:hAnsi="Times New Roman"/>
          <w:sz w:val="24"/>
          <w:szCs w:val="24"/>
        </w:rPr>
      </w:pPr>
      <w:r w:rsidDel="00000000" w:rsidR="00000000" w:rsidRPr="00000000">
        <w:rPr>
          <w:b w:val="1"/>
          <w:sz w:val="24"/>
          <w:szCs w:val="24"/>
          <w:rtl w:val="0"/>
        </w:rPr>
        <w:t xml:space="preserve">Uso: </w:t>
      </w:r>
      <w:r w:rsidDel="00000000" w:rsidR="00000000" w:rsidRPr="00000000">
        <w:rPr>
          <w:rtl w:val="0"/>
        </w:rPr>
        <w:t xml:space="preserve">resumo na justificativa e referencial teórico.</w:t>
      </w:r>
      <w:r w:rsidDel="00000000" w:rsidR="00000000" w:rsidRPr="00000000">
        <w:rPr>
          <w:rtl w:val="0"/>
        </w:rPr>
      </w:r>
    </w:p>
    <w:p w:rsidR="00000000" w:rsidDel="00000000" w:rsidP="00000000" w:rsidRDefault="00000000" w:rsidRPr="00000000" w14:paraId="00000022">
      <w:pPr>
        <w:spacing w:before="20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numPr>
          <w:ilvl w:val="0"/>
          <w:numId w:val="1"/>
        </w:numPr>
        <w:spacing w:before="200" w:line="360" w:lineRule="auto"/>
        <w:ind w:left="720" w:hanging="360"/>
        <w:jc w:val="both"/>
        <w:rPr>
          <w:sz w:val="24"/>
          <w:szCs w:val="24"/>
        </w:rPr>
      </w:pPr>
      <w:bookmarkStart w:colFirst="0" w:colLast="0" w:name="_b57ek5102ije" w:id="3"/>
      <w:bookmarkEnd w:id="3"/>
      <w:r w:rsidDel="00000000" w:rsidR="00000000" w:rsidRPr="00000000">
        <w:rPr>
          <w:sz w:val="24"/>
          <w:szCs w:val="24"/>
          <w:rtl w:val="0"/>
        </w:rPr>
        <w:t xml:space="preserve">Moon (2025) — “Benchmarking LLMs for Calculus Problem-Solving”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rPr>
          <w:sz w:val="24"/>
          <w:szCs w:val="24"/>
        </w:rPr>
      </w:pPr>
      <w:r w:rsidDel="00000000" w:rsidR="00000000" w:rsidRPr="00000000">
        <w:rPr>
          <w:rFonts w:ascii="Times New Roman" w:cs="Times New Roman" w:eastAsia="Times New Roman" w:hAnsi="Times New Roman"/>
          <w:sz w:val="24"/>
          <w:szCs w:val="24"/>
          <w:rtl w:val="0"/>
        </w:rPr>
        <w:t xml:space="preserve">Moon, I. H. </w:t>
      </w:r>
      <w:r w:rsidDel="00000000" w:rsidR="00000000" w:rsidRPr="00000000">
        <w:rPr>
          <w:rFonts w:ascii="Times New Roman" w:cs="Times New Roman" w:eastAsia="Times New Roman" w:hAnsi="Times New Roman"/>
          <w:b w:val="1"/>
          <w:sz w:val="24"/>
          <w:szCs w:val="24"/>
          <w:rtl w:val="0"/>
        </w:rPr>
        <w:t xml:space="preserve">Benchmarking Large Language Models for Calculus Problem-Solving</w:t>
      </w:r>
      <w:r w:rsidDel="00000000" w:rsidR="00000000" w:rsidRPr="00000000">
        <w:rPr>
          <w:rFonts w:ascii="Times New Roman" w:cs="Times New Roman" w:eastAsia="Times New Roman" w:hAnsi="Times New Roman"/>
          <w:sz w:val="24"/>
          <w:szCs w:val="24"/>
          <w:rtl w:val="0"/>
        </w:rPr>
        <w:t xml:space="preserve">: A Comparative Analysis. 30 mar. 2025. Disponível em: &lt;https://arxiv.org/abs/2504.13187&gt; Acesso em: 19 de maio de 2025.</w:t>
      </w:r>
      <w:r w:rsidDel="00000000" w:rsidR="00000000" w:rsidRPr="00000000">
        <w:rPr>
          <w:rtl w:val="0"/>
        </w:rPr>
      </w:r>
    </w:p>
    <w:p w:rsidR="00000000" w:rsidDel="00000000" w:rsidP="00000000" w:rsidRDefault="00000000" w:rsidRPr="00000000" w14:paraId="00000025">
      <w:pPr>
        <w:spacing w:after="2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comparou cinco LLMs em problemas de cálculo diferencial. O trabalho conclui que, embora promissores, os LLMs ainda dependem do ensino humano para fomentar compreensão conceitual profunda, sendo úteis como </w:t>
      </w:r>
      <w:r w:rsidDel="00000000" w:rsidR="00000000" w:rsidRPr="00000000">
        <w:rPr>
          <w:rFonts w:ascii="Times New Roman" w:cs="Times New Roman" w:eastAsia="Times New Roman" w:hAnsi="Times New Roman"/>
          <w:b w:val="1"/>
          <w:sz w:val="24"/>
          <w:szCs w:val="24"/>
          <w:rtl w:val="0"/>
        </w:rPr>
        <w:t xml:space="preserve">ferramentas complementares</w:t>
      </w:r>
      <w:r w:rsidDel="00000000" w:rsidR="00000000" w:rsidRPr="00000000">
        <w:rPr>
          <w:rFonts w:ascii="Times New Roman" w:cs="Times New Roman" w:eastAsia="Times New Roman" w:hAnsi="Times New Roman"/>
          <w:sz w:val="24"/>
          <w:szCs w:val="24"/>
          <w:rtl w:val="0"/>
        </w:rPr>
        <w:t xml:space="preserve"> em ambientes educacionais.</w:t>
      </w:r>
    </w:p>
    <w:p w:rsidR="00000000" w:rsidDel="00000000" w:rsidP="00000000" w:rsidRDefault="00000000" w:rsidRPr="00000000" w14:paraId="00000026">
      <w:pPr>
        <w:spacing w:after="240" w:before="200" w:line="360" w:lineRule="auto"/>
        <w:ind w:firstLine="720"/>
        <w:jc w:val="both"/>
        <w:rPr>
          <w:rFonts w:ascii="Times New Roman" w:cs="Times New Roman" w:eastAsia="Times New Roman" w:hAnsi="Times New Roman"/>
          <w:sz w:val="24"/>
          <w:szCs w:val="24"/>
        </w:rPr>
      </w:pPr>
      <w:r w:rsidDel="00000000" w:rsidR="00000000" w:rsidRPr="00000000">
        <w:rPr>
          <w:b w:val="1"/>
          <w:sz w:val="24"/>
          <w:szCs w:val="24"/>
          <w:rtl w:val="0"/>
        </w:rPr>
        <w:t xml:space="preserve">Uso: </w:t>
      </w:r>
      <w:r w:rsidDel="00000000" w:rsidR="00000000" w:rsidRPr="00000000">
        <w:rPr>
          <w:rtl w:val="0"/>
        </w:rPr>
        <w:t xml:space="preserve">resenha na justificativa e no referencial teórico.</w:t>
      </w:r>
      <w:r w:rsidDel="00000000" w:rsidR="00000000" w:rsidRPr="00000000">
        <w:rPr>
          <w:rtl w:val="0"/>
        </w:rPr>
      </w:r>
    </w:p>
    <w:p w:rsidR="00000000" w:rsidDel="00000000" w:rsidP="00000000" w:rsidRDefault="00000000" w:rsidRPr="00000000" w14:paraId="00000027">
      <w:pPr>
        <w:spacing w:before="20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1"/>
        <w:numPr>
          <w:ilvl w:val="0"/>
          <w:numId w:val="1"/>
        </w:numPr>
        <w:spacing w:before="200" w:line="360" w:lineRule="auto"/>
        <w:ind w:left="720" w:hanging="360"/>
        <w:rPr>
          <w:sz w:val="24"/>
          <w:szCs w:val="24"/>
        </w:rPr>
      </w:pPr>
      <w:bookmarkStart w:colFirst="0" w:colLast="0" w:name="_f4aizmi2ytdg" w:id="4"/>
      <w:bookmarkEnd w:id="4"/>
      <w:r w:rsidDel="00000000" w:rsidR="00000000" w:rsidRPr="00000000">
        <w:rPr>
          <w:sz w:val="24"/>
          <w:szCs w:val="24"/>
          <w:rtl w:val="0"/>
        </w:rPr>
        <w:t xml:space="preserve">Nze (2024) —  “AI-Powered Chatbots”</w:t>
      </w:r>
    </w:p>
    <w:p w:rsidR="00000000" w:rsidDel="00000000" w:rsidP="00000000" w:rsidRDefault="00000000" w:rsidRPr="00000000" w14:paraId="0000002A">
      <w:pPr>
        <w:spacing w:before="200" w:line="360" w:lineRule="auto"/>
        <w:rPr>
          <w:sz w:val="24"/>
          <w:szCs w:val="24"/>
        </w:rPr>
      </w:pPr>
      <w:r w:rsidDel="00000000" w:rsidR="00000000" w:rsidRPr="00000000">
        <w:rPr>
          <w:rFonts w:ascii="Times New Roman" w:cs="Times New Roman" w:eastAsia="Times New Roman" w:hAnsi="Times New Roman"/>
          <w:sz w:val="24"/>
          <w:szCs w:val="24"/>
          <w:rtl w:val="0"/>
        </w:rPr>
        <w:t xml:space="preserve">Nze, S.</w:t>
      </w:r>
      <w:r w:rsidDel="00000000" w:rsidR="00000000" w:rsidRPr="00000000">
        <w:rPr>
          <w:rFonts w:ascii="Times New Roman" w:cs="Times New Roman" w:eastAsia="Times New Roman" w:hAnsi="Times New Roman"/>
          <w:color w:val="222222"/>
          <w:sz w:val="24"/>
          <w:szCs w:val="24"/>
          <w:highlight w:val="white"/>
          <w:rtl w:val="0"/>
        </w:rPr>
        <w:t xml:space="preserve"> AI-Powered Chatbots. </w:t>
      </w:r>
      <w:r w:rsidDel="00000000" w:rsidR="00000000" w:rsidRPr="00000000">
        <w:rPr>
          <w:rFonts w:ascii="Times New Roman" w:cs="Times New Roman" w:eastAsia="Times New Roman" w:hAnsi="Times New Roman"/>
          <w:b w:val="1"/>
          <w:color w:val="222222"/>
          <w:sz w:val="24"/>
          <w:szCs w:val="24"/>
          <w:highlight w:val="white"/>
          <w:rtl w:val="0"/>
        </w:rPr>
        <w:t xml:space="preserve">Global Journal of Human Resource Management</w:t>
      </w:r>
      <w:r w:rsidDel="00000000" w:rsidR="00000000" w:rsidRPr="00000000">
        <w:rPr>
          <w:rFonts w:ascii="Times New Roman" w:cs="Times New Roman" w:eastAsia="Times New Roman" w:hAnsi="Times New Roman"/>
          <w:color w:val="222222"/>
          <w:sz w:val="24"/>
          <w:szCs w:val="24"/>
          <w:highlight w:val="white"/>
          <w:rtl w:val="0"/>
        </w:rPr>
        <w:t xml:space="preserve">, v.</w:t>
      </w:r>
      <w:r w:rsidDel="00000000" w:rsidR="00000000" w:rsidRPr="00000000">
        <w:rPr>
          <w:rFonts w:ascii="Times New Roman" w:cs="Times New Roman" w:eastAsia="Times New Roman" w:hAnsi="Times New Roman"/>
          <w:sz w:val="24"/>
          <w:szCs w:val="24"/>
          <w:rtl w:val="0"/>
        </w:rPr>
        <w:t xml:space="preserve"> 12, n. 1, p. 10-25, 2024. Disponível em: https://eajournals.org/gjhrm/vol12-issue-6-2024/ai-powered-chatbots/  Acesso em: 13 de maio de 2025.</w:t>
      </w:r>
      <w:r w:rsidDel="00000000" w:rsidR="00000000" w:rsidRPr="00000000">
        <w:rPr>
          <w:rtl w:val="0"/>
        </w:rPr>
      </w:r>
    </w:p>
    <w:p w:rsidR="00000000" w:rsidDel="00000000" w:rsidP="00000000" w:rsidRDefault="00000000" w:rsidRPr="00000000" w14:paraId="0000002B">
      <w:pPr>
        <w:spacing w:before="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obra aborda como os relacionamentos cliente/empresa mudaram com a implementação de chatbots e como estas Inteligências Artificiais se tornaram uma alternativa eficaz para abordagens variadas com o usuário final.</w:t>
      </w:r>
    </w:p>
    <w:p w:rsidR="00000000" w:rsidDel="00000000" w:rsidP="00000000" w:rsidRDefault="00000000" w:rsidRPr="00000000" w14:paraId="0000002C">
      <w:pPr>
        <w:rPr/>
      </w:pPr>
      <w:r w:rsidDel="00000000" w:rsidR="00000000" w:rsidRPr="00000000">
        <w:rPr>
          <w:b w:val="1"/>
          <w:sz w:val="24"/>
          <w:szCs w:val="24"/>
          <w:rtl w:val="0"/>
        </w:rPr>
        <w:t xml:space="preserve">Uso</w:t>
      </w:r>
      <w:r w:rsidDel="00000000" w:rsidR="00000000" w:rsidRPr="00000000">
        <w:rPr>
          <w:b w:val="1"/>
          <w:rtl w:val="0"/>
        </w:rPr>
        <w:t xml:space="preserve">: </w:t>
      </w:r>
      <w:r w:rsidDel="00000000" w:rsidR="00000000" w:rsidRPr="00000000">
        <w:rPr>
          <w:rtl w:val="0"/>
        </w:rPr>
        <w:t xml:space="preserve">citação na contextualização.</w:t>
      </w:r>
    </w:p>
    <w:p w:rsidR="00000000" w:rsidDel="00000000" w:rsidP="00000000" w:rsidRDefault="00000000" w:rsidRPr="00000000" w14:paraId="0000002D">
      <w:pPr>
        <w:rPr/>
      </w:pPr>
      <w:r w:rsidDel="00000000" w:rsidR="00000000" w:rsidRPr="00000000">
        <w:rPr>
          <w:b w:val="1"/>
          <w:rtl w:val="0"/>
        </w:rPr>
        <w:t xml:space="preserve">Citação utilizada de referência:</w:t>
      </w:r>
      <w:r w:rsidDel="00000000" w:rsidR="00000000" w:rsidRPr="00000000">
        <w:rPr>
          <w:rtl w:val="0"/>
        </w:rPr>
        <w:t xml:space="preserve"> “</w:t>
      </w:r>
      <w:r w:rsidDel="00000000" w:rsidR="00000000" w:rsidRPr="00000000">
        <w:rPr>
          <w:rtl w:val="0"/>
        </w:rPr>
        <w:t xml:space="preserve">Artificial Intelligence (AI)-powered chatbots have emerged as a transformative technology, fundamentally changing how businesses and organizations engage with their customers by providing real-time, personalized communication. These chatbots, driven by sophisticated algorithms, utilize Natural Language Processing (NLP) and Machine Learning (ML) to understand, interpret, and respond to human language in a manner that is contextually appropriate and relevant.”</w:t>
      </w:r>
    </w:p>
    <w:p w:rsidR="00000000" w:rsidDel="00000000" w:rsidP="00000000" w:rsidRDefault="00000000" w:rsidRPr="00000000" w14:paraId="0000002E">
      <w:pPr>
        <w:spacing w:before="20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numPr>
          <w:ilvl w:val="0"/>
          <w:numId w:val="1"/>
        </w:numPr>
        <w:spacing w:before="200" w:line="360" w:lineRule="auto"/>
        <w:ind w:left="720" w:hanging="360"/>
        <w:jc w:val="both"/>
        <w:rPr>
          <w:sz w:val="24"/>
          <w:szCs w:val="24"/>
        </w:rPr>
      </w:pPr>
      <w:bookmarkStart w:colFirst="0" w:colLast="0" w:name="_rkt6hfpg6er2" w:id="5"/>
      <w:bookmarkEnd w:id="5"/>
      <w:r w:rsidDel="00000000" w:rsidR="00000000" w:rsidRPr="00000000">
        <w:rPr>
          <w:sz w:val="24"/>
          <w:szCs w:val="24"/>
          <w:rtl w:val="0"/>
        </w:rPr>
        <w:t xml:space="preserve">Shen et al. (2023) — “LLMs are Not Yet Human-Level Evaluators for Abstractive Summarization”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rPr>
          <w:sz w:val="24"/>
          <w:szCs w:val="24"/>
        </w:rPr>
      </w:pPr>
      <w:r w:rsidDel="00000000" w:rsidR="00000000" w:rsidRPr="00000000">
        <w:rPr>
          <w:rFonts w:ascii="Times New Roman" w:cs="Times New Roman" w:eastAsia="Times New Roman" w:hAnsi="Times New Roman"/>
          <w:sz w:val="24"/>
          <w:szCs w:val="24"/>
          <w:rtl w:val="0"/>
        </w:rPr>
        <w:t xml:space="preserve">Shen, C. et al. </w:t>
      </w:r>
      <w:r w:rsidDel="00000000" w:rsidR="00000000" w:rsidRPr="00000000">
        <w:rPr>
          <w:rFonts w:ascii="Times New Roman" w:cs="Times New Roman" w:eastAsia="Times New Roman" w:hAnsi="Times New Roman"/>
          <w:b w:val="1"/>
          <w:sz w:val="24"/>
          <w:szCs w:val="24"/>
          <w:rtl w:val="0"/>
        </w:rPr>
        <w:t xml:space="preserve">Large Language Models are Not Yet Human-Level Evaluators for Abstractive Summarization</w:t>
      </w:r>
      <w:r w:rsidDel="00000000" w:rsidR="00000000" w:rsidRPr="00000000">
        <w:rPr>
          <w:rFonts w:ascii="Times New Roman" w:cs="Times New Roman" w:eastAsia="Times New Roman" w:hAnsi="Times New Roman"/>
          <w:sz w:val="24"/>
          <w:szCs w:val="24"/>
          <w:rtl w:val="0"/>
        </w:rPr>
        <w:t xml:space="preserve">. Findings of the Association for Computational Linguistics: EMNLP 2023. Anais...Stroudsburg, PA, USA: Association for Computational Linguistics, 2023. Disponível em: https://aclanthology.org/2023.findings-emnlp.278 Acesso em: 19 de maio de 2025.</w:t>
      </w:r>
      <w:r w:rsidDel="00000000" w:rsidR="00000000" w:rsidRPr="00000000">
        <w:rPr>
          <w:rtl w:val="0"/>
        </w:rPr>
      </w:r>
    </w:p>
    <w:p w:rsidR="00000000" w:rsidDel="00000000" w:rsidP="00000000" w:rsidRDefault="00000000" w:rsidRPr="00000000" w14:paraId="00000031">
      <w:pPr>
        <w:spacing w:after="2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artigo questiona o uso de LLMs como substitutos de juízes humanos na avaliação de sumários </w:t>
      </w:r>
      <w:r w:rsidDel="00000000" w:rsidR="00000000" w:rsidRPr="00000000">
        <w:rPr>
          <w:rFonts w:ascii="Times New Roman" w:cs="Times New Roman" w:eastAsia="Times New Roman" w:hAnsi="Times New Roman"/>
          <w:b w:val="1"/>
          <w:sz w:val="24"/>
          <w:szCs w:val="24"/>
          <w:rtl w:val="0"/>
        </w:rPr>
        <w:t xml:space="preserve">abstrativos</w:t>
      </w:r>
      <w:r w:rsidDel="00000000" w:rsidR="00000000" w:rsidRPr="00000000">
        <w:rPr>
          <w:rFonts w:ascii="Times New Roman" w:cs="Times New Roman" w:eastAsia="Times New Roman" w:hAnsi="Times New Roman"/>
          <w:sz w:val="24"/>
          <w:szCs w:val="24"/>
          <w:rtl w:val="0"/>
        </w:rPr>
        <w:t xml:space="preserve">. Embora LLMs como ChatGPT e GPT-4 superem métricas automáticas tradicionais, eles apresentam </w:t>
      </w:r>
      <w:r w:rsidDel="00000000" w:rsidR="00000000" w:rsidRPr="00000000">
        <w:rPr>
          <w:rFonts w:ascii="Times New Roman" w:cs="Times New Roman" w:eastAsia="Times New Roman" w:hAnsi="Times New Roman"/>
          <w:b w:val="1"/>
          <w:sz w:val="24"/>
          <w:szCs w:val="24"/>
          <w:rtl w:val="0"/>
        </w:rPr>
        <w:t xml:space="preserve">inconsistência</w:t>
      </w:r>
      <w:r w:rsidDel="00000000" w:rsidR="00000000" w:rsidRPr="00000000">
        <w:rPr>
          <w:rFonts w:ascii="Times New Roman" w:cs="Times New Roman" w:eastAsia="Times New Roman" w:hAnsi="Times New Roman"/>
          <w:sz w:val="24"/>
          <w:szCs w:val="24"/>
          <w:rtl w:val="0"/>
        </w:rPr>
        <w:t xml:space="preserve"> ao avaliar sistemas com desempenho semelhante e em tarefas de alta qualidade. As avaliações variam conforme o tipo de sumário (fluência, coerência, factualidade).</w:t>
      </w:r>
    </w:p>
    <w:p w:rsidR="00000000" w:rsidDel="00000000" w:rsidP="00000000" w:rsidRDefault="00000000" w:rsidRPr="00000000" w14:paraId="00000032">
      <w:pPr>
        <w:spacing w:after="240" w:before="200" w:line="360" w:lineRule="auto"/>
        <w:ind w:firstLine="720"/>
        <w:jc w:val="both"/>
        <w:rPr>
          <w:sz w:val="24"/>
          <w:szCs w:val="24"/>
        </w:rPr>
      </w:pPr>
      <w:r w:rsidDel="00000000" w:rsidR="00000000" w:rsidRPr="00000000">
        <w:rPr>
          <w:b w:val="1"/>
          <w:sz w:val="24"/>
          <w:szCs w:val="24"/>
          <w:rtl w:val="0"/>
        </w:rPr>
        <w:t xml:space="preserve">Uso</w:t>
      </w:r>
      <w:r w:rsidDel="00000000" w:rsidR="00000000" w:rsidRPr="00000000">
        <w:rPr>
          <w:b w:val="1"/>
          <w:rtl w:val="0"/>
        </w:rPr>
        <w:t xml:space="preserve">: </w:t>
      </w:r>
      <w:r w:rsidDel="00000000" w:rsidR="00000000" w:rsidRPr="00000000">
        <w:rPr>
          <w:rtl w:val="0"/>
        </w:rPr>
        <w:t xml:space="preserve">resenha no referencial teórico.</w:t>
      </w:r>
      <w:r w:rsidDel="00000000" w:rsidR="00000000" w:rsidRPr="00000000">
        <w:rPr>
          <w:rtl w:val="0"/>
        </w:rPr>
      </w:r>
    </w:p>
    <w:p w:rsidR="00000000" w:rsidDel="00000000" w:rsidP="00000000" w:rsidRDefault="00000000" w:rsidRPr="00000000" w14:paraId="00000033">
      <w:pPr>
        <w:spacing w:before="20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numPr>
          <w:ilvl w:val="0"/>
          <w:numId w:val="1"/>
        </w:numPr>
        <w:spacing w:before="200" w:line="360" w:lineRule="auto"/>
        <w:ind w:left="720" w:hanging="360"/>
        <w:jc w:val="both"/>
        <w:rPr>
          <w:sz w:val="24"/>
          <w:szCs w:val="24"/>
        </w:rPr>
      </w:pPr>
      <w:bookmarkStart w:colFirst="0" w:colLast="0" w:name="_s1pdi12vmcd6" w:id="6"/>
      <w:bookmarkEnd w:id="6"/>
      <w:r w:rsidDel="00000000" w:rsidR="00000000" w:rsidRPr="00000000">
        <w:rPr>
          <w:sz w:val="24"/>
          <w:szCs w:val="24"/>
          <w:rtl w:val="0"/>
        </w:rPr>
        <w:t xml:space="preserve">Son; Won; Lee (2025) — “Optimizing LLMs: A Deep Dive into Prompt Engineering Techniques”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rPr>
          <w:sz w:val="24"/>
          <w:szCs w:val="24"/>
        </w:rPr>
      </w:pPr>
      <w:r w:rsidDel="00000000" w:rsidR="00000000" w:rsidRPr="00000000">
        <w:rPr>
          <w:rFonts w:ascii="Times New Roman" w:cs="Times New Roman" w:eastAsia="Times New Roman" w:hAnsi="Times New Roman"/>
          <w:sz w:val="24"/>
          <w:szCs w:val="24"/>
          <w:rtl w:val="0"/>
        </w:rPr>
        <w:t xml:space="preserve">Son, M.; Won, Y. J.; Lee, S.</w:t>
      </w:r>
      <w:r w:rsidDel="00000000" w:rsidR="00000000" w:rsidRPr="00000000">
        <w:rPr>
          <w:rFonts w:ascii="Times New Roman" w:cs="Times New Roman" w:eastAsia="Times New Roman" w:hAnsi="Times New Roman"/>
          <w:b w:val="1"/>
          <w:sz w:val="24"/>
          <w:szCs w:val="24"/>
          <w:rtl w:val="0"/>
        </w:rPr>
        <w:t xml:space="preserve"> Optimizing Large Language Models</w:t>
      </w:r>
      <w:r w:rsidDel="00000000" w:rsidR="00000000" w:rsidRPr="00000000">
        <w:rPr>
          <w:rFonts w:ascii="Times New Roman" w:cs="Times New Roman" w:eastAsia="Times New Roman" w:hAnsi="Times New Roman"/>
          <w:sz w:val="24"/>
          <w:szCs w:val="24"/>
          <w:rtl w:val="0"/>
        </w:rPr>
        <w:t xml:space="preserve">: A Deep Dive into Effective Prompt Engineering Techniques. Applied Sciences (Switzerland), v. 15, n. 3, 1 fev. 2025. Disponível em: https://www.mdpi.com/2076-3417/15/3/1430 Acesso em: 19 maio 2025.</w:t>
      </w:r>
      <w:r w:rsidDel="00000000" w:rsidR="00000000" w:rsidRPr="00000000">
        <w:rPr>
          <w:rtl w:val="0"/>
        </w:rPr>
      </w:r>
    </w:p>
    <w:p w:rsidR="00000000" w:rsidDel="00000000" w:rsidP="00000000" w:rsidRDefault="00000000" w:rsidRPr="00000000" w14:paraId="00000036">
      <w:pPr>
        <w:spacing w:after="2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artigo analisa técnicas avançadas de </w:t>
      </w:r>
      <w:r w:rsidDel="00000000" w:rsidR="00000000" w:rsidRPr="00000000">
        <w:rPr>
          <w:rFonts w:ascii="Times New Roman" w:cs="Times New Roman" w:eastAsia="Times New Roman" w:hAnsi="Times New Roman"/>
          <w:b w:val="1"/>
          <w:sz w:val="24"/>
          <w:szCs w:val="24"/>
          <w:rtl w:val="0"/>
        </w:rPr>
        <w:t xml:space="preserve">Prompt Engineering</w:t>
      </w:r>
      <w:r w:rsidDel="00000000" w:rsidR="00000000" w:rsidRPr="00000000">
        <w:rPr>
          <w:rFonts w:ascii="Times New Roman" w:cs="Times New Roman" w:eastAsia="Times New Roman" w:hAnsi="Times New Roman"/>
          <w:sz w:val="24"/>
          <w:szCs w:val="24"/>
          <w:rtl w:val="0"/>
        </w:rPr>
        <w:t xml:space="preserve"> para otimizar a performance de LLMs. Técnicas como </w:t>
      </w:r>
      <w:r w:rsidDel="00000000" w:rsidR="00000000" w:rsidRPr="00000000">
        <w:rPr>
          <w:rFonts w:ascii="Times New Roman" w:cs="Times New Roman" w:eastAsia="Times New Roman" w:hAnsi="Times New Roman"/>
          <w:b w:val="1"/>
          <w:sz w:val="24"/>
          <w:szCs w:val="24"/>
          <w:rtl w:val="0"/>
        </w:rPr>
        <w:t xml:space="preserve">In-Context Learning (ICL)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Chain of Thought (CoT)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Retrieval-Augmented Generation (RAG)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Step-by-Step Reasoning (SSR)</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sz w:val="24"/>
          <w:szCs w:val="24"/>
          <w:rtl w:val="0"/>
        </w:rPr>
        <w:t xml:space="preserve">Tree of Thought (ToT)</w:t>
      </w:r>
      <w:r w:rsidDel="00000000" w:rsidR="00000000" w:rsidRPr="00000000">
        <w:rPr>
          <w:rFonts w:ascii="Times New Roman" w:cs="Times New Roman" w:eastAsia="Times New Roman" w:hAnsi="Times New Roman"/>
          <w:sz w:val="24"/>
          <w:szCs w:val="24"/>
          <w:rtl w:val="0"/>
        </w:rPr>
        <w:t xml:space="preserve"> foram testadas em diversos benchmarks. A escolha da técnica ideal depende do tipo de tarefa. O trabalho reforça que mesmo LLMs avançados ainda se beneficiam significativamente de engenharia de prompt adequada e personalizada.</w:t>
      </w:r>
    </w:p>
    <w:p w:rsidR="00000000" w:rsidDel="00000000" w:rsidP="00000000" w:rsidRDefault="00000000" w:rsidRPr="00000000" w14:paraId="00000037">
      <w:pPr>
        <w:spacing w:after="240" w:before="200" w:line="360" w:lineRule="auto"/>
        <w:ind w:firstLine="720"/>
        <w:jc w:val="both"/>
        <w:rPr>
          <w:sz w:val="24"/>
          <w:szCs w:val="24"/>
        </w:rPr>
      </w:pPr>
      <w:r w:rsidDel="00000000" w:rsidR="00000000" w:rsidRPr="00000000">
        <w:rPr>
          <w:b w:val="1"/>
          <w:sz w:val="24"/>
          <w:szCs w:val="24"/>
          <w:rtl w:val="0"/>
        </w:rPr>
        <w:t xml:space="preserve">Uso</w:t>
      </w:r>
      <w:r w:rsidDel="00000000" w:rsidR="00000000" w:rsidRPr="00000000">
        <w:rPr>
          <w:b w:val="1"/>
          <w:rtl w:val="0"/>
        </w:rPr>
        <w:t xml:space="preserve">: </w:t>
      </w:r>
      <w:r w:rsidDel="00000000" w:rsidR="00000000" w:rsidRPr="00000000">
        <w:rPr>
          <w:rtl w:val="0"/>
        </w:rPr>
        <w:t xml:space="preserve">resenha no referencial teórico.</w:t>
      </w:r>
      <w:r w:rsidDel="00000000" w:rsidR="00000000" w:rsidRPr="00000000">
        <w:rPr>
          <w:rtl w:val="0"/>
        </w:rPr>
      </w:r>
    </w:p>
    <w:p w:rsidR="00000000" w:rsidDel="00000000" w:rsidP="00000000" w:rsidRDefault="00000000" w:rsidRPr="00000000" w14:paraId="00000038">
      <w:pPr>
        <w:spacing w:before="20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numPr>
          <w:ilvl w:val="0"/>
          <w:numId w:val="1"/>
        </w:numPr>
        <w:spacing w:before="200" w:line="360" w:lineRule="auto"/>
        <w:ind w:left="720" w:hanging="360"/>
        <w:jc w:val="both"/>
        <w:rPr>
          <w:sz w:val="24"/>
          <w:szCs w:val="24"/>
        </w:rPr>
      </w:pPr>
      <w:bookmarkStart w:colFirst="0" w:colLast="0" w:name="_l8x4v7ao836t" w:id="7"/>
      <w:bookmarkEnd w:id="7"/>
      <w:r w:rsidDel="00000000" w:rsidR="00000000" w:rsidRPr="00000000">
        <w:rPr>
          <w:sz w:val="24"/>
          <w:szCs w:val="24"/>
          <w:rtl w:val="0"/>
        </w:rPr>
        <w:t xml:space="preserve">Tabosa et al. (2020) — “Avaliação do Desempenho de um Software de Sumarização Automática de Textos”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rPr>
          <w:sz w:val="24"/>
          <w:szCs w:val="24"/>
        </w:rPr>
      </w:pPr>
      <w:r w:rsidDel="00000000" w:rsidR="00000000" w:rsidRPr="00000000">
        <w:rPr>
          <w:rFonts w:ascii="Times New Roman" w:cs="Times New Roman" w:eastAsia="Times New Roman" w:hAnsi="Times New Roman"/>
          <w:sz w:val="24"/>
          <w:szCs w:val="24"/>
          <w:rtl w:val="0"/>
        </w:rPr>
        <w:t xml:space="preserve">Tabosa, H. R. et al. </w:t>
      </w:r>
      <w:r w:rsidDel="00000000" w:rsidR="00000000" w:rsidRPr="00000000">
        <w:rPr>
          <w:rFonts w:ascii="Times New Roman" w:cs="Times New Roman" w:eastAsia="Times New Roman" w:hAnsi="Times New Roman"/>
          <w:b w:val="1"/>
          <w:sz w:val="24"/>
          <w:szCs w:val="24"/>
          <w:rtl w:val="0"/>
        </w:rPr>
        <w:t xml:space="preserve">Avaliação do desempenho de um software de sumarização automática de textos</w:t>
      </w:r>
      <w:r w:rsidDel="00000000" w:rsidR="00000000" w:rsidRPr="00000000">
        <w:rPr>
          <w:rFonts w:ascii="Times New Roman" w:cs="Times New Roman" w:eastAsia="Times New Roman" w:hAnsi="Times New Roman"/>
          <w:sz w:val="24"/>
          <w:szCs w:val="24"/>
          <w:rtl w:val="0"/>
        </w:rPr>
        <w:t xml:space="preserve">. Informação &amp; Informação, v. 25, n. 1, p. 189, 1 abr. 2020. http://www.uel.br/revistas/uel/index.php/informacao/article/view/35928 Acesso em: 19 maio 2025.</w:t>
      </w:r>
      <w:r w:rsidDel="00000000" w:rsidR="00000000" w:rsidRPr="00000000">
        <w:rPr>
          <w:rtl w:val="0"/>
        </w:rPr>
      </w:r>
    </w:p>
    <w:p w:rsidR="00000000" w:rsidDel="00000000" w:rsidP="00000000" w:rsidRDefault="00000000" w:rsidRPr="00000000" w14:paraId="0000003B">
      <w:pPr>
        <w:spacing w:after="2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estudo avalia um software brasileiro de sumarização automática com base em testes cegos comparando seus resumos com os produzidos por humanos. Foram utilizados critérios como </w:t>
      </w:r>
      <w:r w:rsidDel="00000000" w:rsidR="00000000" w:rsidRPr="00000000">
        <w:rPr>
          <w:rFonts w:ascii="Times New Roman" w:cs="Times New Roman" w:eastAsia="Times New Roman" w:hAnsi="Times New Roman"/>
          <w:b w:val="1"/>
          <w:sz w:val="24"/>
          <w:szCs w:val="24"/>
          <w:rtl w:val="0"/>
        </w:rPr>
        <w:t xml:space="preserve">correção gramatical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coerência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preservação das ideias centrais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sz w:val="24"/>
          <w:szCs w:val="24"/>
          <w:rtl w:val="0"/>
        </w:rPr>
        <w:t xml:space="preserve">extensão do resumo</w:t>
      </w:r>
      <w:r w:rsidDel="00000000" w:rsidR="00000000" w:rsidRPr="00000000">
        <w:rPr>
          <w:rFonts w:ascii="Times New Roman" w:cs="Times New Roman" w:eastAsia="Times New Roman" w:hAnsi="Times New Roman"/>
          <w:sz w:val="24"/>
          <w:szCs w:val="24"/>
          <w:rtl w:val="0"/>
        </w:rPr>
        <w:t xml:space="preserve">. Os resultados mostraram equivalência em quatro dos cinco critérios. A principal deficiência foi a extensão excessiva dos resumos gerados pela máquina. O estudo sugere que o software é promissor, mas precisa de ajustes e testes mais amplos para consolidação.</w:t>
      </w:r>
    </w:p>
    <w:p w:rsidR="00000000" w:rsidDel="00000000" w:rsidP="00000000" w:rsidRDefault="00000000" w:rsidRPr="00000000" w14:paraId="0000003C">
      <w:pPr>
        <w:spacing w:after="240" w:before="200" w:line="360" w:lineRule="auto"/>
        <w:ind w:firstLine="720"/>
        <w:jc w:val="both"/>
        <w:rPr>
          <w:sz w:val="24"/>
          <w:szCs w:val="24"/>
        </w:rPr>
      </w:pPr>
      <w:r w:rsidDel="00000000" w:rsidR="00000000" w:rsidRPr="00000000">
        <w:rPr>
          <w:b w:val="1"/>
          <w:sz w:val="24"/>
          <w:szCs w:val="24"/>
          <w:rtl w:val="0"/>
        </w:rPr>
        <w:t xml:space="preserve">Uso </w:t>
      </w:r>
      <w:r w:rsidDel="00000000" w:rsidR="00000000" w:rsidRPr="00000000">
        <w:rPr>
          <w:rtl w:val="0"/>
        </w:rPr>
        <w:t xml:space="preserve">resenha na justificativa e resenha no referencial teórico como complementação.</w:t>
      </w:r>
      <w:r w:rsidDel="00000000" w:rsidR="00000000" w:rsidRPr="00000000">
        <w:rPr>
          <w:rtl w:val="0"/>
        </w:rPr>
      </w:r>
    </w:p>
    <w:p w:rsidR="00000000" w:rsidDel="00000000" w:rsidP="00000000" w:rsidRDefault="00000000" w:rsidRPr="00000000" w14:paraId="0000003D">
      <w:pPr>
        <w:spacing w:before="20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numPr>
          <w:ilvl w:val="0"/>
          <w:numId w:val="1"/>
        </w:numPr>
        <w:spacing w:before="200" w:line="360" w:lineRule="auto"/>
        <w:ind w:left="720" w:hanging="360"/>
        <w:rPr>
          <w:sz w:val="24"/>
          <w:szCs w:val="24"/>
        </w:rPr>
      </w:pPr>
      <w:bookmarkStart w:colFirst="0" w:colLast="0" w:name="_w0584men3zb0" w:id="8"/>
      <w:bookmarkEnd w:id="8"/>
      <w:r w:rsidDel="00000000" w:rsidR="00000000" w:rsidRPr="00000000">
        <w:rPr>
          <w:color w:val="222222"/>
          <w:sz w:val="24"/>
          <w:szCs w:val="24"/>
          <w:highlight w:val="white"/>
          <w:rtl w:val="0"/>
        </w:rPr>
        <w:t xml:space="preserve">Yampolskiy(2016)</w:t>
      </w:r>
      <w:r w:rsidDel="00000000" w:rsidR="00000000" w:rsidRPr="00000000">
        <w:rPr>
          <w:b w:val="1"/>
          <w:sz w:val="24"/>
          <w:szCs w:val="24"/>
          <w:rtl w:val="0"/>
        </w:rPr>
        <w:t xml:space="preserve"> — “</w:t>
      </w:r>
      <w:r w:rsidDel="00000000" w:rsidR="00000000" w:rsidRPr="00000000">
        <w:rPr>
          <w:color w:val="222222"/>
          <w:sz w:val="24"/>
          <w:szCs w:val="24"/>
          <w:highlight w:val="white"/>
          <w:rtl w:val="0"/>
        </w:rPr>
        <w:t xml:space="preserve">Taxonomy of Pathways to Dangerous Artificial Intelligence</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03F">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Yampolskiy, Roman V. Taxonomy of Pathways to Dangerous Artificial Intelligence. In: </w:t>
      </w:r>
      <w:r w:rsidDel="00000000" w:rsidR="00000000" w:rsidRPr="00000000">
        <w:rPr>
          <w:rFonts w:ascii="Times New Roman" w:cs="Times New Roman" w:eastAsia="Times New Roman" w:hAnsi="Times New Roman"/>
          <w:b w:val="1"/>
          <w:color w:val="222222"/>
          <w:sz w:val="24"/>
          <w:szCs w:val="24"/>
          <w:highlight w:val="white"/>
          <w:rtl w:val="0"/>
        </w:rPr>
        <w:t xml:space="preserve">AAAI Workshop: AI, Ethics, and Society</w:t>
      </w:r>
      <w:r w:rsidDel="00000000" w:rsidR="00000000" w:rsidRPr="00000000">
        <w:rPr>
          <w:rFonts w:ascii="Times New Roman" w:cs="Times New Roman" w:eastAsia="Times New Roman" w:hAnsi="Times New Roman"/>
          <w:color w:val="222222"/>
          <w:sz w:val="24"/>
          <w:szCs w:val="24"/>
          <w:highlight w:val="white"/>
          <w:rtl w:val="0"/>
        </w:rPr>
        <w:t xml:space="preserve">. 2016. p. 143-148. Disponível em: https://cdn.aaai.org/ocs/ws/ws0156/12566-57418-1-PB.pdf Acesso em: 13 maio 2025.</w:t>
      </w:r>
      <w:r w:rsidDel="00000000" w:rsidR="00000000" w:rsidRPr="00000000">
        <w:rPr>
          <w:rtl w:val="0"/>
        </w:rPr>
      </w:r>
    </w:p>
    <w:p w:rsidR="00000000" w:rsidDel="00000000" w:rsidP="00000000" w:rsidRDefault="00000000" w:rsidRPr="00000000" w14:paraId="00000040">
      <w:pPr>
        <w:spacing w:before="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 realizado pela </w:t>
      </w:r>
      <w:r w:rsidDel="00000000" w:rsidR="00000000" w:rsidRPr="00000000">
        <w:rPr>
          <w:rFonts w:ascii="Times New Roman" w:cs="Times New Roman" w:eastAsia="Times New Roman" w:hAnsi="Times New Roman"/>
          <w:sz w:val="24"/>
          <w:szCs w:val="24"/>
          <w:rtl w:val="0"/>
        </w:rPr>
        <w:t xml:space="preserve">University of Louisville </w:t>
      </w:r>
      <w:r w:rsidDel="00000000" w:rsidR="00000000" w:rsidRPr="00000000">
        <w:rPr>
          <w:rFonts w:ascii="Times New Roman" w:cs="Times New Roman" w:eastAsia="Times New Roman" w:hAnsi="Times New Roman"/>
          <w:sz w:val="24"/>
          <w:szCs w:val="24"/>
          <w:rtl w:val="0"/>
        </w:rPr>
        <w:t xml:space="preserve">em que o autor destaca a possibilidade de erro que as IAs podem apresentar ao longo do seu ciclo de vida. Nele, são apresentados perigos pré e pós instalação de uma inteligência artificial de fins variados, seja um equipamento militar, de exploração extraterrestre ou um simples radar de velocidade.</w:t>
      </w:r>
    </w:p>
    <w:p w:rsidR="00000000" w:rsidDel="00000000" w:rsidP="00000000" w:rsidRDefault="00000000" w:rsidRPr="00000000" w14:paraId="00000041">
      <w:pPr>
        <w:spacing w:before="200" w:line="360" w:lineRule="auto"/>
        <w:ind w:firstLine="720"/>
        <w:rPr>
          <w:sz w:val="24"/>
          <w:szCs w:val="24"/>
        </w:rPr>
      </w:pPr>
      <w:r w:rsidDel="00000000" w:rsidR="00000000" w:rsidRPr="00000000">
        <w:rPr>
          <w:b w:val="1"/>
          <w:sz w:val="24"/>
          <w:szCs w:val="24"/>
          <w:rtl w:val="0"/>
        </w:rPr>
        <w:t xml:space="preserve">Uso</w:t>
      </w:r>
      <w:r w:rsidDel="00000000" w:rsidR="00000000" w:rsidRPr="00000000">
        <w:rPr>
          <w:b w:val="1"/>
          <w:rtl w:val="0"/>
        </w:rPr>
        <w:t xml:space="preserve">: </w:t>
      </w:r>
      <w:r w:rsidDel="00000000" w:rsidR="00000000" w:rsidRPr="00000000">
        <w:rPr>
          <w:rtl w:val="0"/>
        </w:rPr>
        <w:t xml:space="preserve"> resenha na contextualização</w:t>
      </w:r>
      <w:r w:rsidDel="00000000" w:rsidR="00000000" w:rsidRPr="00000000">
        <w:rPr>
          <w:rtl w:val="0"/>
        </w:rPr>
      </w:r>
    </w:p>
    <w:p w:rsidR="00000000" w:rsidDel="00000000" w:rsidP="00000000" w:rsidRDefault="00000000" w:rsidRPr="00000000" w14:paraId="00000042">
      <w:pPr>
        <w:spacing w:before="20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numPr>
          <w:ilvl w:val="0"/>
          <w:numId w:val="1"/>
        </w:numPr>
        <w:spacing w:before="200" w:line="360" w:lineRule="auto"/>
        <w:ind w:left="720" w:hanging="360"/>
        <w:jc w:val="both"/>
        <w:rPr>
          <w:sz w:val="24"/>
          <w:szCs w:val="24"/>
        </w:rPr>
      </w:pPr>
      <w:bookmarkStart w:colFirst="0" w:colLast="0" w:name="_fsf4dvd8e6gu" w:id="9"/>
      <w:bookmarkEnd w:id="9"/>
      <w:r w:rsidDel="00000000" w:rsidR="00000000" w:rsidRPr="00000000">
        <w:rPr>
          <w:sz w:val="24"/>
          <w:szCs w:val="24"/>
          <w:rtl w:val="0"/>
        </w:rPr>
        <w:t xml:space="preserve">Zhang; Liu; Zhang (2023) — “Extractive Summarization via ChatGPT for Faithful Summary Generation”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rPr>
          <w:sz w:val="24"/>
          <w:szCs w:val="24"/>
        </w:rPr>
      </w:pPr>
      <w:r w:rsidDel="00000000" w:rsidR="00000000" w:rsidRPr="00000000">
        <w:rPr>
          <w:rFonts w:ascii="Times New Roman" w:cs="Times New Roman" w:eastAsia="Times New Roman" w:hAnsi="Times New Roman"/>
          <w:sz w:val="24"/>
          <w:szCs w:val="24"/>
          <w:rtl w:val="0"/>
        </w:rPr>
        <w:t xml:space="preserve">Zhang, H.; Liu, X.; Zhang, J. </w:t>
      </w:r>
      <w:r w:rsidDel="00000000" w:rsidR="00000000" w:rsidRPr="00000000">
        <w:rPr>
          <w:rFonts w:ascii="Times New Roman" w:cs="Times New Roman" w:eastAsia="Times New Roman" w:hAnsi="Times New Roman"/>
          <w:b w:val="1"/>
          <w:sz w:val="24"/>
          <w:szCs w:val="24"/>
          <w:rtl w:val="0"/>
        </w:rPr>
        <w:t xml:space="preserve">Extractive Summarization via ChatGPT for Faithful Summary Generation</w:t>
      </w:r>
      <w:r w:rsidDel="00000000" w:rsidR="00000000" w:rsidRPr="00000000">
        <w:rPr>
          <w:rFonts w:ascii="Times New Roman" w:cs="Times New Roman" w:eastAsia="Times New Roman" w:hAnsi="Times New Roman"/>
          <w:sz w:val="24"/>
          <w:szCs w:val="24"/>
          <w:rtl w:val="0"/>
        </w:rPr>
        <w:t xml:space="preserve">. Findings of the Association for Computational Linguistics: EMNLP 2023. Anais… Stroudsburg, PA, USA: Association for Computational Linguistics, 2023. Disponível em: https://aclanthology.org/2023.findings-emnlp.214 Acesso em: 19 maio 2025.</w:t>
      </w:r>
      <w:r w:rsidDel="00000000" w:rsidR="00000000" w:rsidRPr="00000000">
        <w:rPr>
          <w:rtl w:val="0"/>
        </w:rPr>
      </w:r>
    </w:p>
    <w:p w:rsidR="00000000" w:rsidDel="00000000" w:rsidP="00000000" w:rsidRDefault="00000000" w:rsidRPr="00000000" w14:paraId="00000045">
      <w:pPr>
        <w:spacing w:after="24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artigo avalia o desempenho do ChatGPT na tarefa de sumarização </w:t>
      </w:r>
      <w:r w:rsidDel="00000000" w:rsidR="00000000" w:rsidRPr="00000000">
        <w:rPr>
          <w:rFonts w:ascii="Times New Roman" w:cs="Times New Roman" w:eastAsia="Times New Roman" w:hAnsi="Times New Roman"/>
          <w:b w:val="1"/>
          <w:sz w:val="24"/>
          <w:szCs w:val="24"/>
          <w:rtl w:val="0"/>
        </w:rPr>
        <w:t xml:space="preserve">extrativa</w:t>
      </w:r>
      <w:r w:rsidDel="00000000" w:rsidR="00000000" w:rsidRPr="00000000">
        <w:rPr>
          <w:rFonts w:ascii="Times New Roman" w:cs="Times New Roman" w:eastAsia="Times New Roman" w:hAnsi="Times New Roman"/>
          <w:sz w:val="24"/>
          <w:szCs w:val="24"/>
          <w:rtl w:val="0"/>
        </w:rPr>
        <w:t xml:space="preserve">. Os resultados mostram que, embora o modelo tenha desempenho inferior em métricas tradicionais como ROUGE, ele se destaca em métricas baseadas em LLMs quanto à </w:t>
      </w:r>
      <w:r w:rsidDel="00000000" w:rsidR="00000000" w:rsidRPr="00000000">
        <w:rPr>
          <w:rFonts w:ascii="Times New Roman" w:cs="Times New Roman" w:eastAsia="Times New Roman" w:hAnsi="Times New Roman"/>
          <w:b w:val="1"/>
          <w:sz w:val="24"/>
          <w:szCs w:val="24"/>
          <w:rtl w:val="0"/>
        </w:rPr>
        <w:t xml:space="preserve">fidelidade</w:t>
      </w:r>
      <w:r w:rsidDel="00000000" w:rsidR="00000000" w:rsidRPr="00000000">
        <w:rPr>
          <w:rFonts w:ascii="Times New Roman" w:cs="Times New Roman" w:eastAsia="Times New Roman" w:hAnsi="Times New Roman"/>
          <w:sz w:val="24"/>
          <w:szCs w:val="24"/>
          <w:rtl w:val="0"/>
        </w:rPr>
        <w:t xml:space="preserve"> do conteúdo. Além disso, o uso de abordagens como </w:t>
      </w:r>
      <w:r w:rsidDel="00000000" w:rsidR="00000000" w:rsidRPr="00000000">
        <w:rPr>
          <w:rFonts w:ascii="Times New Roman" w:cs="Times New Roman" w:eastAsia="Times New Roman" w:hAnsi="Times New Roman"/>
          <w:b w:val="1"/>
          <w:sz w:val="24"/>
          <w:szCs w:val="24"/>
          <w:rtl w:val="0"/>
        </w:rPr>
        <w:t xml:space="preserve">"extract-then-generate"</w:t>
      </w:r>
      <w:r w:rsidDel="00000000" w:rsidR="00000000" w:rsidRPr="00000000">
        <w:rPr>
          <w:rFonts w:ascii="Times New Roman" w:cs="Times New Roman" w:eastAsia="Times New Roman" w:hAnsi="Times New Roman"/>
          <w:sz w:val="24"/>
          <w:szCs w:val="24"/>
          <w:rtl w:val="0"/>
        </w:rPr>
        <w:t xml:space="preserve">, aprendizado por contexto (ICL) e raciocínio encadeado (CoT) melhora a performance. O estudo propõe que a sumarização extrativa via LLMs pode ser promissora para mitigar problemas de alucinação.</w:t>
      </w:r>
    </w:p>
    <w:p w:rsidR="00000000" w:rsidDel="00000000" w:rsidP="00000000" w:rsidRDefault="00000000" w:rsidRPr="00000000" w14:paraId="00000046">
      <w:pPr>
        <w:spacing w:after="240" w:before="200" w:line="360" w:lineRule="auto"/>
        <w:ind w:firstLine="720"/>
        <w:jc w:val="both"/>
        <w:rPr>
          <w:sz w:val="24"/>
          <w:szCs w:val="24"/>
        </w:rPr>
      </w:pPr>
      <w:r w:rsidDel="00000000" w:rsidR="00000000" w:rsidRPr="00000000">
        <w:rPr>
          <w:b w:val="1"/>
          <w:sz w:val="24"/>
          <w:szCs w:val="24"/>
          <w:rtl w:val="0"/>
        </w:rPr>
        <w:t xml:space="preserve">Uso:</w:t>
      </w:r>
      <w:r w:rsidDel="00000000" w:rsidR="00000000" w:rsidRPr="00000000">
        <w:rPr>
          <w:b w:val="1"/>
          <w:rtl w:val="0"/>
        </w:rPr>
        <w:t xml:space="preserve"> </w:t>
      </w:r>
      <w:r w:rsidDel="00000000" w:rsidR="00000000" w:rsidRPr="00000000">
        <w:rPr>
          <w:rtl w:val="0"/>
        </w:rPr>
        <w:t xml:space="preserve">resumo e resenha na justificativa e um resumo no referencial teórico.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before="200"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360" w:lineRule="auto"/>
      <w:jc w:val="both"/>
    </w:pPr>
    <w:rPr>
      <w:rFonts w:ascii="Times New Roman" w:cs="Times New Roman" w:eastAsia="Times New Roman" w:hAnsi="Times New Roman"/>
      <w:b w:val="1"/>
      <w:sz w:val="26"/>
      <w:szCs w:val="2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