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9349" w14:textId="77777777" w:rsidR="00B52F72" w:rsidRDefault="00000000">
      <w:pPr>
        <w:pStyle w:val="Ttulo1"/>
        <w:jc w:val="center"/>
      </w:pPr>
      <w:r>
        <w:rPr>
          <w:sz w:val="30"/>
          <w:szCs w:val="30"/>
        </w:rPr>
        <w:t>RELATÓRIO DE ANÁLISE DE CRÉDITO - BANCOBOX</w:t>
      </w:r>
    </w:p>
    <w:p w14:paraId="12AF1A0F" w14:textId="77777777" w:rsidR="00B52F72" w:rsidRDefault="00B52F72"/>
    <w:p w14:paraId="62877050" w14:textId="38AAC6F3" w:rsidR="00B52F72" w:rsidRDefault="00000000">
      <w:pPr>
        <w:pStyle w:val="Ttulo1"/>
      </w:pPr>
      <w:r>
        <w:t xml:space="preserve">1) Distribuição de </w:t>
      </w:r>
      <w:r w:rsidR="00426B2E">
        <w:t>r</w:t>
      </w:r>
      <w:r>
        <w:t xml:space="preserve">isco de </w:t>
      </w:r>
      <w:r w:rsidR="00426B2E">
        <w:t>c</w:t>
      </w:r>
      <w:r>
        <w:t>rédito</w:t>
      </w:r>
    </w:p>
    <w:p w14:paraId="00EC961E" w14:textId="77777777" w:rsidR="00B52F72" w:rsidRDefault="00000000">
      <w:pPr>
        <w:spacing w:before="60" w:after="60"/>
        <w:jc w:val="both"/>
      </w:pPr>
      <w:r>
        <w:rPr>
          <w:color w:val="000000"/>
        </w:rPr>
        <w:t>408 clientes em risco alto (40,8%), 340 em risco médio (34%) e 252 em risco baixo (25,2%). Somando alto e médio, 74,8% do portfólio apresenta risco moderado a alto.</w:t>
      </w:r>
    </w:p>
    <w:p w14:paraId="0F47A357" w14:textId="77777777" w:rsidR="00B52F72" w:rsidRDefault="00B52F72"/>
    <w:p w14:paraId="4A51FB0D" w14:textId="77777777" w:rsidR="00B52F72" w:rsidRDefault="00000000">
      <w:pPr>
        <w:spacing w:before="60" w:after="60"/>
      </w:pPr>
      <w:r>
        <w:rPr>
          <w:b/>
          <w:bCs/>
          <w:color w:val="000000"/>
        </w:rPr>
        <w:t>Insights:</w:t>
      </w:r>
    </w:p>
    <w:p w14:paraId="4618FAC6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O grupo de risco alto é o maior do portfólio — supera individualmente todos os outros grupos.</w:t>
      </w:r>
    </w:p>
    <w:p w14:paraId="47596661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Apenas 1 em cada 4 clientes está no perfil de risco baixo.</w:t>
      </w:r>
    </w:p>
    <w:p w14:paraId="4BB97905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Políticas de concessão e cobrança precisam ser revisadas com urgência.</w:t>
      </w:r>
    </w:p>
    <w:p w14:paraId="2564903B" w14:textId="0403A13D" w:rsidR="00B52F72" w:rsidRDefault="00000000">
      <w:pPr>
        <w:pStyle w:val="Ttulo1"/>
      </w:pPr>
      <w:r>
        <w:t xml:space="preserve">2) Dívida </w:t>
      </w:r>
      <w:r w:rsidR="00426B2E">
        <w:t>t</w:t>
      </w:r>
      <w:r>
        <w:t xml:space="preserve">otal como </w:t>
      </w:r>
      <w:r w:rsidR="00426B2E">
        <w:t>p</w:t>
      </w:r>
      <w:r>
        <w:t xml:space="preserve">reditor de </w:t>
      </w:r>
      <w:r w:rsidR="00426B2E">
        <w:t>r</w:t>
      </w:r>
      <w:r>
        <w:t>isco</w:t>
      </w:r>
    </w:p>
    <w:p w14:paraId="1DFDF1FD" w14:textId="77777777" w:rsidR="00B52F72" w:rsidRDefault="00000000">
      <w:pPr>
        <w:spacing w:before="60" w:after="60"/>
        <w:jc w:val="both"/>
      </w:pPr>
      <w:r>
        <w:rPr>
          <w:color w:val="000000"/>
        </w:rPr>
        <w:t>A dívida total é o fator mais determinante para a classificação de risco do portfólio.</w:t>
      </w:r>
    </w:p>
    <w:p w14:paraId="3239467C" w14:textId="77777777" w:rsidR="00B52F72" w:rsidRDefault="00B52F72"/>
    <w:p w14:paraId="5A51D923" w14:textId="77777777" w:rsidR="00B52F72" w:rsidRDefault="00000000">
      <w:pPr>
        <w:spacing w:before="60" w:after="60"/>
        <w:jc w:val="both"/>
      </w:pPr>
      <w:r>
        <w:rPr>
          <w:color w:val="000000"/>
        </w:rPr>
        <w:t>Risco Alto: dívida média R$ 24.027 — relação dívida/renda 2,22x — atrasos médios 12,4 dias</w:t>
      </w:r>
    </w:p>
    <w:p w14:paraId="1104089B" w14:textId="77777777" w:rsidR="00B52F72" w:rsidRDefault="00000000">
      <w:pPr>
        <w:spacing w:before="60" w:after="60"/>
        <w:jc w:val="both"/>
      </w:pPr>
      <w:r>
        <w:rPr>
          <w:color w:val="000000"/>
        </w:rPr>
        <w:t>Risco Médio: dívida média R$ 15.765 — relação dívida/renda 1,38x — atrasos médios 2,6 dias</w:t>
      </w:r>
    </w:p>
    <w:p w14:paraId="62CAE392" w14:textId="77777777" w:rsidR="00B52F72" w:rsidRDefault="00000000">
      <w:pPr>
        <w:spacing w:before="60" w:after="60"/>
        <w:jc w:val="both"/>
      </w:pPr>
      <w:r>
        <w:rPr>
          <w:color w:val="000000"/>
        </w:rPr>
        <w:t>Risco Baixo: dívida média R$ 5.345 — relação dívida/renda 0,48x — atrasos médios 0 dias</w:t>
      </w:r>
    </w:p>
    <w:p w14:paraId="1C8939E6" w14:textId="77777777" w:rsidR="00B52F72" w:rsidRDefault="00B52F72"/>
    <w:p w14:paraId="577EE892" w14:textId="77777777" w:rsidR="00B52F72" w:rsidRDefault="00000000">
      <w:pPr>
        <w:spacing w:before="60" w:after="60"/>
      </w:pPr>
      <w:r>
        <w:rPr>
          <w:b/>
          <w:bCs/>
          <w:color w:val="000000"/>
        </w:rPr>
        <w:t>Insights:</w:t>
      </w:r>
    </w:p>
    <w:p w14:paraId="3AAD15D6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Clientes de risco alto devem em média 4,5x mais que os de risco baixo.</w:t>
      </w:r>
    </w:p>
    <w:p w14:paraId="1D2B82B1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Relação dívida/renda de 2,22x significa mais de dois salários mensais comprometidos com dívidas.</w:t>
      </w:r>
    </w:p>
    <w:p w14:paraId="294192E0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Risco baixo: zero dias de atraso em média. Pontualidade e baixo endividamento caminham juntos.</w:t>
      </w:r>
    </w:p>
    <w:p w14:paraId="53AC554B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Dívida total deve ser a variável prioritária em qualquer modelo de score de crédito.</w:t>
      </w:r>
    </w:p>
    <w:p w14:paraId="155107C0" w14:textId="656915ED" w:rsidR="00B52F72" w:rsidRDefault="00000000">
      <w:pPr>
        <w:pStyle w:val="Ttulo1"/>
      </w:pPr>
      <w:r>
        <w:t xml:space="preserve">3) Risco por </w:t>
      </w:r>
      <w:r w:rsidR="00426B2E">
        <w:t>f</w:t>
      </w:r>
      <w:r>
        <w:t xml:space="preserve">aixa </w:t>
      </w:r>
      <w:r w:rsidR="00426B2E">
        <w:t>e</w:t>
      </w:r>
      <w:r>
        <w:t>tária</w:t>
      </w:r>
    </w:p>
    <w:p w14:paraId="60A2FAA2" w14:textId="77777777" w:rsidR="00B52F72" w:rsidRDefault="00000000">
      <w:pPr>
        <w:spacing w:before="60" w:after="60"/>
        <w:jc w:val="both"/>
      </w:pPr>
      <w:r>
        <w:rPr>
          <w:color w:val="000000"/>
        </w:rPr>
        <w:t>19-30: 159 clientes | Alto 35,8% / Médio 36,5% / Baixo 27,7%</w:t>
      </w:r>
    </w:p>
    <w:p w14:paraId="6776074B" w14:textId="77777777" w:rsidR="00B52F72" w:rsidRDefault="00000000">
      <w:pPr>
        <w:spacing w:before="60" w:after="60"/>
        <w:jc w:val="both"/>
      </w:pPr>
      <w:r>
        <w:rPr>
          <w:color w:val="000000"/>
        </w:rPr>
        <w:t>31-40: 140 clientes | Alto 42,9% / Médio 32,9% / Baixo 24,3%</w:t>
      </w:r>
    </w:p>
    <w:p w14:paraId="3602BE69" w14:textId="77777777" w:rsidR="00B52F72" w:rsidRDefault="00000000">
      <w:pPr>
        <w:spacing w:before="60" w:after="60"/>
        <w:jc w:val="both"/>
      </w:pPr>
      <w:r>
        <w:rPr>
          <w:color w:val="000000"/>
        </w:rPr>
        <w:t>41-50: 149 clientes | Alto 44,3% / Médio 30,2% / Baixo 25,5%</w:t>
      </w:r>
    </w:p>
    <w:p w14:paraId="224F86C8" w14:textId="77777777" w:rsidR="00B52F72" w:rsidRDefault="00000000">
      <w:pPr>
        <w:spacing w:before="60" w:after="60"/>
        <w:jc w:val="both"/>
      </w:pPr>
      <w:r>
        <w:rPr>
          <w:color w:val="000000"/>
        </w:rPr>
        <w:t>51-60: 141 clientes | Alto 39,7% / Médio 35,5% / Baixo 24,8%</w:t>
      </w:r>
    </w:p>
    <w:p w14:paraId="5FF268D1" w14:textId="77777777" w:rsidR="00B52F72" w:rsidRDefault="00000000">
      <w:pPr>
        <w:spacing w:before="60" w:after="60"/>
        <w:jc w:val="both"/>
      </w:pPr>
      <w:r>
        <w:rPr>
          <w:color w:val="000000"/>
        </w:rPr>
        <w:t>61-70: 130 clientes | Alto 33,8% / Médio 42,3% / Baixo 23,8%</w:t>
      </w:r>
    </w:p>
    <w:p w14:paraId="71AC02AC" w14:textId="77777777" w:rsidR="00B52F72" w:rsidRDefault="00000000">
      <w:pPr>
        <w:spacing w:before="60" w:after="60"/>
        <w:jc w:val="both"/>
      </w:pPr>
      <w:r>
        <w:rPr>
          <w:color w:val="000000"/>
        </w:rPr>
        <w:t>71+:   281 clientes | Alto 44,5% / Médio 30,6% / Baixo 24,9%</w:t>
      </w:r>
    </w:p>
    <w:p w14:paraId="6EEF7E23" w14:textId="77777777" w:rsidR="00B52F72" w:rsidRDefault="00B52F72"/>
    <w:p w14:paraId="74C6F614" w14:textId="77777777" w:rsidR="00B52F72" w:rsidRDefault="00000000">
      <w:pPr>
        <w:spacing w:before="60" w:after="60"/>
      </w:pPr>
      <w:r>
        <w:rPr>
          <w:b/>
          <w:bCs/>
          <w:color w:val="000000"/>
        </w:rPr>
        <w:t>Insights:</w:t>
      </w:r>
    </w:p>
    <w:p w14:paraId="0FDB56BA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Faixa 71+ concentra 28,1% de todos os clientes e o maior percentual de risco alto (44,5%) — combinação mais crítica do portfólio.</w:t>
      </w:r>
    </w:p>
    <w:p w14:paraId="6C9AE1FA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Faixa 61-70 tem maior concentração de risco médio (42,3%) — zona de transição, provavelmente em redução de renda pós-aposentadoria.</w:t>
      </w:r>
    </w:p>
    <w:p w14:paraId="0CDC2DCF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Clientes jovens (19-30) apresentam o perfil mais equilibrado entre os grupos numerosos.</w:t>
      </w:r>
    </w:p>
    <w:p w14:paraId="75D60695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Estratégia de crédito segmentada por faixa etária pode reduzir significativamente a exposição da instituição.</w:t>
      </w:r>
    </w:p>
    <w:p w14:paraId="2EC77EA9" w14:textId="5EA58287" w:rsidR="00B52F72" w:rsidRDefault="00000000">
      <w:pPr>
        <w:pStyle w:val="Ttulo1"/>
      </w:pPr>
      <w:r>
        <w:t xml:space="preserve">4) Posse de </w:t>
      </w:r>
      <w:r w:rsidR="00426B2E">
        <w:t>i</w:t>
      </w:r>
      <w:r>
        <w:t xml:space="preserve">móvel e </w:t>
      </w:r>
      <w:r w:rsidR="00426B2E">
        <w:t>v</w:t>
      </w:r>
      <w:r>
        <w:t>eículo</w:t>
      </w:r>
    </w:p>
    <w:p w14:paraId="3652EF0A" w14:textId="77777777" w:rsidR="00B52F72" w:rsidRDefault="00000000">
      <w:pPr>
        <w:spacing w:before="60" w:after="60"/>
        <w:jc w:val="both"/>
      </w:pPr>
      <w:r>
        <w:rPr>
          <w:color w:val="000000"/>
        </w:rPr>
        <w:t>Imóvel: 500 possuem (50%) — 500 não possuem (50%)</w:t>
      </w:r>
    </w:p>
    <w:p w14:paraId="26A91DB6" w14:textId="77777777" w:rsidR="00B52F72" w:rsidRDefault="00000000">
      <w:pPr>
        <w:spacing w:before="60" w:after="60"/>
        <w:jc w:val="both"/>
      </w:pPr>
      <w:r>
        <w:rPr>
          <w:color w:val="000000"/>
        </w:rPr>
        <w:t>Veículo: 493 possuem (49,3%) — 507 não possuem (50,7%)</w:t>
      </w:r>
    </w:p>
    <w:p w14:paraId="40E5A91B" w14:textId="77777777" w:rsidR="00B52F72" w:rsidRDefault="00B52F72"/>
    <w:p w14:paraId="4595506B" w14:textId="77777777" w:rsidR="00B52F72" w:rsidRDefault="00000000">
      <w:pPr>
        <w:spacing w:before="60" w:after="60"/>
        <w:jc w:val="both"/>
      </w:pPr>
      <w:r>
        <w:rPr>
          <w:color w:val="000000"/>
        </w:rPr>
        <w:t>Risco cruzado com posse de imóvel:</w:t>
      </w:r>
    </w:p>
    <w:p w14:paraId="0C3AEA06" w14:textId="77777777" w:rsidR="00B52F72" w:rsidRDefault="00000000">
      <w:pPr>
        <w:spacing w:before="60" w:after="60"/>
        <w:jc w:val="both"/>
      </w:pPr>
      <w:r>
        <w:rPr>
          <w:color w:val="000000"/>
        </w:rPr>
        <w:lastRenderedPageBreak/>
        <w:t>Sem imóvel: Alto 43,2% / Médio 33,4% / Baixo 23,4%</w:t>
      </w:r>
    </w:p>
    <w:p w14:paraId="4B3090CA" w14:textId="77777777" w:rsidR="00B52F72" w:rsidRDefault="00000000">
      <w:pPr>
        <w:spacing w:before="60" w:after="60"/>
        <w:jc w:val="both"/>
      </w:pPr>
      <w:r>
        <w:rPr>
          <w:color w:val="000000"/>
        </w:rPr>
        <w:t>Com imóvel: Alto 38,4% / Médio 34,6% / Baixo 27,0%</w:t>
      </w:r>
    </w:p>
    <w:p w14:paraId="212F8075" w14:textId="77777777" w:rsidR="00B52F72" w:rsidRDefault="00B52F72"/>
    <w:p w14:paraId="365FD1A3" w14:textId="77777777" w:rsidR="00B52F72" w:rsidRDefault="00000000">
      <w:pPr>
        <w:spacing w:before="60" w:after="60"/>
      </w:pPr>
      <w:r>
        <w:rPr>
          <w:b/>
          <w:bCs/>
          <w:color w:val="000000"/>
        </w:rPr>
        <w:t>Insights:</w:t>
      </w:r>
    </w:p>
    <w:p w14:paraId="14FA187C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 xml:space="preserve">Clientes com imóvel apresentam 4,8 </w:t>
      </w:r>
      <w:proofErr w:type="spellStart"/>
      <w:r>
        <w:rPr>
          <w:color w:val="000000"/>
        </w:rPr>
        <w:t>p.p</w:t>
      </w:r>
      <w:proofErr w:type="spellEnd"/>
      <w:r>
        <w:rPr>
          <w:color w:val="000000"/>
        </w:rPr>
        <w:t xml:space="preserve">. a menos de risco alto — diferença </w:t>
      </w:r>
      <w:proofErr w:type="gramStart"/>
      <w:r>
        <w:rPr>
          <w:color w:val="000000"/>
        </w:rPr>
        <w:t>pequena</w:t>
      </w:r>
      <w:proofErr w:type="gramEnd"/>
      <w:r>
        <w:rPr>
          <w:color w:val="000000"/>
        </w:rPr>
        <w:t xml:space="preserve"> mas consistente.</w:t>
      </w:r>
    </w:p>
    <w:p w14:paraId="5989FE59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Posse de imóvel não é preditor forte isoladamente. Usar como garantia em operações de crédito, não como critério de classificação.</w:t>
      </w:r>
    </w:p>
    <w:p w14:paraId="1DEF8A1B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Distribuição 50/50 indica que esse critério não foi determinante na concessão de crédito até o momento.</w:t>
      </w:r>
    </w:p>
    <w:p w14:paraId="77404860" w14:textId="66B9222E" w:rsidR="00B52F72" w:rsidRDefault="00426B2E">
      <w:pPr>
        <w:pStyle w:val="Ttulo1"/>
      </w:pPr>
      <w:r>
        <w:t>5</w:t>
      </w:r>
      <w:r w:rsidR="00000000">
        <w:t xml:space="preserve">) Considerações </w:t>
      </w:r>
      <w:r>
        <w:t>f</w:t>
      </w:r>
      <w:r w:rsidR="00000000">
        <w:t>inais</w:t>
      </w:r>
    </w:p>
    <w:p w14:paraId="78258382" w14:textId="77777777" w:rsidR="00B52F72" w:rsidRDefault="00000000">
      <w:pPr>
        <w:spacing w:before="60" w:after="60"/>
        <w:jc w:val="both"/>
      </w:pPr>
      <w:r>
        <w:rPr>
          <w:color w:val="000000"/>
        </w:rPr>
        <w:t>75% dos clientes estão em risco médio ou alto. O banco possui dados suficientes para construir um modelo de score de crédito eficiente. As variáveis prioritárias são:</w:t>
      </w:r>
    </w:p>
    <w:p w14:paraId="5232FD26" w14:textId="77777777" w:rsidR="00B52F72" w:rsidRDefault="00B52F72"/>
    <w:p w14:paraId="09267C71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Dívida total — maior poder discriminatório entre grupos</w:t>
      </w:r>
    </w:p>
    <w:p w14:paraId="2480A22A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Relação dívida/renda — complementa a dívida com contexto de capacidade de pagamento</w:t>
      </w:r>
    </w:p>
    <w:p w14:paraId="75D9F80D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Histórico de atrasos — indicador direto de comportamento de pagamento</w:t>
      </w:r>
    </w:p>
    <w:p w14:paraId="460DFFE9" w14:textId="77777777" w:rsidR="00B52F72" w:rsidRDefault="00000000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Faixa etária — especialmente relevante para o segmento 71+</w:t>
      </w:r>
    </w:p>
    <w:p w14:paraId="221F6AC8" w14:textId="77777777" w:rsidR="00B52F72" w:rsidRDefault="00B52F72"/>
    <w:p w14:paraId="2A504C08" w14:textId="77777777" w:rsidR="00B52F72" w:rsidRDefault="00000000">
      <w:pPr>
        <w:spacing w:before="60" w:after="60"/>
        <w:jc w:val="both"/>
      </w:pPr>
      <w:r>
        <w:rPr>
          <w:color w:val="000000"/>
        </w:rPr>
        <w:t xml:space="preserve">Com essas variáveis bem calibradas, a </w:t>
      </w:r>
      <w:proofErr w:type="spellStart"/>
      <w:r>
        <w:rPr>
          <w:color w:val="000000"/>
        </w:rPr>
        <w:t>BancoBox</w:t>
      </w:r>
      <w:proofErr w:type="spellEnd"/>
      <w:r>
        <w:rPr>
          <w:color w:val="000000"/>
        </w:rPr>
        <w:t xml:space="preserve"> tem condições de reduzir a concentração de risco alto, melhorar a rentabilidade ajustada ao risco e aumentar a eficiência das políticas de cobrança.</w:t>
      </w:r>
    </w:p>
    <w:sectPr w:rsidR="00B52F72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713"/>
    <w:multiLevelType w:val="hybridMultilevel"/>
    <w:tmpl w:val="110E9020"/>
    <w:lvl w:ilvl="0" w:tplc="A40A7B4C">
      <w:start w:val="1"/>
      <w:numFmt w:val="bullet"/>
      <w:lvlText w:val="-"/>
      <w:lvlJc w:val="left"/>
      <w:pPr>
        <w:ind w:left="720" w:hanging="360"/>
      </w:pPr>
    </w:lvl>
    <w:lvl w:ilvl="1" w:tplc="A1CA59E2">
      <w:numFmt w:val="decimal"/>
      <w:lvlText w:val=""/>
      <w:lvlJc w:val="left"/>
    </w:lvl>
    <w:lvl w:ilvl="2" w:tplc="BF5EEDD6">
      <w:numFmt w:val="decimal"/>
      <w:lvlText w:val=""/>
      <w:lvlJc w:val="left"/>
    </w:lvl>
    <w:lvl w:ilvl="3" w:tplc="D04692C0">
      <w:numFmt w:val="decimal"/>
      <w:lvlText w:val=""/>
      <w:lvlJc w:val="left"/>
    </w:lvl>
    <w:lvl w:ilvl="4" w:tplc="4F7CC06A">
      <w:numFmt w:val="decimal"/>
      <w:lvlText w:val=""/>
      <w:lvlJc w:val="left"/>
    </w:lvl>
    <w:lvl w:ilvl="5" w:tplc="5E30D79C">
      <w:numFmt w:val="decimal"/>
      <w:lvlText w:val=""/>
      <w:lvlJc w:val="left"/>
    </w:lvl>
    <w:lvl w:ilvl="6" w:tplc="384E5F08">
      <w:numFmt w:val="decimal"/>
      <w:lvlText w:val=""/>
      <w:lvlJc w:val="left"/>
    </w:lvl>
    <w:lvl w:ilvl="7" w:tplc="2E6EA2D6">
      <w:numFmt w:val="decimal"/>
      <w:lvlText w:val=""/>
      <w:lvlJc w:val="left"/>
    </w:lvl>
    <w:lvl w:ilvl="8" w:tplc="6ED4150A">
      <w:numFmt w:val="decimal"/>
      <w:lvlText w:val=""/>
      <w:lvlJc w:val="left"/>
    </w:lvl>
  </w:abstractNum>
  <w:abstractNum w:abstractNumId="1" w15:restartNumberingAfterBreak="0">
    <w:nsid w:val="4ADC1D75"/>
    <w:multiLevelType w:val="hybridMultilevel"/>
    <w:tmpl w:val="0D8ADAB4"/>
    <w:lvl w:ilvl="0" w:tplc="D3AE4988">
      <w:start w:val="1"/>
      <w:numFmt w:val="bullet"/>
      <w:lvlText w:val="●"/>
      <w:lvlJc w:val="left"/>
      <w:pPr>
        <w:ind w:left="720" w:hanging="360"/>
      </w:pPr>
    </w:lvl>
    <w:lvl w:ilvl="1" w:tplc="3612E07C">
      <w:start w:val="1"/>
      <w:numFmt w:val="bullet"/>
      <w:lvlText w:val="○"/>
      <w:lvlJc w:val="left"/>
      <w:pPr>
        <w:ind w:left="1440" w:hanging="360"/>
      </w:pPr>
    </w:lvl>
    <w:lvl w:ilvl="2" w:tplc="B22A952E">
      <w:start w:val="1"/>
      <w:numFmt w:val="bullet"/>
      <w:lvlText w:val="■"/>
      <w:lvlJc w:val="left"/>
      <w:pPr>
        <w:ind w:left="2160" w:hanging="360"/>
      </w:pPr>
    </w:lvl>
    <w:lvl w:ilvl="3" w:tplc="852C60C0">
      <w:start w:val="1"/>
      <w:numFmt w:val="bullet"/>
      <w:lvlText w:val="●"/>
      <w:lvlJc w:val="left"/>
      <w:pPr>
        <w:ind w:left="2880" w:hanging="360"/>
      </w:pPr>
    </w:lvl>
    <w:lvl w:ilvl="4" w:tplc="3532376C">
      <w:start w:val="1"/>
      <w:numFmt w:val="bullet"/>
      <w:lvlText w:val="○"/>
      <w:lvlJc w:val="left"/>
      <w:pPr>
        <w:ind w:left="3600" w:hanging="360"/>
      </w:pPr>
    </w:lvl>
    <w:lvl w:ilvl="5" w:tplc="880236EE">
      <w:start w:val="1"/>
      <w:numFmt w:val="bullet"/>
      <w:lvlText w:val="■"/>
      <w:lvlJc w:val="left"/>
      <w:pPr>
        <w:ind w:left="4320" w:hanging="360"/>
      </w:pPr>
    </w:lvl>
    <w:lvl w:ilvl="6" w:tplc="C544392A">
      <w:start w:val="1"/>
      <w:numFmt w:val="bullet"/>
      <w:lvlText w:val="●"/>
      <w:lvlJc w:val="left"/>
      <w:pPr>
        <w:ind w:left="5040" w:hanging="360"/>
      </w:pPr>
    </w:lvl>
    <w:lvl w:ilvl="7" w:tplc="4A4CC776">
      <w:start w:val="1"/>
      <w:numFmt w:val="bullet"/>
      <w:lvlText w:val="●"/>
      <w:lvlJc w:val="left"/>
      <w:pPr>
        <w:ind w:left="5760" w:hanging="360"/>
      </w:pPr>
    </w:lvl>
    <w:lvl w:ilvl="8" w:tplc="93361E90">
      <w:start w:val="1"/>
      <w:numFmt w:val="bullet"/>
      <w:lvlText w:val="●"/>
      <w:lvlJc w:val="left"/>
      <w:pPr>
        <w:ind w:left="6480" w:hanging="360"/>
      </w:pPr>
    </w:lvl>
  </w:abstractNum>
  <w:num w:numId="1" w16cid:durableId="971404160">
    <w:abstractNumId w:val="1"/>
    <w:lvlOverride w:ilvl="0">
      <w:startOverride w:val="1"/>
    </w:lvlOverride>
  </w:num>
  <w:num w:numId="2" w16cid:durableId="384186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72"/>
    <w:rsid w:val="00426B2E"/>
    <w:rsid w:val="009130DE"/>
    <w:rsid w:val="00B5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52AF"/>
  <w15:docId w15:val="{ABE2E413-391B-40E8-A234-24982326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000000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 Barcia Viana</cp:lastModifiedBy>
  <cp:revision>2</cp:revision>
  <dcterms:created xsi:type="dcterms:W3CDTF">2026-03-21T22:02:00Z</dcterms:created>
  <dcterms:modified xsi:type="dcterms:W3CDTF">2026-03-21T22:06:00Z</dcterms:modified>
</cp:coreProperties>
</file>