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sz w:val="32"/>
          <w:szCs w:val="32"/>
        </w:rPr>
        <w:t>DevForge — Documento da Entrega II (v1.0)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sz w:val="20"/>
          <w:szCs w:val="20"/>
        </w:rPr>
        <w:t>Seções novas/revisadas conforme o template v2023v3 e o modelo do orientador. Os demais capítulos permanecem inalterados.</w:t>
      </w:r>
    </w:p>
    <w:p>
      <w:pPr>
        <w:pStyle w:val="Heading1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CAPÍTULO 3 - ESPECIFICAÇÃO DO PROJETO</w:t>
      </w:r>
    </w:p>
    <w:p>
      <w:pPr>
        <w:pStyle w:val="Heading2"/>
        <w:spacing w:before="220" w:after="110"/>
        <w:rPr/>
      </w:pPr>
      <w:r>
        <w:rPr>
          <w:rFonts w:eastAsia="Arial" w:cs="Arial" w:ascii="Arial" w:hAnsi="Arial"/>
          <w:b/>
          <w:bCs/>
          <w:sz w:val="26"/>
          <w:szCs w:val="26"/>
        </w:rPr>
        <w:t>3.3 Especificação da Solução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O DevForge é um jogo sério de apoio ao ensino de Lógica de Programação para iniciantes. O Quadro 3-1 especifica a solução: nome, tecnologias, tema de Engenharia de Software, história, objetivos, inspirações e, com destaque, o mapeamento entre os resultados de aprendizagem, os temas de estudo da disciplina de Raciocínio Algorítmico e as mecânicas de jogo associadas.</w:t>
      </w:r>
    </w:p>
    <w:tbl>
      <w:tblPr>
        <w:tblW w:w="90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00"/>
        <w:gridCol w:w="6700"/>
      </w:tblGrid>
      <w:tr>
        <w:trPr/>
        <w:tc>
          <w:tcPr>
            <w:tcW w:w="2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6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Conteúdo</w:t>
            </w:r>
          </w:p>
        </w:tc>
      </w:tr>
      <w:tr>
        <w:trPr>
          <w:trHeight w:val="446" w:hRule="atLeast"/>
        </w:trPr>
        <w:tc>
          <w:tcPr>
            <w:tcW w:w="2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Nome do Jogo</w:t>
            </w:r>
          </w:p>
        </w:tc>
        <w:tc>
          <w:tcPr>
            <w:tcW w:w="6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 xml:space="preserve">DevForge </w:t>
            </w:r>
          </w:p>
        </w:tc>
      </w:tr>
      <w:tr>
        <w:trPr/>
        <w:tc>
          <w:tcPr>
            <w:tcW w:w="2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Tecnologias utilizadas</w:t>
            </w:r>
          </w:p>
        </w:tc>
        <w:tc>
          <w:tcPr>
            <w:tcW w:w="6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React 18, Vite e JavaScript (ES Modules); HTML e CSS mínimo; Vitest (testes automatizados); Git e GitHub (versionamento); Azure Static Web Apps (hospedagem e CI/CD). Planejadas: Firebase Auth e Firestore (login e progresso), API da Anthropic consumida por um backend próprio (feedback por IA) e Gemini (geração da arte da narrativa).</w:t>
            </w:r>
          </w:p>
        </w:tc>
      </w:tr>
      <w:tr>
        <w:trPr/>
        <w:tc>
          <w:tcPr>
            <w:tcW w:w="2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Tema da Engenharia de Software</w:t>
            </w:r>
          </w:p>
        </w:tc>
        <w:tc>
          <w:tcPr>
            <w:tcW w:w="6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Lógica de Programação / Raciocínio Algorítmico: algoritmos, variáveis e tipos de dados, expressões lógico-aritmético-relacionais, estruturas de controle (seleção e repetição), estruturas de dados homogêneas (vetores e matrizes) e funções. Soma-se a Engenharia de Software aplicada ao próprio código: boas práticas, verificação e validação (testes) e versionamento.</w:t>
            </w:r>
          </w:p>
        </w:tc>
      </w:tr>
      <w:tr>
        <w:trPr/>
        <w:tc>
          <w:tcPr>
            <w:tcW w:w="2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História do Jogo</w:t>
            </w:r>
          </w:p>
        </w:tc>
        <w:tc>
          <w:tcPr>
            <w:tcW w:w="6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 jogador encarna uma Inteligência Artificial em processo de certificação no laboratório DevForge. Cada trilha de exercícios é uma bateria de testes em que a IA prova que raciocina.</w:t>
            </w:r>
          </w:p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Um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a IA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 xml:space="preserve"> Rival surge sempre com 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planos trapaceiros para roubar destaque do jogador, afim de agradar ao Chef da empreaa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 xml:space="preserve">. Guiado pela suporte Lari , que 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Guia o jogador pelos testes e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 xml:space="preserve"> oferece dicas em troca de energia, o jogador decide superar o Rival pelo mérito do esforço e da qualidade do código, trilha após trilha. A mensagem de fundo é a ética da Engenharia de Software: honestidade, esforço e qualidade valem mais que um número inflado.</w:t>
            </w:r>
          </w:p>
        </w:tc>
      </w:tr>
      <w:tr>
        <w:trPr/>
        <w:tc>
          <w:tcPr>
            <w:tcW w:w="2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Objetivos do Jogo</w:t>
            </w:r>
          </w:p>
        </w:tc>
        <w:tc>
          <w:tcPr>
            <w:tcW w:w="6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Progredir por trilhas temáticas de dificuldade crescente que reconstroem, em ordem pedagógica.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Compreender antes de escrever: cada conceito é primeiro lido (prever a saída, achar o erro, escolher) e só depois escrito (preencher lacuna, reordenar), espelhando projetar e implementar.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Resolver exercícios de sete tipos (múltipla escolha, lacuna, prever a saída, achar o erro, associação, casos contrastantes e Parsons), com correção local e feedback progressivo ao errar.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Sustentar a motivação e a retenção com energia, streak, XP e narrativa, no modelo do Duolingo, sem cair no efeito de superjustificação.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Encerrar a jornada aplicando Engenharia de Software ao próprio código e, no projeto final, submetendo o código ao GitHub para avaliação assistida por IA.</w:t>
            </w:r>
          </w:p>
        </w:tc>
      </w:tr>
      <w:tr>
        <w:trPr/>
        <w:tc>
          <w:tcPr>
            <w:tcW w:w="2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Inspirações</w:t>
            </w:r>
          </w:p>
        </w:tc>
        <w:tc>
          <w:tcPr>
            <w:tcW w:w="6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(Ainda em definição; referências já levantadas pela equipe.)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Duolingo — principal referência de retenção e gamificação: trilha linear, só avança ao acertar, energia/vidas, streak, XP e sessões curtas.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CodeMonkey — bom ponto de partida lúdico para iniciantes, porém linear e simplificado demais; serve de contraponto do que evitar.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CodinGame — desafios realistas e técnicos, mas densos e competitivos demais para iniciantes absolutos; mostra o excesso oposto.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SoloLearn, Codecademy e Khan Academy — ensino de programação em microlições interativas com trilha de progresso.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LeetCode e Exercism — exercícios de código com verificação automática; referência para a avaliação do projeto final.</w:t>
            </w:r>
          </w:p>
        </w:tc>
      </w:tr>
    </w:tbl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sz w:val="20"/>
          <w:szCs w:val="20"/>
        </w:rPr>
        <w:t>Quadro 3-1. Especificação do jogo. Fonte: os Autores.</w:t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A trilha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1 é inspirada na materia de Raciocio Algoritimo que os autores estudaram no primeiro semestre da faculdade, se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 decomp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ondo em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 os dois Resultados de Aprendizagem — RA1 (projetar solução algorítmica com pensamento computacional) e RA2 (implementar programa respeitando boas práticas) — em resultados granulares por trilha, cada um ancorado num Tema de Estudo (TE) da ementa e numa mecânica de jogo. O Quadro 3-2 apresenta esse mapeamento.</w:t>
      </w:r>
    </w:p>
    <w:tbl>
      <w:tblPr>
        <w:tblW w:w="90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49"/>
        <w:gridCol w:w="3451"/>
        <w:gridCol w:w="2199"/>
        <w:gridCol w:w="2601"/>
      </w:tblGrid>
      <w:tr>
        <w:trPr>
          <w:tblHeader w:val="true"/>
        </w:trPr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Resultado de Aprendizagem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Tema de Estudo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Mecânica do Jogo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RA-T1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Ler e prever a execução de um programa linear (print e atribuições), raciocinando linha a linha (RA1).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TE1 — Algoritmos, variáveis e saída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"Leitura de Código": prever a saída e Parsons; XP cheio no início e só avança ao acertar.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RA-T2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Reconhecer tipos de dados e o efeito de atribuições e conversões (int, float, str, bool) (RA1, RA2).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TE1 — Variáveis e tipos de dados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"Tipos de Dados": associação com distratores e achar o erro; coloração só no acerto.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RA-T3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Avaliar expressões aritméticas respeitando precedência e os operadores //, % e ** (RA1).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TE1 — Operações aritméticas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"Operadores Aritméticos": prever a saída e Parsons de cálculo; dica progressiva.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RA-T4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Avaliar e combinar expressões relacionais e lógicas (and, or, not) (RA1).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TE1 — Operações relacionais e lógicas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"Verdadeiro ou Falso": associação e casos contrastantes; dica reforçada nos pontos de confusão.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RA-T5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Construir e prever estruturas de seleção (if/elif/else) que classificam um valor em faixas (RA1, RA2).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TE2 — Estruturas de seleção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"Condições": Parsons, lacuna e contraste elif vs. if; perda de energia a partir do 3º erro.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RA-T6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Usar estruturas de repetição (while, for, range) com contador e acumulador (RA1, RA2).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TE2 — Estruturas de repetição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"Repetição": prever iterações, achar laço infinito e Parsons; bônus de streak nos picos.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RA-T7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Indexar e percorrer listas e matrizes (len, índice, laço aninhado) (RA1, RA2).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TE3 — Vetores, listas e matrizes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"Listas e Matrizes": achar erro de índice e Parsons de soma; dica liberada mais cedo (maior carga).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RA-T8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Definir e chamar funções, distinguir return de print e modularizar um problema (RA2).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TE4 — Funções e modularização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"Funções": Parsons, lacuna (def) e contraste return vs. print.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RA-T9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Avaliar a qualidade do código e associar casos de teste a requisitos (verificação e validação) (RA2).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TE5 — Boas práticas e ES aplicada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"Boas Práticas e Testes": casos contrastantes de legibilidade/DRY e associação teste ↔ requisito.</w:t>
            </w:r>
          </w:p>
        </w:tc>
      </w:tr>
      <w:tr>
        <w:trPr/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RA-T10</w:t>
            </w:r>
          </w:p>
        </w:tc>
        <w:tc>
          <w:tcPr>
            <w:tcW w:w="34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Resolver um problema completo em Python, versioná-lo no GitHub e receber feedback da IA sobre o código (RA1, RA2).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Integrador (TE1 a TE5)</w:t>
            </w:r>
          </w:p>
        </w:tc>
        <w:tc>
          <w:tcPr>
            <w:tcW w:w="26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Trilha "Projeto Final": resposta aberta avaliada por IA sob rubrica (human-in-the-loop); energia tolerante e conquista.</w:t>
            </w:r>
          </w:p>
        </w:tc>
      </w:tr>
    </w:tbl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sz w:val="20"/>
          <w:szCs w:val="20"/>
        </w:rPr>
        <w:t>Quadro 3-2. Resultados de aprendizagem, temas de estudo e mecânicas de jogo. Fonte: os Autores.</w:t>
      </w:r>
    </w:p>
    <w:p>
      <w:pPr>
        <w:pStyle w:val="Heading2"/>
        <w:spacing w:before="220" w:after="110"/>
        <w:rPr/>
      </w:pPr>
      <w:r>
        <w:rPr>
          <w:rFonts w:eastAsia="Arial" w:cs="Arial" w:ascii="Arial" w:hAnsi="Arial"/>
          <w:b/>
          <w:bCs/>
          <w:sz w:val="26"/>
          <w:szCs w:val="26"/>
        </w:rPr>
        <w:t>3.4 Considerações sobre o Capítulo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Este capítulo especificou a solução proposta pelo DevForge sob a ótica do usuário e do produto. Foram apresentadas as personas que representam o público iniciante (3.1), os requisitos funcionais que delimitam o escopo da plataforma (3.2) e a especificação do jogo (3.3), na qual se detalharam o tema de Engenharia de Software abordado, a narrativa, os objetivos, as inspirações e — com destaque — o mapeamento entre os resultados de aprendizagem, os temas de estudo da disciplina de Raciocínio Algorítmico e as mecânicas de jogo associadas. Esse mapeamento garante que a gamificação esteja a serviço da aprendizagem, e não o contrário, mantendo a dificuldade crescente e o princípio de compreender antes de escrever. O capítulo seguinte descreve como a ferramenta será validada junto ao público-alvo.</w:t>
      </w:r>
    </w:p>
    <w:p>
      <w:pPr>
        <w:pStyle w:val="Heading1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CAPÍTULO 4 - VALIDAÇÃO DA FERRAMENTA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A validação da ferramenta tem como objetivo verificar se os objetivos educacionais propostos foram alcançados de maneira eficaz, por meio de um processo sistemático de avaliação. Para isso, adota-se o modelo MEEGA+ (Model for the Evaluation of Educational Games), proposto por Petri, von Wangenheim e Borgatto (2018), amplamente reconhecido na avaliação de jogos educacionais, por medir de forma estruturada a experiência do jogador e a aprendizagem percebida.</w:t>
      </w:r>
    </w:p>
    <w:p>
      <w:pPr>
        <w:pStyle w:val="Heading2"/>
        <w:spacing w:before="220" w:after="110"/>
        <w:rPr/>
      </w:pPr>
      <w:r>
        <w:rPr>
          <w:rFonts w:eastAsia="Arial" w:cs="Arial" w:ascii="Arial" w:hAnsi="Arial"/>
          <w:b/>
          <w:bCs/>
          <w:sz w:val="26"/>
          <w:szCs w:val="26"/>
        </w:rPr>
        <w:t>4.1 Ambiente necessário para validação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O DevForge é uma aplicação web e acessível por link no navegador. Essa abordagem garante compatibilidade e independência de sistema operacional, permitindo que os alunos realizem a validação em seus próprios dispositivos, inclusive nos laboratórios da universidade, sem instalação local. O Quadro 4-1 traz os requisitos mínimos do ambiente do usuário.</w:t>
      </w:r>
    </w:p>
    <w:tbl>
      <w:tblPr>
        <w:tblW w:w="90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799"/>
        <w:gridCol w:w="6201"/>
      </w:tblGrid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Requisito mínimo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Dispositivo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Notebook, computador ou dispositivo móvel com navegador.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Sistema operacional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Windows, Linux, macOS, Android ou iOS.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Navegador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Chrome, Firefox, Edge, Safari ou Opera em versões recentes, com suporte a JavaScript (ES Modules).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Memória RAM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4 GB.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Conexão com internet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 xml:space="preserve">Necessária para 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todas as funções</w:t>
            </w:r>
          </w:p>
        </w:tc>
      </w:tr>
    </w:tbl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sz w:val="20"/>
          <w:szCs w:val="20"/>
        </w:rPr>
        <w:t>Quadro 4-1. Ambiente do usuário (requisitos mínimos). Fonte: os Autores.</w:t>
      </w:r>
    </w:p>
    <w:p>
      <w:pPr>
        <w:pStyle w:val="Heading2"/>
        <w:spacing w:before="220" w:after="110"/>
        <w:rPr/>
      </w:pPr>
      <w:r>
        <w:rPr>
          <w:rFonts w:eastAsia="Arial" w:cs="Arial" w:ascii="Arial" w:hAnsi="Arial"/>
          <w:b/>
          <w:bCs/>
          <w:sz w:val="26"/>
          <w:szCs w:val="26"/>
        </w:rPr>
        <w:t>4.2 Condições para iniciar a validação</w:t>
      </w:r>
    </w:p>
    <w:p>
      <w:pPr>
        <w:pStyle w:val="Normal"/>
        <w:spacing w:lineRule="auto" w:line="360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Antes de iniciar a validação, serão realizados os seguintes preparativos: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>
          <w:rFonts w:eastAsia="Arial" w:cs="Arial"/>
          <w:sz w:val="24"/>
          <w:szCs w:val="24"/>
        </w:rPr>
        <w:t>Publicação do protótipo (Bloco de Lógica, com a abertura narrativa e a Trilha 1 — Leitura de Código) em uma URL pública.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>
          <w:rFonts w:eastAsia="Arial" w:cs="Arial"/>
          <w:sz w:val="24"/>
          <w:szCs w:val="24"/>
        </w:rPr>
        <w:t>Criação de um formulário de avaliação estruturado, baseado no modelo MEEGA+, para coletar o feedback dos participantes.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>
          <w:rFonts w:eastAsia="Arial" w:cs="Arial"/>
          <w:sz w:val="24"/>
          <w:szCs w:val="24"/>
        </w:rPr>
        <w:t>Seleção dos participantes: no mínimo 10 alunos de graduação da área de computação que cursam ou já cursaram Raciocínio Algorítmico / lógica de programação — público representado pelas personas Pedro, Letícia e Marcelo.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>
          <w:rFonts w:eastAsia="Arial" w:cs="Arial"/>
          <w:sz w:val="24"/>
          <w:szCs w:val="24"/>
        </w:rPr>
        <w:t>Termo de consentimento livre e esclarecido, garantindo o uso ético das respostas, em linha com a Declaração de Uso de IA da disciplina.</w:t>
      </w:r>
    </w:p>
    <w:p>
      <w:pPr>
        <w:pStyle w:val="Heading2"/>
        <w:spacing w:before="220" w:after="110"/>
        <w:rPr/>
      </w:pPr>
      <w:r>
        <w:rPr>
          <w:rFonts w:eastAsia="Arial" w:cs="Arial" w:ascii="Arial" w:hAnsi="Arial"/>
          <w:b/>
          <w:bCs/>
          <w:sz w:val="26"/>
          <w:szCs w:val="26"/>
        </w:rPr>
        <w:t>4.3 Procedimentos para realizar a validação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A validação ocorrerá de forma presencial (nos laboratórios da PUCPR, com computadores e internet) ou remotamente, conforme a disponibilidade da instituição, seguindo as etapas do Quadro 4-2.</w:t>
      </w:r>
    </w:p>
    <w:tbl>
      <w:tblPr>
        <w:tblW w:w="90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799"/>
        <w:gridCol w:w="6201"/>
      </w:tblGrid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Abertura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Apresentação do projeto e explicação dos objetivos da avaliação.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Execução do jogo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Os participantes acessam a versão web e percorrem a abertura narrativa e a Trilha 1, com energia, dicas progressivas, streak e XP, por tempo livre. Durante a sessão nenhuma ajuda adicional é oferecida, para não interferir na percepção individual de aprendizado e usabilidade.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Preenchimento do formulário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Após a sessão, os alunos preenchem um questionário digital baseado no MEEGA+, abordando: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Clareza da proposta educacional (entendimento dos objetivos do jogo).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Engajamento e motivação (interesse, satisfação e imersão).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Qualidade da interface e usabilidade (facilidade de uso, navegação e clareza das instruções).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20"/>
              <w:jc w:val="start"/>
              <w:rPr/>
            </w:pPr>
            <w:r>
              <w:rPr>
                <w:rFonts w:eastAsia="Arial" w:cs="Arial"/>
                <w:sz w:val="22"/>
                <w:szCs w:val="22"/>
              </w:rPr>
              <w:t>Aprendizagem percebida (o quanto o aluno acredita ter aprendido).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Observação (presencial)</w:t>
            </w:r>
          </w:p>
        </w:tc>
        <w:tc>
          <w:tcPr>
            <w:tcW w:w="6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76" w:before="0" w:after="4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Quando presencial, registro de comportamentos espontâneos (expressões, comentários, dificuldades técnicas) como apoio qualitativo à análise.</w:t>
            </w:r>
          </w:p>
        </w:tc>
      </w:tr>
    </w:tbl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sz w:val="20"/>
          <w:szCs w:val="20"/>
        </w:rPr>
        <w:t>Quadro 4-2. Etapas de validação. Fonte: os Autores.</w:t>
      </w:r>
    </w:p>
    <w:p>
      <w:pPr>
        <w:pStyle w:val="Heading2"/>
        <w:spacing w:before="220" w:after="110"/>
        <w:rPr/>
      </w:pPr>
      <w:r>
        <w:rPr>
          <w:rFonts w:eastAsia="Arial" w:cs="Arial" w:ascii="Arial" w:hAnsi="Arial"/>
          <w:b/>
          <w:bCs/>
          <w:sz w:val="26"/>
          <w:szCs w:val="26"/>
        </w:rPr>
        <w:t>4.4 Procedimentos para analisar os resultados</w:t>
      </w:r>
    </w:p>
    <w:p>
      <w:pPr>
        <w:pStyle w:val="Normal"/>
        <w:spacing w:lineRule="auto" w:line="360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A análise seguirá as diretrizes do modelo MEEGA+, considerando três dimensões principais: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>
          <w:rFonts w:eastAsia="Arial" w:cs="Arial"/>
          <w:sz w:val="24"/>
          <w:szCs w:val="24"/>
        </w:rPr>
        <w:t>Engajamento: grau de motivação, interesse e envolvimento do aluno durante o uso do jogo.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>
          <w:rFonts w:eastAsia="Arial" w:cs="Arial"/>
          <w:sz w:val="24"/>
          <w:szCs w:val="24"/>
        </w:rPr>
        <w:t>Aprendizagem percebida: compreensão declarada dos conceitos de lógica abordados, segundo a percepção dos participantes.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>
          <w:rFonts w:eastAsia="Arial" w:cs="Arial"/>
          <w:sz w:val="24"/>
          <w:szCs w:val="24"/>
        </w:rPr>
        <w:t>Qualidade do jogo: clareza das instruções, usabilidade, interatividade e adequação da proposta educacional.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Os dados quantitativos (respostas ao questionário) serão organizados em gráficos e tabelas, permitindo identificar padrões; os comentários abertos (qualitativos) serão analisados por categorias, auxiliando a identificar melhorias e pontos fortes. Ao final, far-se-á a correlação entre os objetivos pedagógicos estabelecidos (os resultados de aprendizagem da Trilha 1, apresentados no Quadro 3-2) e os resultados obtidos, de modo a verificar se o protótipo atende suas metas educacionais e pode ser usado como ferramenta complementar de ensino.</w:t>
      </w:r>
    </w:p>
    <w:p>
      <w:pPr>
        <w:pStyle w:val="Heading1"/>
        <w:spacing w:before="280" w:after="140"/>
        <w:rPr>
          <w:rFonts w:ascii="Arial" w:hAnsi="Arial" w:eastAsia="Arial" w:cs="Arial"/>
          <w:b w:val="false"/>
          <w:bCs w:val="false"/>
          <w:i w:val="false"/>
          <w:iCs w:val="false"/>
          <w:sz w:val="24"/>
          <w:szCs w:val="24"/>
        </w:rPr>
      </w:pPr>
      <w:r>
        <w:rPr/>
      </w:r>
    </w:p>
    <w:sectPr>
      <w:type w:val="nextPage"/>
      <w:pgSz w:w="11906" w:h="16838"/>
      <w:pgMar w:left="1700" w:right="1134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LibreOffice/26.8.0.3$Windows_X86_64 LibreOffice_project/bce0998afefdbc355585ca324285661a2170ba77</Application>
  <AppVersion>15.0000</AppVersion>
  <Pages>6</Pages>
  <Words>1715</Words>
  <Characters>9834</Characters>
  <CharactersWithSpaces>11426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2026-10-24T17:47:12Z</dcterms:created>
  <dc:creator>Un-named</dc:creator>
  <dc:description/>
  <dc:language>pt-BR</dc:language>
  <cp:lastModifiedBy/>
  <dcterms:modified xsi:type="dcterms:W3CDTF">2026-10-24T15:23:23Z</dcterms:modified>
  <cp:revision>2</cp:revision>
  <dc:subject/>
  <dc:title/>
</cp:coreProperties>
</file>