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bookmarkStart w:colFirst="0" w:colLast="0" w:name="_heading=h.8yyldq3ifjjn" w:id="0"/>
      <w:bookmarkEnd w:id="0"/>
      <w:r w:rsidDel="00000000" w:rsidR="00000000" w:rsidRPr="00000000">
        <w:rPr>
          <w:rFonts w:ascii="Arial" w:cs="Arial" w:eastAsia="Arial" w:hAnsi="Arial"/>
          <w:sz w:val="32"/>
          <w:szCs w:val="32"/>
          <w:rtl w:val="0"/>
        </w:rPr>
        <w:t xml:space="preserve">DAVI NOEL MARTINS MUNDT</w:t>
      </w:r>
    </w:p>
    <w:p w:rsidR="00000000" w:rsidDel="00000000" w:rsidP="00000000" w:rsidRDefault="00000000" w:rsidRPr="00000000" w14:paraId="00000002">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bookmarkStart w:colFirst="0" w:colLast="0" w:name="_heading=h.d62qlg8uuu23" w:id="1"/>
      <w:bookmarkEnd w:id="1"/>
      <w:r w:rsidDel="00000000" w:rsidR="00000000" w:rsidRPr="00000000">
        <w:rPr>
          <w:rFonts w:ascii="Arial" w:cs="Arial" w:eastAsia="Arial" w:hAnsi="Arial"/>
          <w:sz w:val="32"/>
          <w:szCs w:val="32"/>
          <w:rtl w:val="0"/>
        </w:rPr>
        <w:t xml:space="preserve">GIOVANI TORTATO</w:t>
      </w:r>
    </w:p>
    <w:p w:rsidR="00000000" w:rsidDel="00000000" w:rsidP="00000000" w:rsidRDefault="00000000" w:rsidRPr="00000000" w14:paraId="00000003">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bookmarkStart w:colFirst="0" w:colLast="0" w:name="_heading=h.6fpxzviokop2" w:id="2"/>
      <w:bookmarkEnd w:id="2"/>
      <w:r w:rsidDel="00000000" w:rsidR="00000000" w:rsidRPr="00000000">
        <w:rPr>
          <w:rFonts w:ascii="Arial" w:cs="Arial" w:eastAsia="Arial" w:hAnsi="Arial"/>
          <w:sz w:val="32"/>
          <w:szCs w:val="32"/>
          <w:rtl w:val="0"/>
        </w:rPr>
        <w:t xml:space="preserve">JOSHUA MENDES</w:t>
      </w:r>
    </w:p>
    <w:p w:rsidR="00000000" w:rsidDel="00000000" w:rsidP="00000000" w:rsidRDefault="00000000" w:rsidRPr="00000000" w14:paraId="00000004">
      <w:pPr>
        <w:keepNext w:val="0"/>
        <w:keepLines w:val="0"/>
        <w:pageBreakBefore w:val="0"/>
        <w:widowControl w:val="1"/>
        <w:shd w:fill="auto" w:val="clear"/>
        <w:spacing w:after="0" w:before="0" w:line="360" w:lineRule="auto"/>
        <w:ind w:left="0" w:right="0" w:firstLine="709"/>
        <w:jc w:val="both"/>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sz w:val="36"/>
          <w:szCs w:val="36"/>
          <w:rtl w:val="0"/>
        </w:rPr>
        <w:t xml:space="preserve">DEVFORGE</w:t>
      </w:r>
      <w:r w:rsidDel="00000000" w:rsidR="00000000" w:rsidRPr="00000000">
        <w:rPr>
          <w:rtl w:val="0"/>
        </w:rPr>
      </w:r>
    </w:p>
    <w:p w:rsidR="00000000" w:rsidDel="00000000" w:rsidP="00000000" w:rsidRDefault="00000000" w:rsidRPr="00000000" w14:paraId="0000000B">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 PROPOSTA DE DESENVOLVIMENTO DE FERRAMENTA DE APOIO À ENGENHARIA DE SOFTWARE -</w:t>
      </w:r>
    </w:p>
    <w:p w:rsidR="00000000" w:rsidDel="00000000" w:rsidP="00000000" w:rsidRDefault="00000000" w:rsidRPr="00000000" w14:paraId="0000000C">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heading=h.8zzt7byeg820" w:id="3"/>
      <w:bookmarkEnd w:id="3"/>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Trabalho de Conclusão de Curso apresentado ao curso de Bacharelado em Engenharia de Software da Pontifícia Universidade Católica do Paraná como requisito parcial para obtenção do título Bacharel em Engenharia de Software.</w:t>
      </w:r>
    </w:p>
    <w:p w:rsidR="00000000" w:rsidDel="00000000" w:rsidP="00000000" w:rsidRDefault="00000000" w:rsidRPr="00000000" w14:paraId="00000011">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Área de concentração: Engenharia de Software</w:t>
      </w:r>
    </w:p>
    <w:p w:rsidR="00000000" w:rsidDel="00000000" w:rsidP="00000000" w:rsidRDefault="00000000" w:rsidRPr="00000000" w14:paraId="00000013">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Orientador:</w:t>
      </w:r>
      <w:r w:rsidDel="00000000" w:rsidR="00000000" w:rsidRPr="00000000">
        <w:rPr>
          <w:rFonts w:ascii="Arial" w:cs="Arial" w:eastAsia="Arial" w:hAnsi="Arial"/>
          <w:rtl w:val="0"/>
        </w:rPr>
        <w:t xml:space="preserve"> Sofia Marshallowitz</w:t>
      </w:r>
      <w:r w:rsidDel="00000000" w:rsidR="00000000" w:rsidRPr="00000000">
        <w:rPr>
          <w:rtl w:val="0"/>
        </w:rPr>
      </w:r>
    </w:p>
    <w:p w:rsidR="00000000" w:rsidDel="00000000" w:rsidP="00000000" w:rsidRDefault="00000000" w:rsidRPr="00000000" w14:paraId="00000015">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Curitiba</w:t>
      </w:r>
    </w:p>
    <w:p w:rsidR="00000000" w:rsidDel="00000000" w:rsidP="00000000" w:rsidRDefault="00000000" w:rsidRPr="00000000" w14:paraId="0000001F">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20">
      <w:pPr>
        <w:keepNext w:val="0"/>
        <w:keepLines w:val="0"/>
        <w:pageBreakBefore w:val="0"/>
        <w:widowControl w:val="1"/>
        <w:shd w:fill="auto" w:val="clear"/>
        <w:spacing w:after="0" w:before="0" w:line="240"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DAVI NOEL MARTINS MUNDT</w:t>
      </w:r>
    </w:p>
    <w:p w:rsidR="00000000" w:rsidDel="00000000" w:rsidP="00000000" w:rsidRDefault="00000000" w:rsidRPr="00000000" w14:paraId="00000021">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GIOVANI TORTATO</w:t>
      </w:r>
    </w:p>
    <w:p w:rsidR="00000000" w:rsidDel="00000000" w:rsidP="00000000" w:rsidRDefault="00000000" w:rsidRPr="00000000" w14:paraId="00000022">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JOSHUA MENDES</w:t>
      </w:r>
    </w:p>
    <w:p w:rsidR="00000000" w:rsidDel="00000000" w:rsidP="00000000" w:rsidRDefault="00000000" w:rsidRPr="00000000" w14:paraId="00000023">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sz w:val="36"/>
          <w:szCs w:val="36"/>
          <w:rtl w:val="0"/>
        </w:rPr>
        <w:t xml:space="preserve">DEVFORGE</w:t>
      </w:r>
      <w:r w:rsidDel="00000000" w:rsidR="00000000" w:rsidRPr="00000000">
        <w:rPr>
          <w:rtl w:val="0"/>
        </w:rPr>
      </w:r>
    </w:p>
    <w:p w:rsidR="00000000" w:rsidDel="00000000" w:rsidP="00000000" w:rsidRDefault="00000000" w:rsidRPr="00000000" w14:paraId="0000002A">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 PROPOSTA DE DESENVOLVIMENTO DE FERRAMENTA DE APOIO À ENGENHARIA DE SOFTWARE -</w:t>
      </w:r>
    </w:p>
    <w:p w:rsidR="00000000" w:rsidDel="00000000" w:rsidP="00000000" w:rsidRDefault="00000000" w:rsidRPr="00000000" w14:paraId="0000002B">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Trabalho de Conclusão de Curso apresentado ao curso de Bacharelado em Engenharia de Software da Pontifícia Universidade Católica do Paraná como requisito parcial para obtenção do título Bacharel em Engenharia de Software.</w:t>
      </w:r>
    </w:p>
    <w:p w:rsidR="00000000" w:rsidDel="00000000" w:rsidP="00000000" w:rsidRDefault="00000000" w:rsidRPr="00000000" w14:paraId="00000033">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Área de concentração: Engenharia de Software</w:t>
      </w:r>
    </w:p>
    <w:p w:rsidR="00000000" w:rsidDel="00000000" w:rsidP="00000000" w:rsidRDefault="00000000" w:rsidRPr="00000000" w14:paraId="00000035">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shd w:fill="auto" w:val="clear"/>
        <w:spacing w:after="0" w:before="0" w:line="240" w:lineRule="auto"/>
        <w:ind w:left="3402"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Orientador: </w:t>
      </w:r>
      <w:r w:rsidDel="00000000" w:rsidR="00000000" w:rsidRPr="00000000">
        <w:rPr>
          <w:rFonts w:ascii="Arial" w:cs="Arial" w:eastAsia="Arial" w:hAnsi="Arial"/>
          <w:rtl w:val="0"/>
        </w:rPr>
        <w:t xml:space="preserve">Sofia Marshallowitz</w:t>
      </w:r>
      <w:r w:rsidDel="00000000" w:rsidR="00000000" w:rsidRPr="00000000">
        <w:rPr>
          <w:rtl w:val="0"/>
        </w:rPr>
      </w:r>
    </w:p>
    <w:p w:rsidR="00000000" w:rsidDel="00000000" w:rsidP="00000000" w:rsidRDefault="00000000" w:rsidRPr="00000000" w14:paraId="00000037">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A">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Curitiba</w:t>
      </w:r>
    </w:p>
    <w:p w:rsidR="00000000" w:rsidDel="00000000" w:rsidP="00000000" w:rsidRDefault="00000000" w:rsidRPr="00000000" w14:paraId="0000003D">
      <w:pPr>
        <w:keepNext w:val="0"/>
        <w:keepLines w:val="0"/>
        <w:pageBreakBefore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3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la0sk3feant"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40">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Iniciantes em programação enfrentam desafios relacionados à alta carga cognitiva e à dificuldade de manter a motivação diante de conteúdos abstratos. A gamificação tem se mostrado eficaz para aumentar o engajamento em contextos educacionais, mas seu uso descuidado pode minar a motivação intrínseca. Este trabalho propõe uma plataforma web gamificada de apoio ao ensino de programação, voltada a iniciantes e a profissionais interessados na área. O conteúdo é organizado em trilhas de aprendizado de lógica, sintaxe e ferramentas de programação, nas quais conceitos de Engenharia de Software — como verificação e validação, modelagem e qualidade de código — são mobilizados a serviço da escrita de código, e não como trilhas isoladas. As trilhas são compostas por atividades de dificuldade crescente e de tipos variados, incluindo casos contrastantes e questões abertas com feedback assistido por Inteligência Artificial sob supervisão humana. A proposta adota uma abordagem tangencial: em vez de servir apenas como reforço, conduz o usuário à aquisição de conhecimento novo ao mesmo tempo em que fixa e valida o que já sabe, inspirando-se no modelo de retenção do Duolingo e buscando equilíbrio entre motivação intrínseca e extrínseca para evitar o efeito de superjustificação.</w:t>
      </w:r>
      <w:r w:rsidDel="00000000" w:rsidR="00000000" w:rsidRPr="00000000">
        <w:rPr>
          <w:rtl w:val="0"/>
        </w:rPr>
      </w:r>
    </w:p>
    <w:p w:rsidR="00000000" w:rsidDel="00000000" w:rsidP="00000000" w:rsidRDefault="00000000" w:rsidRPr="00000000" w14:paraId="00000042">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Palavras-chaves: Gamificação; Engenharia de Software; Duolingo; Feedback por Inteligência Artificial; Retenção de Usuários.</w:t>
      </w:r>
      <w:r w:rsidDel="00000000" w:rsidR="00000000" w:rsidRPr="00000000">
        <w:rPr>
          <w:rtl w:val="0"/>
        </w:rPr>
      </w:r>
    </w:p>
    <w:p w:rsidR="00000000" w:rsidDel="00000000" w:rsidP="00000000" w:rsidRDefault="00000000" w:rsidRPr="00000000" w14:paraId="00000044">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keepNext w:val="0"/>
        <w:keepLines w:val="0"/>
        <w:pageBreakBefore w:val="0"/>
        <w:widowControl w:val="1"/>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m267lv16u1p"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48">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Beginners in programming face challenges related to high cognitive load and to sustaining motivation when dealing with abstract content. Gamification has proven effective in increasing engagement in educational contexts, but its careless use can undermine intrinsic motivation. This work proposes a gamified web platform to support the teaching of programming, aimed at beginners and at professionals interested in the field. Its content is organized into learning tracks covering programming logic, syntax, and tools, in which Software Engineering concepts — such as verification and validation, modeling, and code quality — are mobilized in service of writing code, rather than as isolated tracks. The tracks are made up of activities of increasing difficulty and varied types, including contrasting cases and open-ended questions with AI-assisted feedback under human supervision. The proposal adopts a tangential approach: rather than serving only as reinforcement, it leads users to acquire new knowledge while consolidating and validating what they already know, drawing on Duolingo's retention model and seeking a balance between intrinsic and extrinsic motivation to avoid the overjustification effect.</w:t>
      </w:r>
    </w:p>
    <w:p w:rsidR="00000000" w:rsidDel="00000000" w:rsidP="00000000" w:rsidRDefault="00000000" w:rsidRPr="00000000" w14:paraId="0000004C">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Keywords: Gamification; Software Engineering; Duolingo; AI-assisted Feedback; User Retention.</w:t>
      </w:r>
    </w:p>
    <w:p w:rsidR="00000000" w:rsidDel="00000000" w:rsidP="00000000" w:rsidRDefault="00000000" w:rsidRPr="00000000" w14:paraId="0000004E">
      <w:pPr>
        <w:keepNext w:val="0"/>
        <w:keepLines w:val="0"/>
        <w:pageBreakBefore w:val="0"/>
        <w:widowControl w:val="1"/>
        <w:shd w:fill="auto" w:val="clear"/>
        <w:spacing w:after="0" w:before="0" w:line="36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SUMÁRIO</w:t>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sdt>
      <w:sdtPr>
        <w:id w:val="22970953"/>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1"/>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la0sk3fean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RESUMO</w:t>
              <w:tab/>
              <w:t xml:space="preserve">iii</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sm267lv16u1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po1ha8h14h7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FIGURAS</w:t>
              <w:tab/>
              <w:t xml:space="preserve">vi</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hu27iamuvks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TABELAS</w:t>
              <w:tab/>
              <w:t xml:space="preserve">vii</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w054qse9h9v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QUADROS</w:t>
              <w:tab/>
              <w:t xml:space="preserve">viii</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muewse6ivjns">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LISTA DE ABREVIATURAS E SIGLAS</w:t>
              <w:tab/>
              <w:t xml:space="preserve">ix</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5q5bj749ph5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1 -</w:t>
            </w:r>
          </w:hyperlink>
          <w:hyperlink w:anchor="_heading=h.5q5bj749ph5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INTRODUÇÃO</w:t>
            <w:tab/>
            <w:t xml:space="preserve">1</w:t>
          </w:r>
          <w:r w:rsidDel="00000000" w:rsidR="00000000" w:rsidRPr="00000000">
            <w:rPr>
              <w:rtl w:val="0"/>
            </w:rPr>
          </w:r>
        </w:p>
        <w:p w:rsidR="00000000" w:rsidDel="00000000" w:rsidP="00000000" w:rsidRDefault="00000000" w:rsidRPr="00000000" w14:paraId="00000059">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5g0iijcxvpn4">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1.1</w:t>
            </w:r>
          </w:hyperlink>
          <w:hyperlink w:anchor="_heading=h.5g0iijcxvpn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mallCaps w:val="1"/>
              <w:sz w:val="22"/>
              <w:szCs w:val="22"/>
              <w:rtl w:val="0"/>
            </w:rPr>
            <w:t xml:space="preserve">Introdução </w:t>
            <w:tab/>
          </w:r>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5A">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b5gf47mrqpye">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1.</w:t>
            </w:r>
          </w:hyperlink>
          <w:hyperlink w:anchor="_heading=h.b5gf47mrqpye">
            <w:r w:rsidDel="00000000" w:rsidR="00000000" w:rsidRPr="00000000">
              <w:rPr>
                <w:rFonts w:ascii="Arial" w:cs="Arial" w:eastAsia="Arial" w:hAnsi="Arial"/>
                <w:smallCaps w:val="1"/>
                <w:sz w:val="22"/>
                <w:szCs w:val="22"/>
                <w:rtl w:val="0"/>
              </w:rPr>
              <w:t xml:space="preserve">2</w:t>
            </w:r>
          </w:hyperlink>
          <w:hyperlink w:anchor="_heading=h.b5gf47mrqpy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Objetivos</w:t>
            <w:tab/>
          </w:r>
          <w:r w:rsidDel="00000000" w:rsidR="00000000" w:rsidRPr="00000000">
            <w:rPr>
              <w:rFonts w:ascii="Arial" w:cs="Arial" w:eastAsia="Arial" w:hAnsi="Arial"/>
              <w:smallCaps w:val="1"/>
              <w:sz w:val="22"/>
              <w:szCs w:val="22"/>
              <w:rtl w:val="0"/>
            </w:rPr>
            <w:t xml:space="preserve">4</w:t>
          </w:r>
          <w:r w:rsidDel="00000000" w:rsidR="00000000" w:rsidRPr="00000000">
            <w:rPr>
              <w:rtl w:val="0"/>
            </w:rPr>
          </w:r>
        </w:p>
        <w:p w:rsidR="00000000" w:rsidDel="00000000" w:rsidP="00000000" w:rsidRDefault="00000000" w:rsidRPr="00000000" w14:paraId="0000005B">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rkbiohuajvj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2 -</w:t>
            </w:r>
          </w:hyperlink>
          <w:hyperlink w:anchor="_heading=h.rkbiohuajvjk">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REVISÃO DA LITERATURA</w:t>
            <w:tab/>
          </w:r>
          <w:r w:rsidDel="00000000" w:rsidR="00000000" w:rsidRPr="00000000">
            <w:rPr>
              <w:rFonts w:ascii="Arial" w:cs="Arial" w:eastAsia="Arial" w:hAnsi="Arial"/>
              <w:b w:val="1"/>
              <w:bCs w:val="1"/>
              <w:smallCaps w:val="1"/>
              <w:rtl w:val="0"/>
            </w:rPr>
            <w:t xml:space="preserve">6</w:t>
          </w:r>
          <w:r w:rsidDel="00000000" w:rsidR="00000000" w:rsidRPr="00000000">
            <w:rPr>
              <w:rtl w:val="0"/>
            </w:rPr>
          </w:r>
        </w:p>
        <w:p w:rsidR="00000000" w:rsidDel="00000000" w:rsidP="00000000" w:rsidRDefault="00000000" w:rsidRPr="00000000" w14:paraId="0000005C">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elyxu98av9a9">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2.1</w:t>
            </w:r>
          </w:hyperlink>
          <w:hyperlink w:anchor="_heading=h.elyxu98av9a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mallCaps w:val="1"/>
              <w:sz w:val="22"/>
              <w:szCs w:val="22"/>
              <w:rtl w:val="0"/>
            </w:rPr>
            <w:t xml:space="preserve">A gamificação e o Modelo Duolingo</w:t>
            <w:tab/>
            <w:t xml:space="preserve">6</w:t>
          </w:r>
          <w:r w:rsidDel="00000000" w:rsidR="00000000" w:rsidRPr="00000000">
            <w:rPr>
              <w:rtl w:val="0"/>
            </w:rPr>
          </w:r>
        </w:p>
        <w:p w:rsidR="00000000" w:rsidDel="00000000" w:rsidP="00000000" w:rsidRDefault="00000000" w:rsidRPr="00000000" w14:paraId="0000005D">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hyperlink w:anchor="_heading=h.9d1vmslfk0sd">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2.2</w:t>
            </w:r>
          </w:hyperlink>
          <w:hyperlink w:anchor="_heading=h.9d1vmslfk0s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mallCaps w:val="1"/>
              <w:sz w:val="22"/>
              <w:szCs w:val="22"/>
              <w:rtl w:val="0"/>
            </w:rPr>
            <w:t xml:space="preserve">Estratégias Cognitivas</w:t>
          </w:r>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ab/>
          </w:r>
          <w:r w:rsidDel="00000000" w:rsidR="00000000" w:rsidRPr="00000000">
            <w:rPr>
              <w:rFonts w:ascii="Arial" w:cs="Arial" w:eastAsia="Arial" w:hAnsi="Arial"/>
              <w:smallCaps w:val="1"/>
              <w:sz w:val="22"/>
              <w:szCs w:val="22"/>
              <w:rtl w:val="0"/>
            </w:rPr>
            <w:t xml:space="preserve">6</w:t>
          </w:r>
        </w:p>
        <w:p w:rsidR="00000000" w:rsidDel="00000000" w:rsidP="00000000" w:rsidRDefault="00000000" w:rsidRPr="00000000" w14:paraId="0000005E">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r w:rsidDel="00000000" w:rsidR="00000000" w:rsidRPr="00000000">
            <w:rPr>
              <w:rFonts w:ascii="Arial" w:cs="Arial" w:eastAsia="Arial" w:hAnsi="Arial"/>
              <w:smallCaps w:val="1"/>
              <w:sz w:val="22"/>
              <w:szCs w:val="22"/>
              <w:rtl w:val="0"/>
            </w:rPr>
            <w:t xml:space="preserve">2.3</w:t>
            <w:tab/>
            <w:t xml:space="preserve">Gamificação no Ensino de Programação e Engenharia de Software</w:t>
            <w:tab/>
            <w:t xml:space="preserve">7</w:t>
          </w:r>
        </w:p>
        <w:p w:rsidR="00000000" w:rsidDel="00000000" w:rsidP="00000000" w:rsidRDefault="00000000" w:rsidRPr="00000000" w14:paraId="0000005F">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r w:rsidDel="00000000" w:rsidR="00000000" w:rsidRPr="00000000">
            <w:rPr>
              <w:rFonts w:ascii="Arial" w:cs="Arial" w:eastAsia="Arial" w:hAnsi="Arial"/>
              <w:smallCaps w:val="1"/>
              <w:sz w:val="22"/>
              <w:szCs w:val="22"/>
              <w:rtl w:val="0"/>
            </w:rPr>
            <w:t xml:space="preserve">2.4</w:t>
            <w:tab/>
            <w:t xml:space="preserve">O impacto na Experiência do Usuário e na Motivação</w:t>
            <w:tab/>
            <w:t xml:space="preserve">9</w:t>
          </w:r>
        </w:p>
        <w:p w:rsidR="00000000" w:rsidDel="00000000" w:rsidP="00000000" w:rsidRDefault="00000000" w:rsidRPr="00000000" w14:paraId="00000060">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smallCaps w:val="1"/>
              <w:sz w:val="22"/>
              <w:szCs w:val="22"/>
            </w:rPr>
          </w:pPr>
          <w:r w:rsidDel="00000000" w:rsidR="00000000" w:rsidRPr="00000000">
            <w:rPr>
              <w:rFonts w:ascii="Arial" w:cs="Arial" w:eastAsia="Arial" w:hAnsi="Arial"/>
              <w:smallCaps w:val="1"/>
              <w:sz w:val="22"/>
              <w:szCs w:val="22"/>
              <w:rtl w:val="0"/>
            </w:rPr>
            <w:t xml:space="preserve">2.5</w:t>
            <w:tab/>
            <w:t xml:space="preserve">Inteligência Artificial como Apoio à Aprendizagem</w:t>
            <w:tab/>
            <w:t xml:space="preserve">10</w:t>
          </w:r>
        </w:p>
        <w:p w:rsidR="00000000" w:rsidDel="00000000" w:rsidP="00000000" w:rsidRDefault="00000000" w:rsidRPr="00000000" w14:paraId="00000061">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x538gddo9bq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3 -</w:t>
            </w:r>
          </w:hyperlink>
          <w:r w:rsidDel="00000000" w:rsidR="00000000" w:rsidRPr="00000000">
            <w:rPr>
              <w:rFonts w:ascii="Arial" w:cs="Arial" w:eastAsia="Arial" w:hAnsi="Arial"/>
              <w:b w:val="1"/>
              <w:bCs w:val="1"/>
              <w:smallCaps w:val="1"/>
              <w:rtl w:val="0"/>
            </w:rPr>
            <w:t xml:space="preserve">  </w:t>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DEFINIÇÃO DO PÚBLICO-ALVO E DO ESCOPO DO PROJETO</w:t>
          </w:r>
          <w:r w:rsidDel="00000000" w:rsidR="00000000" w:rsidRPr="00000000">
            <w:rPr>
              <w:rFonts w:ascii="Arial" w:cs="Arial" w:eastAsia="Arial" w:hAnsi="Arial"/>
              <w:b w:val="1"/>
              <w:bCs w:val="1"/>
              <w:smallCaps w:val="1"/>
              <w:rtl w:val="0"/>
            </w:rPr>
            <w:t xml:space="preserve"> 12</w:t>
          </w:r>
          <w:r w:rsidDel="00000000" w:rsidR="00000000" w:rsidRPr="00000000">
            <w:rPr>
              <w:rtl w:val="0"/>
            </w:rPr>
          </w:r>
        </w:p>
        <w:p w:rsidR="00000000" w:rsidDel="00000000" w:rsidP="00000000" w:rsidRDefault="00000000" w:rsidRPr="00000000" w14:paraId="00000062">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ck8dr6v6a4wf">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3.1</w:t>
            </w:r>
          </w:hyperlink>
          <w:hyperlink w:anchor="_heading=h.ck8dr6v6a4w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Personas</w:t>
            <w:tab/>
          </w:r>
          <w:r w:rsidDel="00000000" w:rsidR="00000000" w:rsidRPr="00000000">
            <w:rPr>
              <w:rFonts w:ascii="Arial" w:cs="Arial" w:eastAsia="Arial" w:hAnsi="Arial"/>
              <w:smallCaps w:val="1"/>
              <w:sz w:val="22"/>
              <w:szCs w:val="22"/>
              <w:rtl w:val="0"/>
            </w:rPr>
            <w:t xml:space="preserve">12</w:t>
          </w:r>
          <w:r w:rsidDel="00000000" w:rsidR="00000000" w:rsidRPr="00000000">
            <w:rPr>
              <w:rtl w:val="0"/>
            </w:rPr>
          </w:r>
        </w:p>
        <w:p w:rsidR="00000000" w:rsidDel="00000000" w:rsidP="00000000" w:rsidRDefault="00000000" w:rsidRPr="00000000" w14:paraId="00000063">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1il20wp6yrrw">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3.2</w:t>
            </w:r>
          </w:hyperlink>
          <w:hyperlink w:anchor="_heading=h.1il20wp6yrr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Requisitos Funcionais</w:t>
            <w:tab/>
            <w:t xml:space="preserve">15</w:t>
          </w:r>
          <w:r w:rsidDel="00000000" w:rsidR="00000000" w:rsidRPr="00000000">
            <w:rPr>
              <w:rtl w:val="0"/>
            </w:rPr>
          </w:r>
        </w:p>
        <w:p w:rsidR="00000000" w:rsidDel="00000000" w:rsidP="00000000" w:rsidRDefault="00000000" w:rsidRPr="00000000" w14:paraId="00000064">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5l0bxtj6u0j5">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3.3</w:t>
            </w:r>
          </w:hyperlink>
          <w:hyperlink w:anchor="_heading=h.5l0bxtj6u0j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Considerações sobre o capítulo</w:t>
            <w:tab/>
          </w:r>
          <w:r w:rsidDel="00000000" w:rsidR="00000000" w:rsidRPr="00000000">
            <w:rPr>
              <w:rFonts w:ascii="Arial" w:cs="Arial" w:eastAsia="Arial" w:hAnsi="Arial"/>
              <w:smallCaps w:val="1"/>
              <w:sz w:val="22"/>
              <w:szCs w:val="22"/>
              <w:rtl w:val="0"/>
            </w:rPr>
            <w:t xml:space="preserve">33</w:t>
          </w:r>
          <w:r w:rsidDel="00000000" w:rsidR="00000000" w:rsidRPr="00000000">
            <w:rPr>
              <w:rtl w:val="0"/>
            </w:rPr>
          </w:r>
        </w:p>
        <w:p w:rsidR="00000000" w:rsidDel="00000000" w:rsidP="00000000" w:rsidRDefault="00000000" w:rsidRPr="00000000" w14:paraId="00000065">
          <w:pPr>
            <w:keepNext w:val="0"/>
            <w:keepLines w:val="0"/>
            <w:pageBreakBefore w:val="0"/>
            <w:widowControl w:val="1"/>
            <w:shd w:fill="auto" w:val="clear"/>
            <w:tabs>
              <w:tab w:val="left" w:leader="none" w:pos="1793"/>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6wsfhnvi8m3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CAPÍTULO 4 -</w:t>
            </w:r>
          </w:hyperlink>
          <w:hyperlink w:anchor="_heading=h.6wsfhnvi8m3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INFORMAÇÕES DO PROJETO</w:t>
            <w:tab/>
          </w:r>
          <w:r w:rsidDel="00000000" w:rsidR="00000000" w:rsidRPr="00000000">
            <w:rPr>
              <w:rFonts w:ascii="Arial" w:cs="Arial" w:eastAsia="Arial" w:hAnsi="Arial"/>
              <w:b w:val="1"/>
              <w:bCs w:val="1"/>
              <w:smallCaps w:val="1"/>
              <w:rtl w:val="0"/>
            </w:rPr>
            <w:t xml:space="preserve">18</w:t>
          </w:r>
          <w:r w:rsidDel="00000000" w:rsidR="00000000" w:rsidRPr="00000000">
            <w:rPr>
              <w:rtl w:val="0"/>
            </w:rPr>
          </w:r>
        </w:p>
        <w:p w:rsidR="00000000" w:rsidDel="00000000" w:rsidP="00000000" w:rsidRDefault="00000000" w:rsidRPr="00000000" w14:paraId="00000066">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jt9vqyndwpcs">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4.1</w:t>
            </w:r>
          </w:hyperlink>
          <w:hyperlink w:anchor="_heading=h.jt9vqyndwpc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Cronograma</w:t>
            <w:tab/>
          </w:r>
          <w:r w:rsidDel="00000000" w:rsidR="00000000" w:rsidRPr="00000000">
            <w:rPr>
              <w:rFonts w:ascii="Arial" w:cs="Arial" w:eastAsia="Arial" w:hAnsi="Arial"/>
              <w:smallCaps w:val="1"/>
              <w:sz w:val="22"/>
              <w:szCs w:val="22"/>
              <w:rtl w:val="0"/>
            </w:rPr>
            <w:t xml:space="preserve">18</w:t>
          </w:r>
          <w:r w:rsidDel="00000000" w:rsidR="00000000" w:rsidRPr="00000000">
            <w:rPr>
              <w:rtl w:val="0"/>
            </w:rPr>
          </w:r>
        </w:p>
        <w:p w:rsidR="00000000" w:rsidDel="00000000" w:rsidP="00000000" w:rsidRDefault="00000000" w:rsidRPr="00000000" w14:paraId="00000067">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255flcdxx88f">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4.2</w:t>
            </w:r>
          </w:hyperlink>
          <w:hyperlink w:anchor="_heading=h.255flcdxx88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Riscos</w:t>
            <w:tab/>
          </w:r>
          <w:r w:rsidDel="00000000" w:rsidR="00000000" w:rsidRPr="00000000">
            <w:rPr>
              <w:rFonts w:ascii="Arial" w:cs="Arial" w:eastAsia="Arial" w:hAnsi="Arial"/>
              <w:smallCaps w:val="1"/>
              <w:sz w:val="22"/>
              <w:szCs w:val="22"/>
              <w:rtl w:val="0"/>
            </w:rPr>
            <w:t xml:space="preserve">19</w:t>
          </w:r>
          <w:r w:rsidDel="00000000" w:rsidR="00000000" w:rsidRPr="00000000">
            <w:rPr>
              <w:rtl w:val="0"/>
            </w:rPr>
          </w:r>
        </w:p>
        <w:p w:rsidR="00000000" w:rsidDel="00000000" w:rsidP="00000000" w:rsidRDefault="00000000" w:rsidRPr="00000000" w14:paraId="00000068">
          <w:pPr>
            <w:keepNext w:val="0"/>
            <w:keepLines w:val="0"/>
            <w:pageBreakBefore w:val="0"/>
            <w:widowControl w:val="1"/>
            <w:shd w:fill="auto" w:val="clear"/>
            <w:tabs>
              <w:tab w:val="left" w:leader="none" w:pos="800"/>
              <w:tab w:val="right" w:leader="none" w:pos="9062"/>
            </w:tabs>
            <w:spacing w:after="0" w:before="0" w:line="360" w:lineRule="auto"/>
            <w:ind w:left="198" w:right="0" w:firstLine="0"/>
            <w:rPr>
              <w:rFonts w:ascii="Arial" w:cs="Arial" w:eastAsia="Arial" w:hAnsi="Arial"/>
              <w:i w:val="0"/>
              <w:iCs w:val="0"/>
              <w:smallCaps w:val="0"/>
              <w:strike w:val="0"/>
              <w:color w:val="000000"/>
              <w:sz w:val="22"/>
              <w:szCs w:val="22"/>
              <w:u w:val="none"/>
              <w:shd w:fill="auto" w:val="clear"/>
              <w:vertAlign w:val="baseline"/>
            </w:rPr>
          </w:pPr>
          <w:hyperlink w:anchor="_heading=h.9bqp148g3xg7">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4.3</w:t>
            </w:r>
          </w:hyperlink>
          <w:hyperlink w:anchor="_heading=h.9bqp148g3xg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i w:val="0"/>
              <w:iCs w:val="0"/>
              <w:smallCaps w:val="1"/>
              <w:strike w:val="0"/>
              <w:color w:val="000000"/>
              <w:sz w:val="22"/>
              <w:szCs w:val="22"/>
              <w:u w:val="none"/>
              <w:shd w:fill="auto" w:val="clear"/>
              <w:vertAlign w:val="baseline"/>
              <w:rtl w:val="0"/>
            </w:rPr>
            <w:t xml:space="preserve">Considerações sobre o Capítulo</w:t>
            <w:tab/>
          </w:r>
          <w:r w:rsidDel="00000000" w:rsidR="00000000" w:rsidRPr="00000000">
            <w:rPr>
              <w:rFonts w:ascii="Arial" w:cs="Arial" w:eastAsia="Arial" w:hAnsi="Arial"/>
              <w:smallCaps w:val="1"/>
              <w:sz w:val="22"/>
              <w:szCs w:val="22"/>
              <w:rtl w:val="0"/>
            </w:rPr>
            <w:t xml:space="preserve">20</w:t>
          </w:r>
          <w:r w:rsidDel="00000000" w:rsidR="00000000" w:rsidRPr="00000000">
            <w:rPr>
              <w:rtl w:val="0"/>
            </w:rPr>
          </w:r>
        </w:p>
        <w:p w:rsidR="00000000" w:rsidDel="00000000" w:rsidP="00000000" w:rsidRDefault="00000000" w:rsidRPr="00000000" w14:paraId="00000069">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89f5q6rqfyl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REFERÊNCIAS BIBLIOGRÁFICAS</w:t>
              <w:tab/>
            </w:r>
          </w:hyperlink>
          <w:r w:rsidDel="00000000" w:rsidR="00000000" w:rsidRPr="00000000">
            <w:rPr>
              <w:rFonts w:ascii="Arial" w:cs="Arial" w:eastAsia="Arial" w:hAnsi="Arial"/>
              <w:sz w:val="22"/>
              <w:szCs w:val="22"/>
              <w:rtl w:val="0"/>
            </w:rPr>
            <w:t xml:space="preserve">21</w:t>
          </w:r>
          <w:r w:rsidDel="00000000" w:rsidR="00000000" w:rsidRPr="00000000">
            <w:rPr>
              <w:rtl w:val="0"/>
            </w:rPr>
          </w:r>
        </w:p>
        <w:p w:rsidR="00000000" w:rsidDel="00000000" w:rsidP="00000000" w:rsidRDefault="00000000" w:rsidRPr="00000000" w14:paraId="0000006A">
          <w:pPr>
            <w:keepNext w:val="0"/>
            <w:keepLines w:val="0"/>
            <w:pageBreakBefore w:val="0"/>
            <w:widowControl w:val="1"/>
            <w:shd w:fill="auto" w:val="clear"/>
            <w:tabs>
              <w:tab w:val="right" w:leader="none" w:pos="9062"/>
            </w:tabs>
            <w:spacing w:after="120" w:before="120" w:line="360" w:lineRule="auto"/>
            <w:ind w:left="0" w:right="0" w:firstLine="0"/>
            <w:rPr>
              <w:rFonts w:ascii="Arial" w:cs="Arial" w:eastAsia="Arial" w:hAnsi="Arial"/>
              <w:i w:val="0"/>
              <w:iCs w:val="0"/>
              <w:smallCaps w:val="0"/>
              <w:strike w:val="0"/>
              <w:color w:val="000000"/>
              <w:sz w:val="22"/>
              <w:szCs w:val="22"/>
              <w:u w:val="none"/>
              <w:shd w:fill="auto" w:val="clear"/>
              <w:vertAlign w:val="baseline"/>
            </w:rPr>
          </w:pPr>
          <w:hyperlink w:anchor="_heading=h.iyq47c6jium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GLOSSÁRIO</w:t>
              <w:tab/>
            </w:r>
          </w:hyperlink>
          <w:r w:rsidDel="00000000" w:rsidR="00000000" w:rsidRPr="00000000">
            <w:rPr>
              <w:rFonts w:ascii="Arial" w:cs="Arial" w:eastAsia="Arial" w:hAnsi="Arial"/>
              <w:sz w:val="22"/>
              <w:szCs w:val="22"/>
              <w:rtl w:val="0"/>
            </w:rPr>
            <w:t xml:space="preserve">23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keepNext w:val="0"/>
        <w:keepLines w:val="0"/>
        <w:pageBreakBefore w:val="0"/>
        <w:widowControl w:val="1"/>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C">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o1ha8h14h79"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FIGURAS</w:t>
      </w:r>
    </w:p>
    <w:p w:rsidR="00000000" w:rsidDel="00000000" w:rsidP="00000000" w:rsidRDefault="00000000" w:rsidRPr="00000000" w14:paraId="0000006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dt>
      <w:sdtPr>
        <w:id w:val="344057654"/>
        <w:docPartObj>
          <w:docPartGallery w:val="Table of Contents"/>
          <w:docPartUnique w:val="1"/>
        </w:docPartObj>
      </w:sdtPr>
      <w:sdtContent>
        <w:p w:rsidR="00000000" w:rsidDel="00000000" w:rsidP="00000000" w:rsidRDefault="00000000" w:rsidRPr="00000000" w14:paraId="0000006E">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Figura </w:t>
          </w:r>
          <w:r w:rsidDel="00000000" w:rsidR="00000000" w:rsidRPr="00000000">
            <w:rPr>
              <w:rFonts w:ascii="Arial" w:cs="Arial" w:eastAsia="Arial" w:hAnsi="Arial"/>
              <w:sz w:val="22"/>
              <w:szCs w:val="22"/>
              <w:rtl w:val="0"/>
            </w:rPr>
            <w:t xml:space="preserve">1. Persona 1 – Pedro (calouro com bagagem prática). Fonte: os Autores</w:t>
            <w:tab/>
            <w:t xml:space="preserve">13</w:t>
          </w:r>
        </w:p>
        <w:p w:rsidR="00000000" w:rsidDel="00000000" w:rsidP="00000000" w:rsidRDefault="00000000" w:rsidRPr="00000000" w14:paraId="0000006F">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rPr>
              <w:rFonts w:ascii="Arial" w:cs="Arial" w:eastAsia="Arial" w:hAnsi="Arial"/>
              <w:sz w:val="22"/>
              <w:szCs w:val="22"/>
              <w:rtl w:val="0"/>
            </w:rPr>
            <w:t xml:space="preserve">Figura 2. Persona 2 – Letícia (estagiária de front-end). Fonte: os Autores.</w:t>
            <w:tab/>
            <w:t xml:space="preserve">13</w:t>
          </w:r>
        </w:p>
        <w:p w:rsidR="00000000" w:rsidDel="00000000" w:rsidP="00000000" w:rsidRDefault="00000000" w:rsidRPr="00000000" w14:paraId="00000070">
          <w:pPr>
            <w:tabs>
              <w:tab w:val="right" w:leader="none" w:pos="9062"/>
            </w:tabs>
            <w:spacing w:line="360" w:lineRule="auto"/>
            <w:ind w:left="403"/>
            <w:rPr>
              <w:rFonts w:ascii="Arial" w:cs="Arial" w:eastAsia="Arial" w:hAnsi="Arial"/>
              <w:sz w:val="22"/>
              <w:szCs w:val="22"/>
            </w:rPr>
          </w:pPr>
          <w:r w:rsidDel="00000000" w:rsidR="00000000" w:rsidRPr="00000000">
            <w:rPr>
              <w:rFonts w:ascii="Arial" w:cs="Arial" w:eastAsia="Arial" w:hAnsi="Arial"/>
              <w:sz w:val="22"/>
              <w:szCs w:val="22"/>
              <w:rtl w:val="0"/>
            </w:rPr>
            <w:t xml:space="preserve">Figura 3. Persona 3 – Marcelo (transição de carreira na era da IA). Fonte: os Autores.</w:t>
            <w:tab/>
            <w:t xml:space="preserve">14</w:t>
          </w:r>
        </w:p>
        <w:p w:rsidR="00000000" w:rsidDel="00000000" w:rsidP="00000000" w:rsidRDefault="00000000" w:rsidRPr="00000000" w14:paraId="00000071">
          <w:pPr>
            <w:keepNext w:val="0"/>
            <w:keepLines w:val="0"/>
            <w:pageBreakBefore w:val="0"/>
            <w:widowControl w:val="1"/>
            <w:tabs>
              <w:tab w:val="right" w:leader="none" w:pos="9062"/>
            </w:tabs>
            <w:spacing w:after="0" w:before="0" w:line="360" w:lineRule="auto"/>
            <w:ind w:left="0" w:right="0" w:firstLine="0"/>
            <w:rPr>
              <w:rFonts w:ascii="Arial" w:cs="Arial" w:eastAsia="Arial" w:hAnsi="Arial"/>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tabs>
          <w:tab w:val="left" w:leader="none" w:pos="1050"/>
        </w:tabs>
        <w:rPr>
          <w:rFonts w:ascii="Arial" w:cs="Arial" w:eastAsia="Arial" w:hAnsi="Arial"/>
        </w:rPr>
      </w:pPr>
      <w:r w:rsidDel="00000000" w:rsidR="00000000" w:rsidRPr="00000000">
        <w:rPr>
          <w:rFonts w:ascii="Arial" w:cs="Arial" w:eastAsia="Arial" w:hAnsi="Arial"/>
          <w:rtl w:val="0"/>
        </w:rPr>
        <w:tab/>
      </w: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widowControl w:val="1"/>
        <w:shd w:fill="auto" w:val="clear"/>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bookmarkStart w:colFirst="0" w:colLast="0" w:name="_heading=h.hu27iamuvks4"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TABELAS</w:t>
      </w:r>
      <w:r w:rsidDel="00000000" w:rsidR="00000000" w:rsidRPr="00000000">
        <w:rPr>
          <w:rtl w:val="0"/>
        </w:rPr>
      </w:r>
    </w:p>
    <w:p w:rsidR="00000000" w:rsidDel="00000000" w:rsidP="00000000" w:rsidRDefault="00000000" w:rsidRPr="00000000" w14:paraId="0000007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dt>
      <w:sdtPr>
        <w:id w:val="-1652131071"/>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tabs>
              <w:tab w:val="right" w:leader="none" w:pos="9062"/>
            </w:tabs>
            <w:spacing w:after="0" w:before="0" w:line="360" w:lineRule="auto"/>
            <w:ind w:left="403" w:right="0" w:hanging="403"/>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2"/>
              <w:szCs w:val="22"/>
              <w:rtl w:val="0"/>
            </w:rPr>
            <w:t xml:space="preserve">Tabela 1. Tamanho de efeito (SMD) da gamificação no ensino de programação, por resultado de aprendizagem e por tipo de programação. Fonte: adaptado de Zhan et al. (2022, p. 5-9). </w:t>
            <w:tab/>
            <w:t xml:space="preserve">8                                    </w:t>
          </w:r>
          <w:r w:rsidDel="00000000" w:rsidR="00000000" w:rsidRPr="00000000">
            <w:rPr>
              <w:rtl w:val="0"/>
            </w:rPr>
          </w:r>
        </w:p>
        <w:p w:rsidR="00000000" w:rsidDel="00000000" w:rsidP="00000000" w:rsidRDefault="00000000" w:rsidRPr="00000000" w14:paraId="00000080">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hyperlink w:anchor="_heading=h.rl584aozd8c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Tabela </w:t>
            </w:r>
          </w:hyperlink>
          <w:hyperlink w:anchor="_heading=h.rl584aozd8c5">
            <w:r w:rsidDel="00000000" w:rsidR="00000000" w:rsidRPr="00000000">
              <w:rPr>
                <w:rFonts w:ascii="Arial" w:cs="Arial" w:eastAsia="Arial" w:hAnsi="Arial"/>
                <w:sz w:val="22"/>
                <w:szCs w:val="22"/>
                <w:rtl w:val="0"/>
              </w:rPr>
              <w:t xml:space="preserve">2</w:t>
            </w:r>
          </w:hyperlink>
          <w:hyperlink w:anchor="_heading=h.rl584aozd8c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Riscos do projeto. Fonte: os Autores.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054qse9h9vw"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LISTA DE QUADROS</w:t>
      </w:r>
    </w:p>
    <w:p w:rsidR="00000000" w:rsidDel="00000000" w:rsidP="00000000" w:rsidRDefault="00000000" w:rsidRPr="00000000" w14:paraId="00000083">
      <w:pPr>
        <w:keepNext w:val="0"/>
        <w:keepLines w:val="0"/>
        <w:pageBreakBefore w:val="0"/>
        <w:widowControl w:val="1"/>
        <w:shd w:fill="auto" w:val="clear"/>
        <w:spacing w:after="0" w:before="0" w:line="360" w:lineRule="auto"/>
        <w:ind w:left="0" w:right="0" w:firstLine="709"/>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sdt>
      <w:sdtPr>
        <w:id w:val="-490612286"/>
        <w:docPartObj>
          <w:docPartGallery w:val="Table of Contents"/>
          <w:docPartUnique w:val="1"/>
        </w:docPartObj>
      </w:sdtPr>
      <w:sdtContent>
        <w:p w:rsidR="00000000" w:rsidDel="00000000" w:rsidP="00000000" w:rsidRDefault="00000000" w:rsidRPr="00000000" w14:paraId="00000084">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sz w:val="22"/>
              <w:szCs w:val="22"/>
              <w:rtl w:val="0"/>
            </w:rPr>
            <w:t xml:space="preserve">Quadro 1. Comparativo entre plataformas de ensino existentes e a proposta. Fonte: os Autores.</w:t>
          </w:r>
          <w:hyperlink w:anchor="_heading=h.mb87m5120r6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sz w:val="22"/>
              <w:szCs w:val="22"/>
              <w:rtl w:val="0"/>
            </w:rPr>
            <w:t xml:space="preserve">9</w:t>
          </w:r>
        </w:p>
        <w:p w:rsidR="00000000" w:rsidDel="00000000" w:rsidP="00000000" w:rsidRDefault="00000000" w:rsidRPr="00000000" w14:paraId="00000085">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Quadro 2. Comparativo entre estratégias de hospedagem da IA (nuvem vs. execução local). Fonte: os Autores, com base em Katakam (2026) e Khadse (2025).</w:t>
            <w:tab/>
            <w:t xml:space="preserve"> </w:t>
            <w:tab/>
            <w:tab/>
            <w:t xml:space="preserve">   11</w:t>
          </w:r>
        </w:p>
        <w:p w:rsidR="00000000" w:rsidDel="00000000" w:rsidP="00000000" w:rsidRDefault="00000000" w:rsidRPr="00000000" w14:paraId="0000008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Quadro 3. Cronograma do projeto. Fonte: os Autores. </w:t>
            <w:tab/>
            <w:tab/>
            <w:tab/>
            <w:tab/>
            <w:t xml:space="preserve">  </w:t>
            <w:tab/>
            <w:t xml:space="preserve">   18</w:t>
          </w:r>
        </w:p>
        <w:p w:rsidR="00000000" w:rsidDel="00000000" w:rsidP="00000000" w:rsidRDefault="00000000" w:rsidRPr="00000000" w14:paraId="00000087">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tabs>
              <w:tab w:val="right" w:leader="none" w:pos="9062"/>
            </w:tabs>
            <w:spacing w:after="0" w:before="0" w:line="360" w:lineRule="auto"/>
            <w:ind w:left="403" w:right="0" w:hanging="403"/>
            <w:rPr>
              <w:rFonts w:ascii="Arial" w:cs="Arial" w:eastAsia="Arial" w:hAnsi="Arial"/>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keepNext w:val="0"/>
        <w:keepLines w:val="0"/>
        <w:pageBreakBefore w:val="0"/>
        <w:widowControl w:val="1"/>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widowControl w:val="1"/>
        <w:shd w:fill="auto" w:val="clear"/>
        <w:tabs>
          <w:tab w:val="left" w:leader="none" w:pos="2234"/>
          <w:tab w:val="center" w:leader="none" w:pos="4536"/>
        </w:tabs>
        <w:spacing w:after="0" w:before="0" w:line="240" w:lineRule="auto"/>
        <w:ind w:left="0" w:right="0" w:firstLine="0"/>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uewse6ivjns"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t xml:space="preserve">LISTA DE ABREVIATURAS E SIGLAS</w:t>
      </w:r>
    </w:p>
    <w:p w:rsidR="00000000" w:rsidDel="00000000" w:rsidP="00000000" w:rsidRDefault="00000000" w:rsidRPr="00000000" w14:paraId="0000008B">
      <w:pPr>
        <w:keepNext w:val="0"/>
        <w:keepLines w:val="0"/>
        <w:pageBreakBefore w:val="0"/>
        <w:widowControl w:val="1"/>
        <w:shd w:fill="auto" w:val="clear"/>
        <w:spacing w:after="0" w:before="0" w:line="480" w:lineRule="auto"/>
        <w:ind w:left="0" w:right="0" w:firstLine="0"/>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shd w:fill="auto" w:val="clear"/>
        <w:spacing w:after="0" w:before="0" w:line="480" w:lineRule="auto"/>
        <w:ind w:left="0" w:right="0" w:firstLine="0"/>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SIGLA</w:t>
        <w:tab/>
        <w:tab/>
        <w:t xml:space="preserve">SIGNIFICADO</w:t>
      </w:r>
    </w:p>
    <w:p w:rsidR="00000000" w:rsidDel="00000000" w:rsidP="00000000" w:rsidRDefault="00000000" w:rsidRPr="00000000" w14:paraId="0000008D">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API</w:t>
        <w:tab/>
        <w:tab/>
        <w:t xml:space="preserve">Application Programming Interface (Interface de Programação de Aplicações)</w:t>
      </w:r>
      <w:r w:rsidDel="00000000" w:rsidR="00000000" w:rsidRPr="00000000">
        <w:rPr>
          <w:rtl w:val="0"/>
        </w:rPr>
      </w:r>
    </w:p>
    <w:p w:rsidR="00000000" w:rsidDel="00000000" w:rsidP="00000000" w:rsidRDefault="00000000" w:rsidRPr="00000000" w14:paraId="0000008E">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IA</w:t>
        <w:tab/>
        <w:tab/>
        <w:t xml:space="preserve">Inteligência Artificial</w:t>
      </w:r>
      <w:r w:rsidDel="00000000" w:rsidR="00000000" w:rsidRPr="00000000">
        <w:rPr>
          <w:rtl w:val="0"/>
        </w:rPr>
      </w:r>
    </w:p>
    <w:p w:rsidR="00000000" w:rsidDel="00000000" w:rsidP="00000000" w:rsidRDefault="00000000" w:rsidRPr="00000000" w14:paraId="0000008F">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LGPD</w:t>
        <w:tab/>
        <w:tab/>
        <w:t xml:space="preserve">Lei Geral de Proteção de Dados</w:t>
      </w:r>
      <w:r w:rsidDel="00000000" w:rsidR="00000000" w:rsidRPr="00000000">
        <w:rPr>
          <w:rtl w:val="0"/>
        </w:rPr>
      </w:r>
    </w:p>
    <w:p w:rsidR="00000000" w:rsidDel="00000000" w:rsidP="00000000" w:rsidRDefault="00000000" w:rsidRPr="00000000" w14:paraId="00000090">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LLM</w:t>
        <w:tab/>
        <w:tab/>
        <w:t xml:space="preserve">Large Language Model (Modelo de Linguagem de Grande Porte)</w:t>
      </w:r>
      <w:r w:rsidDel="00000000" w:rsidR="00000000" w:rsidRPr="00000000">
        <w:rPr>
          <w:rtl w:val="0"/>
        </w:rPr>
      </w:r>
    </w:p>
    <w:p w:rsidR="00000000" w:rsidDel="00000000" w:rsidP="00000000" w:rsidRDefault="00000000" w:rsidRPr="00000000" w14:paraId="00000091">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MVP</w:t>
        <w:tab/>
        <w:tab/>
        <w:t xml:space="preserve">Minimum Viable Product (Produto Mínimo Viável)</w:t>
      </w:r>
      <w:r w:rsidDel="00000000" w:rsidR="00000000" w:rsidRPr="00000000">
        <w:rPr>
          <w:rtl w:val="0"/>
        </w:rPr>
      </w:r>
    </w:p>
    <w:p w:rsidR="00000000" w:rsidDel="00000000" w:rsidP="00000000" w:rsidRDefault="00000000" w:rsidRPr="00000000" w14:paraId="00000092">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POC</w:t>
        <w:tab/>
        <w:tab/>
        <w:t xml:space="preserve">Proof of Concept (Prova de Conceito)</w:t>
      </w:r>
      <w:r w:rsidDel="00000000" w:rsidR="00000000" w:rsidRPr="00000000">
        <w:rPr>
          <w:rtl w:val="0"/>
        </w:rPr>
      </w:r>
    </w:p>
    <w:p w:rsidR="00000000" w:rsidDel="00000000" w:rsidP="00000000" w:rsidRDefault="00000000" w:rsidRPr="00000000" w14:paraId="00000093">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RAG</w:t>
        <w:tab/>
        <w:tab/>
        <w:t xml:space="preserve">Retrieval-Augmented Generation (Geração Aumentada por Recuperação)</w:t>
      </w:r>
      <w:r w:rsidDel="00000000" w:rsidR="00000000" w:rsidRPr="00000000">
        <w:rPr>
          <w:rtl w:val="0"/>
        </w:rPr>
      </w:r>
    </w:p>
    <w:p w:rsidR="00000000" w:rsidDel="00000000" w:rsidP="00000000" w:rsidRDefault="00000000" w:rsidRPr="00000000" w14:paraId="00000094">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SLM</w:t>
        <w:tab/>
        <w:tab/>
        <w:t xml:space="preserve">Small Language Model (Modelo de Linguagem Compacto)</w:t>
      </w:r>
      <w:r w:rsidDel="00000000" w:rsidR="00000000" w:rsidRPr="00000000">
        <w:rPr>
          <w:rtl w:val="0"/>
        </w:rPr>
      </w:r>
    </w:p>
    <w:p w:rsidR="00000000" w:rsidDel="00000000" w:rsidP="00000000" w:rsidRDefault="00000000" w:rsidRPr="00000000" w14:paraId="00000095">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SMD</w:t>
        <w:tab/>
        <w:tab/>
        <w:t xml:space="preserve">Standardized Mean Difference (Diferença Média Padronizada)</w:t>
      </w:r>
      <w:r w:rsidDel="00000000" w:rsidR="00000000" w:rsidRPr="00000000">
        <w:rPr>
          <w:rtl w:val="0"/>
        </w:rPr>
      </w:r>
    </w:p>
    <w:p w:rsidR="00000000" w:rsidDel="00000000" w:rsidP="00000000" w:rsidRDefault="00000000" w:rsidRPr="00000000" w14:paraId="00000096">
      <w:pPr>
        <w:keepNext w:val="0"/>
        <w:keepLines w:val="0"/>
        <w:widowControl w:val="1"/>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UML</w:t>
        <w:tab/>
        <w:tab/>
        <w:t xml:space="preserve">Unified Modeling Language (Linguagem de Modelagem Unificada)</w:t>
      </w:r>
      <w:r w:rsidDel="00000000" w:rsidR="00000000" w:rsidRPr="00000000">
        <w:rPr>
          <w:rtl w:val="0"/>
        </w:rPr>
      </w:r>
    </w:p>
    <w:p w:rsidR="00000000" w:rsidDel="00000000" w:rsidP="00000000" w:rsidRDefault="00000000" w:rsidRPr="00000000" w14:paraId="00000097">
      <w:pPr>
        <w:keepNext w:val="0"/>
        <w:keepLines w:val="0"/>
        <w:widowControl w:val="1"/>
        <w:shd w:fill="auto" w:val="clear"/>
        <w:spacing w:after="0" w:before="0" w:line="480" w:lineRule="auto"/>
        <w:ind w:left="0" w:right="0" w:firstLine="0"/>
        <w:rPr>
          <w:rFonts w:ascii="Arial" w:cs="Arial" w:eastAsia="Arial" w:hAnsi="Arial"/>
          <w:i w:val="0"/>
          <w:iCs w:val="0"/>
          <w:smallCaps w:val="0"/>
          <w:strike w:val="0"/>
          <w:color w:val="000000"/>
          <w:sz w:val="24"/>
          <w:szCs w:val="24"/>
          <w:u w:val="none"/>
          <w:shd w:fill="auto" w:val="clear"/>
          <w:vertAlign w:val="baseline"/>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701" w:left="1701" w:right="1134" w:header="1134" w:footer="720" w:gutter="0"/>
          <w:pgNumType w:start="1"/>
          <w:titlePg w:val="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XP</w:t>
        <w:tab/>
        <w:tab/>
        <w:t xml:space="preserve">Experience Points (Pontos de Experiência)</w:t>
      </w:r>
    </w:p>
    <w:p w:rsidR="00000000" w:rsidDel="00000000" w:rsidP="00000000" w:rsidRDefault="00000000" w:rsidRPr="00000000" w14:paraId="00000098">
      <w:pPr>
        <w:pStyle w:val="Heading1"/>
        <w:numPr>
          <w:ilvl w:val="0"/>
          <w:numId w:val="2"/>
        </w:numPr>
        <w:ind w:left="432" w:hanging="432"/>
        <w:rPr/>
      </w:pPr>
      <w:bookmarkStart w:colFirst="0" w:colLast="0" w:name="_heading=h.5q5bj749ph5z" w:id="10"/>
      <w:bookmarkEnd w:id="10"/>
      <w:r w:rsidDel="00000000" w:rsidR="00000000" w:rsidRPr="00000000">
        <w:rPr>
          <w:rtl w:val="0"/>
        </w:rPr>
        <w:t xml:space="preserve">INTRODUÇÃO</w:t>
      </w:r>
    </w:p>
    <w:p w:rsidR="00000000" w:rsidDel="00000000" w:rsidP="00000000" w:rsidRDefault="00000000" w:rsidRPr="00000000" w14:paraId="00000099">
      <w:pPr>
        <w:pStyle w:val="Heading2"/>
        <w:numPr>
          <w:ilvl w:val="1"/>
          <w:numId w:val="2"/>
        </w:numPr>
        <w:ind w:left="576" w:hanging="576"/>
        <w:rPr/>
      </w:pPr>
      <w:bookmarkStart w:colFirst="0" w:colLast="0" w:name="_heading=h.5g0iijcxvpn4" w:id="11"/>
      <w:bookmarkEnd w:id="11"/>
      <w:r w:rsidDel="00000000" w:rsidR="00000000" w:rsidRPr="00000000">
        <w:rPr>
          <w:rtl w:val="0"/>
        </w:rPr>
        <w:t xml:space="preserve">Introdução</w:t>
      </w:r>
    </w:p>
    <w:p w:rsidR="00000000" w:rsidDel="00000000" w:rsidP="00000000" w:rsidRDefault="00000000" w:rsidRPr="00000000" w14:paraId="0000009A">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programação constitui uma das portas de entrada mais importantes para a área de tecnologia, mas também um de seus maiores gargalos de formação. Cursos introdutórios de programação apresentam altas taxas de evasão, em parte porque os iniciantes precisam dominar simultaneamente a sintaxe, o pensamento computacional e a depuração de erros lógicos, o que impõe elevada demanda cognitiva (PITTS; HRIDI; LEKSHMI-NARAYANAN, 2025, p. 255). O apoio individualizado e oportuno é justamente o que ajuda o iniciante a superar essas lacunas, contudo, esse apoio depende de professores e monitores, cuja disponibilidade não escala com o número de alunos (PITTS; HRIDI; LEKSHMI-NARAYANAN, 2025, p. 255).</w:t>
      </w:r>
      <w:r w:rsidDel="00000000" w:rsidR="00000000" w:rsidRPr="00000000">
        <w:rPr>
          <w:rtl w:val="0"/>
        </w:rPr>
      </w:r>
    </w:p>
    <w:p w:rsidR="00000000" w:rsidDel="00000000" w:rsidP="00000000" w:rsidRDefault="00000000" w:rsidRPr="00000000" w14:paraId="0000009B">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aprendizado da programação exige que os alunos desenvolvam o pensamento computacional alinhado à capacidade de resolução de problemas. Porém os princípios da programação costumam ser abstratos e complexos para iniciantes, o que pode gerar sobrecarga cognitiva e levar à desmotivação e à baixa autoeficácia (MA et al., 2023, p. 9212).</w:t>
      </w:r>
      <w:r w:rsidDel="00000000" w:rsidR="00000000" w:rsidRPr="00000000">
        <w:rPr>
          <w:rtl w:val="0"/>
        </w:rPr>
      </w:r>
    </w:p>
    <w:p w:rsidR="00000000" w:rsidDel="00000000" w:rsidP="00000000" w:rsidRDefault="00000000" w:rsidRPr="00000000" w14:paraId="0000009C">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rtl w:val="0"/>
        </w:rPr>
        <w:t xml:space="preserve">Áreas que enfrentam problemas semelhantes têm adotado a estratégia da gamificação: a integração de elementos de design de jogos em cenários não relacionados a jogos, com o objetivo de impulsionar o engajamento e a motivação dos usuários (PERSADA, 2023, p. 43). Uma destas áreas, é o ensino e aprendizagem de idiomas, onde o Duolingo destaca-se como a plataforma mais popular do mundo, empregando mais de 22 recursos gamificados, entre os quais placares de líderes, ofensivas (streaks) e moedas virtuais (RAMADHAN et al., 2025, p. 429; SHORTT et al., 2023, p. 519).</w:t>
      </w:r>
      <w:r w:rsidDel="00000000" w:rsidR="00000000" w:rsidRPr="00000000">
        <w:rPr>
          <w:rtl w:val="0"/>
        </w:rPr>
      </w:r>
    </w:p>
    <w:p w:rsidR="00000000" w:rsidDel="00000000" w:rsidP="00000000" w:rsidRDefault="00000000" w:rsidRPr="00000000" w14:paraId="0000009D">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Evidências empíricas sustentam a eficácia da gamificação especificamente no ensino de programação. Uma meta-análise de 21 estudos empíricos constatou efeito global positivo (diferença média padronizada — SMD, do inglês standardized mean difference — de 0,63), com maior impacto sobre a motivação e o desempenho acadêmico dos estudantes, sendo esse efeito ainda mais pronunciado na programação baseada em texto (justamente a de maior dificuldade para iniciantes) (ZHAN et al., 2022, p. 5-9). Experimentos controlados confirmam ganhos concretos de engajamento: em um curso de programação introdutória com Mastery Learning, estudantes com acesso a uma plataforma gamificada (placares de líderes, medalhas e recordes pessoais) concluíram, em média, ao menos 46% mais exercícios por semana do que o grupo de controle (DE PONTES; GUERRERO; DE FIGUEIREDO, 2019, p. 400).</w:t>
      </w:r>
      <w:r w:rsidDel="00000000" w:rsidR="00000000" w:rsidRPr="00000000">
        <w:rPr>
          <w:rtl w:val="0"/>
        </w:rPr>
      </w:r>
    </w:p>
    <w:p w:rsidR="00000000" w:rsidDel="00000000" w:rsidP="00000000" w:rsidRDefault="00000000" w:rsidRPr="00000000" w14:paraId="0000009E">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No campo específico da Engenharia de Software, a gamificação também vem sendo adotada para elevar a motivação e o engajamento, mas a maioria das iniciativas segue uma estratégia de tamanho único (one-size-fits-all) que ignora os diferentes perfis motivacionais dos estudantes, resultando em eficácia limitada e, por vezes, em desengajamento (MEISSNER et al., 2026, p. 1). Levantamentos com estudantes da área reforçam o problema: 86% relatam dificuldade em manter a motivação e 64% tendem a procrastinar quando não sabem qual é o próximo passo, o que evidencia a importância de metas claras e de uma progressão estruturada (MEISSNER et al., 2026, p. 3).</w:t>
      </w:r>
      <w:r w:rsidDel="00000000" w:rsidR="00000000" w:rsidRPr="00000000">
        <w:rPr>
          <w:rtl w:val="0"/>
        </w:rPr>
      </w:r>
    </w:p>
    <w:p w:rsidR="00000000" w:rsidDel="00000000" w:rsidP="00000000" w:rsidRDefault="00000000" w:rsidRPr="00000000" w14:paraId="0000009F">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Apesar do sucesso comercial, a literatura aponta que apenas a adição de recompensas gamificadas não garante a aprendizagem, podendo inclusive causar o denominado “efeito de superjustificação”, no qual recompensas externas excessivas minam a motivação intrínseca do aluno (RAMADHAN et al., 2025, p. 430). Além disso, plataformas comerciais frequentemente focam em exercícios repetitivos de base behaviorista, negligenciando o uso autêntico e a aplicação prática do conhecimento (SHORTT et al., 2023, p. 531).</w:t>
      </w:r>
      <w:r w:rsidDel="00000000" w:rsidR="00000000" w:rsidRPr="00000000">
        <w:rPr>
          <w:rtl w:val="0"/>
        </w:rPr>
      </w:r>
    </w:p>
    <w:p w:rsidR="00000000" w:rsidDel="00000000" w:rsidP="00000000" w:rsidRDefault="00000000" w:rsidRPr="00000000" w14:paraId="000000A0">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Nesse contexto, a Inteligência Artificial (IA) generativa surge como recurso para escalar o apoio individualizado, gerando dicas, explicações e feedback sobre as respostas do estudante. Sua eficácia, porém, depende de equilibrar a automação com a supervisão humana (human-in-the-loop): abordagens totalmente automatizadas tendem a não capturar as nuances pedagógicas do ensino de programação e podem até prejudicar a aprendizagem quando entregam a solução pronta cedo demais, em vez de andaimar o raciocínio do aluno (PITTS; HRIDI; LEKSHMI-NARAYANAN, 2025, p. 256-257).</w:t>
      </w:r>
      <w:r w:rsidDel="00000000" w:rsidR="00000000" w:rsidRPr="00000000">
        <w:rPr>
          <w:rtl w:val="0"/>
        </w:rPr>
      </w:r>
    </w:p>
    <w:p w:rsidR="00000000" w:rsidDel="00000000" w:rsidP="00000000" w:rsidRDefault="00000000" w:rsidRPr="00000000" w14:paraId="000000A1">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Observa-se, assim, uma lacuna: as plataformas gamificadas consolidadas no mercado concentram-se no ensino de sintaxe isolada e de idiomas, sem articular a escrita de código a boas práticas de Engenharia de Software — como testar, modelar e avaliar a qualidade do próprio código —, enquanto muitas iniciativas se apoiam em recompensas que, quando mal calibradas, provocam o efeito de superjustificação. Carece-se, portanto, de uma plataforma que una as mecânicas de engajamento já validadas pelo mercado a estratégias que promovam o aprendizado sólido de programação, aplicado em cenários próximos da realidade e capaz de validar o conhecimento prévio do usuário sem minar sua motivação intrínseca.</w:t>
      </w:r>
      <w:r w:rsidDel="00000000" w:rsidR="00000000" w:rsidRPr="00000000">
        <w:rPr>
          <w:rtl w:val="0"/>
        </w:rPr>
      </w:r>
    </w:p>
    <w:p w:rsidR="00000000" w:rsidDel="00000000" w:rsidP="00000000" w:rsidRDefault="00000000" w:rsidRPr="00000000" w14:paraId="000000A2">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Portanto, este trabalho propõe o desenvolvimento de uma plataforma web gamificada de apoio ao ensino de programação, voltada a iniciantes que já possuem um conhecimento prévio, em especial jovens no início de seus cursos de tecnologia, mas não deixando de incluir outros profissionais interessados em conhecer os fundamentos da área.</w:t>
      </w:r>
      <w:r w:rsidDel="00000000" w:rsidR="00000000" w:rsidRPr="00000000">
        <w:rPr>
          <w:rtl w:val="0"/>
        </w:rPr>
      </w:r>
    </w:p>
    <w:p w:rsidR="00000000" w:rsidDel="00000000" w:rsidP="00000000" w:rsidRDefault="00000000" w:rsidRPr="00000000" w14:paraId="000000A3">
      <w:pPr>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O conteúdo da plataforma é organizado em trilhas de aprendizado de lógica, sintaxe e ferramentas de programação, planejadas a partir das disciplinas do curso de Engenharia de Software da Pontifícia Universidade Católica do Paraná. Os conceitos de Engenharia de Software não formam trilhas isoladas: </w:t>
      </w:r>
      <w:r w:rsidDel="00000000" w:rsidR="00000000" w:rsidRPr="00000000">
        <w:rPr>
          <w:rFonts w:ascii="Arial" w:cs="Arial" w:eastAsia="Arial" w:hAnsi="Arial"/>
          <w:rtl w:val="0"/>
        </w:rPr>
        <w:t xml:space="preserve">são</w:t>
      </w:r>
      <w:r w:rsidDel="00000000" w:rsidR="00000000" w:rsidRPr="00000000">
        <w:rPr>
          <w:rFonts w:ascii="Arial" w:cs="Arial" w:eastAsia="Arial" w:hAnsi="Arial"/>
          <w:sz w:val="24"/>
          <w:szCs w:val="24"/>
          <w:rtl w:val="0"/>
        </w:rPr>
        <w:t xml:space="preserve"> incorporados às atividades de código, sempre a serviço da escrita e da compreensão de programas. Assim, um diagrama UML simples é apresentado para que o usuário escolha qual código melhor o atende; um trecho de programa motiva a decisão sobre qual é a melhor forma de testá-lo (verificação e validação); e boas práticas de qualidade e de uso de ferramentas reais, como o controle de versão com Git, são exercitadas sobre o próprio código. Esse recorte ainda é pouco explorado pelas plataformas comerciais de ensino de programação, como SoloLearn, Codecademy e Exercism, que se concentram quase exclusivamente na sintaxe (SOLOLEARN, 2026; CODECADEMY, 2026; EXERCISM, 2026).</w:t>
      </w:r>
      <w:r w:rsidDel="00000000" w:rsidR="00000000" w:rsidRPr="00000000">
        <w:rPr>
          <w:rtl w:val="0"/>
        </w:rPr>
      </w:r>
    </w:p>
    <w:p w:rsidR="00000000" w:rsidDel="00000000" w:rsidP="00000000" w:rsidRDefault="00000000" w:rsidRPr="00000000" w14:paraId="000000A4">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A dificuldade das atividades de cada trilha é crescente e de tipos variados, a fim de sustentar o engajamento sem recorrer à repetição mecânica: questões de múltipla escolha, problemas de Parsons (reordenação de linhas de código embaralhadas), preenchimento de lacunas, previsão da saída do código, identificação e correção de erros, associação de elementos (por exemplo, relacionar um diagrama UML ao trecho de código que o implementa ou um caso de teste ao requisito que ele verifica), casos contrastantes — nos quais dois exemplos de código quase idênticos diferem apenas em uma característica crítica (MA et al., 2023, p. 9216) — e questões de resposta aberta corrigidas por IA.</w:t>
      </w:r>
      <w:r w:rsidDel="00000000" w:rsidR="00000000" w:rsidRPr="00000000">
        <w:rPr>
          <w:rtl w:val="0"/>
        </w:rPr>
      </w:r>
    </w:p>
    <w:p w:rsidR="00000000" w:rsidDel="00000000" w:rsidP="00000000" w:rsidRDefault="00000000" w:rsidRPr="00000000" w14:paraId="000000A5">
      <w:pPr>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A abordagem é tangencial: em vez de servir apenas como reforço, cada trilha conduz o usuário à aquisição de conceitos novos ao mesmo tempo em que revisita e valida o conhecimento prévio, estratégia alinhada à ideia de preparar o aprendiz para aprendizados futuros, na qual atividades que exploram o que já se conhece também o habilitam a assimilar conteúdo novo e a transferi-lo para novos contextos (MA et al., 2023, p. 9215). Para o feedback das respostas abertas, a plataforma adota uma arquitetura web que se comunica com um serviço de IA por meio de uma interface de programação (API), preservando a supervisão humana sobre os critérios de avaliação.</w:t>
      </w:r>
      <w:r w:rsidDel="00000000" w:rsidR="00000000" w:rsidRPr="00000000">
        <w:rPr>
          <w:rtl w:val="0"/>
        </w:rPr>
      </w:r>
    </w:p>
    <w:p w:rsidR="00000000" w:rsidDel="00000000" w:rsidP="00000000" w:rsidRDefault="00000000" w:rsidRPr="00000000" w14:paraId="000000A6">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2"/>
        <w:numPr>
          <w:ilvl w:val="1"/>
          <w:numId w:val="2"/>
        </w:numPr>
        <w:ind w:left="576" w:hanging="576"/>
        <w:rPr/>
      </w:pPr>
      <w:bookmarkStart w:colFirst="0" w:colLast="0" w:name="_heading=h.4flol57wzkc2" w:id="12"/>
      <w:bookmarkEnd w:id="12"/>
      <w:r w:rsidDel="00000000" w:rsidR="00000000" w:rsidRPr="00000000">
        <w:rPr>
          <w:rtl w:val="0"/>
        </w:rPr>
        <w:t xml:space="preserve">Objetivos</w:t>
      </w:r>
    </w:p>
    <w:p w:rsidR="00000000" w:rsidDel="00000000" w:rsidP="00000000" w:rsidRDefault="00000000" w:rsidRPr="00000000" w14:paraId="000000A8">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Objetivo Geral:</w:t>
      </w:r>
    </w:p>
    <w:p w:rsidR="00000000" w:rsidDel="00000000" w:rsidP="00000000" w:rsidRDefault="00000000" w:rsidRPr="00000000" w14:paraId="000000A9">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Propor e estruturar o desenvolvimento de uma plataforma web gamificada de apoio ao ensino de programação, apoiada por conceitos de Engenharia de Software, para pessoas iniciantes na área, baseada nas mecânicas de retenção do Duolingo e em estratégias de redução da carga cognitiva, adotando uma abordagem tangencial na qual o usuário adquire novos conhecimentos e, simultaneamente, reforça e valida os que já possui.</w:t>
      </w:r>
      <w:r w:rsidDel="00000000" w:rsidR="00000000" w:rsidRPr="00000000">
        <w:rPr>
          <w:rtl w:val="0"/>
        </w:rPr>
      </w:r>
    </w:p>
    <w:p w:rsidR="00000000" w:rsidDel="00000000" w:rsidP="00000000" w:rsidRDefault="00000000" w:rsidRPr="00000000" w14:paraId="000000AA">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AC">
      <w:pPr>
        <w:keepNext w:val="0"/>
        <w:keepLines w:val="0"/>
        <w:pageBreakBefore w:val="0"/>
        <w:widowControl w:val="1"/>
        <w:numPr>
          <w:ilvl w:val="0"/>
          <w:numId w:val="1"/>
        </w:numPr>
        <w:shd w:fill="auto" w:val="clear"/>
        <w:spacing w:after="0" w:before="0" w:line="360" w:lineRule="auto"/>
        <w:ind w:left="720" w:right="0" w:hanging="360"/>
        <w:jc w:val="both"/>
        <w:rPr>
          <w:rFonts w:ascii="Arial" w:cs="Arial" w:eastAsia="Arial" w:hAnsi="Arial"/>
        </w:rPr>
      </w:pPr>
      <w:r w:rsidDel="00000000" w:rsidR="00000000" w:rsidRPr="00000000">
        <w:rPr>
          <w:rFonts w:ascii="Arial" w:cs="Arial" w:eastAsia="Arial" w:hAnsi="Arial"/>
          <w:sz w:val="24"/>
          <w:szCs w:val="24"/>
          <w:rtl w:val="0"/>
        </w:rPr>
        <w:t xml:space="preserve">Mapear os elementos de gamificação (como virtualização, comparação social e recompensas por conclusão de atividades) que impactam positivamente a retenção e proporcionam uma boa experiência do usuário.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shd w:fill="auto" w:val="clear"/>
        <w:spacing w:after="0" w:before="0" w:line="360" w:lineRule="auto"/>
        <w:ind w:left="720" w:right="0" w:hanging="360"/>
        <w:jc w:val="both"/>
        <w:rPr>
          <w:rFonts w:ascii="Arial" w:cs="Arial" w:eastAsia="Arial" w:hAnsi="Arial"/>
        </w:rPr>
      </w:pPr>
      <w:r w:rsidDel="00000000" w:rsidR="00000000" w:rsidRPr="00000000">
        <w:rPr>
          <w:rFonts w:ascii="Arial" w:cs="Arial" w:eastAsia="Arial" w:hAnsi="Arial"/>
          <w:sz w:val="24"/>
          <w:szCs w:val="24"/>
          <w:rtl w:val="0"/>
        </w:rPr>
        <w:t xml:space="preserve">Integrar a abordagem pedagógica de casos contrastantes e outros tipos de exercício para apoiar tanto a aquisição de novos conceitos quanto a fixação da lógica de programação, incorporando conceitos de Engenharia de Software aplicados diretamente à escrita e à avaliação de código.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shd w:fill="auto" w:val="clear"/>
        <w:spacing w:after="0" w:before="0" w:line="360" w:lineRule="auto"/>
        <w:ind w:left="720" w:right="0" w:hanging="360"/>
        <w:jc w:val="both"/>
        <w:rPr>
          <w:rFonts w:ascii="Arial" w:cs="Arial" w:eastAsia="Arial" w:hAnsi="Arial"/>
        </w:rPr>
      </w:pPr>
      <w:r w:rsidDel="00000000" w:rsidR="00000000" w:rsidRPr="00000000">
        <w:rPr>
          <w:rFonts w:ascii="Arial" w:cs="Arial" w:eastAsia="Arial" w:hAnsi="Arial"/>
          <w:sz w:val="24"/>
          <w:szCs w:val="24"/>
          <w:rtl w:val="0"/>
        </w:rPr>
        <w:t xml:space="preserve">Definir requisitos funcionais que sustentem a aprendizagem progressiva e evitem a frustração e o declínio da motivação intrínseca do usuário, incluindo o uso de feedback assistido por Inteligência Artificial com supervisão humana.</w:t>
      </w:r>
      <w:r w:rsidDel="00000000" w:rsidR="00000000" w:rsidRPr="00000000">
        <w:rPr>
          <w:rtl w:val="0"/>
        </w:rPr>
      </w:r>
    </w:p>
    <w:p w:rsidR="00000000" w:rsidDel="00000000" w:rsidP="00000000" w:rsidRDefault="00000000" w:rsidRPr="00000000" w14:paraId="000000AF">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Questão de Pesquisa:</w:t>
        <w:br w:type="textWrapping"/>
        <w:t xml:space="preserve">Como projetar uma plataforma gamificada que ensine programação, apoiada por conceitos de Engenharia de Software, a iniciantes — equilibrando a retenção proporcionada pela gamificação com o aprendizado efetivo, sem incorrer no efeito de superjustificação?</w:t>
      </w:r>
      <w:r w:rsidDel="00000000" w:rsidR="00000000" w:rsidRPr="00000000">
        <w:rPr>
          <w:rtl w:val="0"/>
        </w:rPr>
      </w:r>
    </w:p>
    <w:p w:rsidR="00000000" w:rsidDel="00000000" w:rsidP="00000000" w:rsidRDefault="00000000" w:rsidRPr="00000000" w14:paraId="000000B0">
      <w:pPr>
        <w:keepNext w:val="0"/>
        <w:keepLines w:val="0"/>
        <w:pageBreakBefore w:val="0"/>
        <w:widowControl w:val="1"/>
        <w:shd w:fill="auto" w:val="clear"/>
        <w:spacing w:after="0" w:before="0" w:line="360" w:lineRule="auto"/>
        <w:ind w:left="720" w:right="0" w:firstLine="0"/>
        <w:jc w:val="both"/>
        <w:rPr>
          <w:rFonts w:ascii="Arial" w:cs="Arial" w:eastAsia="Arial" w:hAnsi="Arial"/>
          <w:u w:val="none"/>
        </w:rPr>
      </w:pPr>
      <w:r w:rsidDel="00000000" w:rsidR="00000000" w:rsidRPr="00000000">
        <w:rPr>
          <w:rtl w:val="0"/>
        </w:rPr>
      </w:r>
    </w:p>
    <w:bookmarkStart w:colFirst="0" w:colLast="0" w:name="bookmark=id.rslo4f7w1vbh" w:id="13"/>
    <w:bookmarkEnd w:id="13"/>
    <w:bookmarkStart w:colFirst="0" w:colLast="0" w:name="bookmark=id.ma5qk6yk6i2" w:id="14"/>
    <w:bookmarkEnd w:id="14"/>
    <w:bookmarkStart w:colFirst="0" w:colLast="0" w:name="bookmark=id.tfz15c1f6qa" w:id="15"/>
    <w:bookmarkEnd w:id="15"/>
    <w:p w:rsidR="00000000" w:rsidDel="00000000" w:rsidP="00000000" w:rsidRDefault="00000000" w:rsidRPr="00000000" w14:paraId="000000B1">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1"/>
        <w:numPr>
          <w:ilvl w:val="0"/>
          <w:numId w:val="2"/>
        </w:numPr>
        <w:ind w:left="432" w:hanging="432"/>
        <w:rPr/>
      </w:pPr>
      <w:bookmarkStart w:colFirst="0" w:colLast="0" w:name="_heading=h.rkbiohuajvjk" w:id="16"/>
      <w:bookmarkEnd w:id="16"/>
      <w:r w:rsidDel="00000000" w:rsidR="00000000" w:rsidRPr="00000000">
        <w:rPr>
          <w:rtl w:val="0"/>
        </w:rPr>
        <w:t xml:space="preserve">REVISÃO DA LITERATURA</w:t>
      </w:r>
    </w:p>
    <w:p w:rsidR="00000000" w:rsidDel="00000000" w:rsidP="00000000" w:rsidRDefault="00000000" w:rsidRPr="00000000" w14:paraId="000000B3">
      <w:pPr>
        <w:pStyle w:val="Heading2"/>
        <w:numPr>
          <w:ilvl w:val="1"/>
          <w:numId w:val="2"/>
        </w:numPr>
        <w:ind w:left="576" w:hanging="576"/>
        <w:rPr/>
      </w:pPr>
      <w:bookmarkStart w:colFirst="0" w:colLast="0" w:name="_heading=h.elyxu98av9a9" w:id="17"/>
      <w:bookmarkEnd w:id="17"/>
      <w:r w:rsidDel="00000000" w:rsidR="00000000" w:rsidRPr="00000000">
        <w:rPr>
          <w:rtl w:val="0"/>
        </w:rPr>
        <w:t xml:space="preserve">A gamificação e o Modelo Duolingo</w:t>
      </w:r>
    </w:p>
    <w:p w:rsidR="00000000" w:rsidDel="00000000" w:rsidP="00000000" w:rsidRDefault="00000000" w:rsidRPr="00000000" w14:paraId="000000B4">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gamificação transformou a forma como os usuários interagem com aplicativos educacionais. O Duolingo, lançado globalmente em 2012, tornou-se o aplicativo dominante em seu meio por seu modelo freemium e pela ampla integração de elementos gamificados (SHORTT et al., 2023, p. 517-518). Estudos baseados no Modelo de Sucesso de Sistemas de Informação de DeLone e McLean demonstram que, no Duolingo, a satisfação do usuário é o principal impulsionador da retenção de longo prazo (RAMADHAN et al., 2025, p. 433).</w:t>
      </w:r>
      <w:r w:rsidDel="00000000" w:rsidR="00000000" w:rsidRPr="00000000">
        <w:rPr>
          <w:rtl w:val="0"/>
        </w:rPr>
      </w:r>
    </w:p>
    <w:p w:rsidR="00000000" w:rsidDel="00000000" w:rsidP="00000000" w:rsidRDefault="00000000" w:rsidRPr="00000000" w14:paraId="000000B5">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sucesso de iniciativas gamificadas depende da combinação de três recursos de design: virtualização (avatares e mapas de progresso virtual), comparação social (placares de líderes) e recompensas tangíveis ou intangíveis (JACOBIDES et al., 2024, p. 91). O Duolingo aplica intensamente a comparação social, permitindo que os usuários observem o progresso de amigos, o que cria um forte mecanismo de aprisionamento (lock-in) e de retenção de usuários (JACOBIDES et al., 2024, p. 99-100).</w:t>
      </w:r>
      <w:r w:rsidDel="00000000" w:rsidR="00000000" w:rsidRPr="00000000">
        <w:rPr>
          <w:rtl w:val="0"/>
        </w:rPr>
      </w:r>
    </w:p>
    <w:p w:rsidR="00000000" w:rsidDel="00000000" w:rsidP="00000000" w:rsidRDefault="00000000" w:rsidRPr="00000000" w14:paraId="000000B6">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Em levantamento dos elementos de gamificação de aplicativos de dispositivos </w:t>
      </w:r>
      <w:r w:rsidDel="00000000" w:rsidR="00000000" w:rsidRPr="00000000">
        <w:rPr>
          <w:rFonts w:ascii="Arial" w:cs="Arial" w:eastAsia="Arial" w:hAnsi="Arial"/>
          <w:color w:val="000000"/>
          <w:rtl w:val="0"/>
        </w:rPr>
        <w:t xml:space="preserve">móveis</w:t>
      </w:r>
      <w:r w:rsidDel="00000000" w:rsidR="00000000" w:rsidRPr="00000000">
        <w:rPr>
          <w:rFonts w:ascii="Arial" w:cs="Arial" w:eastAsia="Arial" w:hAnsi="Arial"/>
          <w:color w:val="000000"/>
          <w:sz w:val="24"/>
          <w:szCs w:val="24"/>
          <w:rtl w:val="0"/>
        </w:rPr>
        <w:t xml:space="preserve"> o Duolingo foi identificado como um dos mais gamificados, reunindo cerca de 22 recursos, dentre eles: indicadores de progresso, feedback imediato, ofensivas (streaks), placares de líderes, medalhas, conquistas e economia virtual de moedas (SHORTT et al., 2023, p. 519). Estudos sobre a retenção </w:t>
      </w:r>
      <w:r w:rsidDel="00000000" w:rsidR="00000000" w:rsidRPr="00000000">
        <w:rPr>
          <w:rFonts w:ascii="Arial" w:cs="Arial" w:eastAsia="Arial" w:hAnsi="Arial"/>
          <w:color w:val="000000"/>
          <w:rtl w:val="0"/>
        </w:rPr>
        <w:t xml:space="preserve">desses</w:t>
      </w:r>
      <w:r w:rsidDel="00000000" w:rsidR="00000000" w:rsidRPr="00000000">
        <w:rPr>
          <w:rFonts w:ascii="Arial" w:cs="Arial" w:eastAsia="Arial" w:hAnsi="Arial"/>
          <w:color w:val="000000"/>
          <w:sz w:val="24"/>
          <w:szCs w:val="24"/>
          <w:rtl w:val="0"/>
        </w:rPr>
        <w:t xml:space="preserve"> recursos, contudo, indicam que a satisfação do usuário, e não a mera presença de recompensas, é o que sustenta o uso contínuo (RAMADHAN et al., 2025, p. 433), o que orienta a seleção criteriosa das mecânicas a serem adotadas na plataforma proposta.</w:t>
      </w:r>
      <w:r w:rsidDel="00000000" w:rsidR="00000000" w:rsidRPr="00000000">
        <w:rPr>
          <w:rtl w:val="0"/>
        </w:rPr>
      </w:r>
    </w:p>
    <w:p w:rsidR="00000000" w:rsidDel="00000000" w:rsidP="00000000" w:rsidRDefault="00000000" w:rsidRPr="00000000" w14:paraId="000000B7">
      <w:pPr>
        <w:pStyle w:val="Heading2"/>
        <w:numPr>
          <w:ilvl w:val="1"/>
          <w:numId w:val="2"/>
        </w:numPr>
        <w:ind w:left="576" w:hanging="576"/>
        <w:rPr/>
      </w:pPr>
      <w:bookmarkStart w:colFirst="0" w:colLast="0" w:name="_heading=h.9d1vmslfk0sd" w:id="18"/>
      <w:bookmarkEnd w:id="18"/>
      <w:r w:rsidDel="00000000" w:rsidR="00000000" w:rsidRPr="00000000">
        <w:rPr>
          <w:rtl w:val="0"/>
        </w:rPr>
        <w:t xml:space="preserve">Estratégias Cognitivas</w:t>
      </w:r>
    </w:p>
    <w:p w:rsidR="00000000" w:rsidDel="00000000" w:rsidP="00000000" w:rsidRDefault="00000000" w:rsidRPr="00000000" w14:paraId="000000B8">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Para que a plataforma a ser desenvolvida não seja apenas um “jogo vazio”, ela precisa de base pedagógica. Iniciantes enfrentam alta carga mental ao lidar com as estruturas abstratas iniciais da programação. Uma estratégia válida para mitigar isso é a abordagem de casos contrastantes, que consiste em apresentar dois exemplos de código simultaneamente, diferindo apenas em características críticas (MA et al., 2023, p. 9216). A análise simultânea de casos contrastantes ajuda os alunos a notar características estruturais profundas e reduz a carga cognitiva, resultando em melhor desempenho de aprendizagem em relação à análise de casos únicos (MA et al., 2023, p. 9229-9230).</w:t>
      </w:r>
      <w:r w:rsidDel="00000000" w:rsidR="00000000" w:rsidRPr="00000000">
        <w:rPr>
          <w:rtl w:val="0"/>
        </w:rPr>
      </w:r>
    </w:p>
    <w:p w:rsidR="00000000" w:rsidDel="00000000" w:rsidP="00000000" w:rsidRDefault="00000000" w:rsidRPr="00000000" w14:paraId="000000B9">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literatura também aponta o potencial do uso de Inteligência Artificial (IA) para fornecer </w:t>
      </w:r>
      <w:r w:rsidDel="00000000" w:rsidR="00000000" w:rsidRPr="00000000">
        <w:rPr>
          <w:rFonts w:ascii="Arial" w:cs="Arial" w:eastAsia="Arial" w:hAnsi="Arial"/>
          <w:rtl w:val="0"/>
        </w:rPr>
        <w:t xml:space="preserve">suporte </w:t>
      </w:r>
      <w:r w:rsidDel="00000000" w:rsidR="00000000" w:rsidRPr="00000000">
        <w:rPr>
          <w:rFonts w:ascii="Arial" w:cs="Arial" w:eastAsia="Arial" w:hAnsi="Arial"/>
          <w:color w:val="000000"/>
          <w:sz w:val="24"/>
          <w:szCs w:val="24"/>
          <w:rtl w:val="0"/>
        </w:rPr>
        <w:t xml:space="preserve">(scaffolding)</w:t>
      </w:r>
      <w:r w:rsidDel="00000000" w:rsidR="00000000" w:rsidRPr="00000000">
        <w:rPr>
          <w:rFonts w:ascii="Arial" w:cs="Arial" w:eastAsia="Arial" w:hAnsi="Arial"/>
          <w:vertAlign w:val="superscript"/>
        </w:rPr>
        <w:footnoteReference w:customMarkFollows="0" w:id="0"/>
      </w:r>
      <w:r w:rsidDel="00000000" w:rsidR="00000000" w:rsidRPr="00000000">
        <w:rPr>
          <w:rFonts w:ascii="Arial" w:cs="Arial" w:eastAsia="Arial" w:hAnsi="Arial"/>
          <w:color w:val="000000"/>
          <w:sz w:val="24"/>
          <w:szCs w:val="24"/>
          <w:rtl w:val="0"/>
        </w:rPr>
        <w:t xml:space="preserve"> dentro de jogos educacionais. Ferramentas como chatbots podem oferecer suporte adaptativo em tempo real para evitar que os alunos se concentrem apenas nas mecânicas gamificadas em detrimento dos objetivos de aprendizagem, mantendo-os em estado de fluxo e reduzindo sua carga mental extrínseca (CHEN; CHANG, 2024, p. 18622).</w:t>
      </w:r>
      <w:r w:rsidDel="00000000" w:rsidR="00000000" w:rsidRPr="00000000">
        <w:rPr>
          <w:rtl w:val="0"/>
        </w:rPr>
      </w:r>
    </w:p>
    <w:p w:rsidR="00000000" w:rsidDel="00000000" w:rsidP="00000000" w:rsidRDefault="00000000" w:rsidRPr="00000000" w14:paraId="000000BA">
      <w:pPr>
        <w:pStyle w:val="Heading2"/>
        <w:numPr>
          <w:ilvl w:val="1"/>
          <w:numId w:val="2"/>
        </w:numPr>
        <w:ind w:left="576" w:hanging="576"/>
        <w:rPr/>
      </w:pPr>
      <w:bookmarkStart w:colFirst="0" w:colLast="0" w:name="_heading=h.vmsnjd34ij9e" w:id="19"/>
      <w:bookmarkEnd w:id="19"/>
      <w:r w:rsidDel="00000000" w:rsidR="00000000" w:rsidRPr="00000000">
        <w:rPr>
          <w:rtl w:val="0"/>
        </w:rPr>
        <w:t xml:space="preserve">Gamificação no Ensino de Programação e Engenharia de Software</w:t>
      </w:r>
    </w:p>
    <w:p w:rsidR="00000000" w:rsidDel="00000000" w:rsidP="00000000" w:rsidRDefault="00000000" w:rsidRPr="00000000" w14:paraId="000000BB">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aplicação da gamificação diretamente no ensino de programação conta com evidência empírica robusta. Uma meta-análise de 21 estudos publicados na última década verificou efeito global positivo de nível médio (SMD = 0,63), com os maiores efeitos sobre a motivação (SMD = 0,77) e o desempenho acadêmico (SMD = 0,75) e efeito menor sobre as habilidades de pensamento (SMD = 0,48); a carga cognitiva, por outro lado, apresentou leve aumento (SMD = 0,23), o que reforça a necessidade de orientação e </w:t>
      </w:r>
      <w:r w:rsidDel="00000000" w:rsidR="00000000" w:rsidRPr="00000000">
        <w:rPr>
          <w:rFonts w:ascii="Arial" w:cs="Arial" w:eastAsia="Arial" w:hAnsi="Arial"/>
          <w:rtl w:val="0"/>
        </w:rPr>
        <w:t xml:space="preserve">suporte </w:t>
      </w:r>
      <w:r w:rsidDel="00000000" w:rsidR="00000000" w:rsidRPr="00000000">
        <w:rPr>
          <w:rFonts w:ascii="Arial" w:cs="Arial" w:eastAsia="Arial" w:hAnsi="Arial"/>
          <w:color w:val="000000"/>
          <w:sz w:val="24"/>
          <w:szCs w:val="24"/>
          <w:rtl w:val="0"/>
        </w:rPr>
        <w:t xml:space="preserve">(scaffolding) adequados (ZHAN et al., 2022, p. 5). O mesmo estudo constatou que o efeito da gamificação é significativamente maior na programação baseada em texto do que na programação gráfica, sugerindo que, quanto mais difícil o conteúdo, maior o benefício da gamificação (ZHAN et al., 2022, p. 9).</w:t>
      </w:r>
      <w:r w:rsidDel="00000000" w:rsidR="00000000" w:rsidRPr="00000000">
        <w:rPr>
          <w:rtl w:val="0"/>
        </w:rPr>
      </w:r>
    </w:p>
    <w:p w:rsidR="00000000" w:rsidDel="00000000" w:rsidP="00000000" w:rsidRDefault="00000000" w:rsidRPr="00000000" w14:paraId="000000BC">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D">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BF">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Tabela 1. Tamanhos de efeito (SMD) da gamificação no ensino de programação, por resultado de aprendizagem e por tipo de programação. Fonte: adaptado de Zhan et al. (2022, p. 5-9).</w:t>
      </w:r>
    </w:p>
    <w:tbl>
      <w:tblPr>
        <w:tblStyle w:val="Table1"/>
        <w:tblW w:w="9072.0" w:type="dxa"/>
        <w:jc w:val="left"/>
        <w:tblBorders>
          <w:top w:color="000000" w:space="0" w:sz="12" w:val="single"/>
          <w:bottom w:color="000000" w:space="0" w:sz="12" w:val="single"/>
          <w:insideH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bottom w:color="000000" w:space="0" w:sz="4" w:val="single"/>
            </w:tcBorders>
          </w:tcPr>
          <w:p w:rsidR="00000000" w:rsidDel="00000000" w:rsidP="00000000" w:rsidRDefault="00000000" w:rsidRPr="00000000" w14:paraId="000000C1">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Categoria</w:t>
            </w:r>
            <w:r w:rsidDel="00000000" w:rsidR="00000000" w:rsidRPr="00000000">
              <w:rPr>
                <w:rtl w:val="0"/>
              </w:rPr>
            </w:r>
          </w:p>
        </w:tc>
        <w:tc>
          <w:tcPr>
            <w:tcBorders>
              <w:bottom w:color="000000" w:space="0" w:sz="4" w:val="single"/>
            </w:tcBorders>
          </w:tcPr>
          <w:p w:rsidR="00000000" w:rsidDel="00000000" w:rsidP="00000000" w:rsidRDefault="00000000" w:rsidRPr="00000000" w14:paraId="000000C2">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Subgrupo</w:t>
            </w:r>
            <w:r w:rsidDel="00000000" w:rsidR="00000000" w:rsidRPr="00000000">
              <w:rPr>
                <w:rtl w:val="0"/>
              </w:rPr>
            </w:r>
          </w:p>
        </w:tc>
        <w:tc>
          <w:tcPr>
            <w:tcBorders>
              <w:bottom w:color="000000" w:space="0" w:sz="4" w:val="single"/>
            </w:tcBorders>
          </w:tcPr>
          <w:p w:rsidR="00000000" w:rsidDel="00000000" w:rsidP="00000000" w:rsidRDefault="00000000" w:rsidRPr="00000000" w14:paraId="000000C3">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Tamanho de efeito (SMD)</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Efeito global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0,63</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Motivação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0,77</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Desempenho acadêmico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0,75</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C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Habilidades de pensamento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0,48</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Resultado de aprendizagem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Carga cognitiva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0,23</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Tipo de programação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Código (texto)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0,84</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D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Tipo de programação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Gráfica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0,47</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D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Tipo de programação</w:t>
            </w:r>
            <w:r w:rsidDel="00000000" w:rsidR="00000000" w:rsidRPr="00000000">
              <w:rPr>
                <w:rtl w:val="0"/>
              </w:rPr>
            </w:r>
          </w:p>
        </w:tc>
        <w:tc>
          <w:tcPr>
            <w:tcBorders>
              <w:top w:color="000000" w:space="0" w:sz="4" w:val="single"/>
            </w:tcBorders>
          </w:tcPr>
          <w:p w:rsidR="00000000" w:rsidDel="00000000" w:rsidP="00000000" w:rsidRDefault="00000000" w:rsidRPr="00000000" w14:paraId="000000D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Mista</w:t>
            </w:r>
            <w:r w:rsidDel="00000000" w:rsidR="00000000" w:rsidRPr="00000000">
              <w:rPr>
                <w:rtl w:val="0"/>
              </w:rPr>
            </w:r>
          </w:p>
        </w:tc>
        <w:tc>
          <w:tcPr>
            <w:tcBorders>
              <w:top w:color="000000" w:space="0" w:sz="4" w:val="single"/>
            </w:tcBorders>
          </w:tcPr>
          <w:p w:rsidR="00000000" w:rsidDel="00000000" w:rsidP="00000000" w:rsidRDefault="00000000" w:rsidRPr="00000000" w14:paraId="000000D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0,23</w:t>
            </w:r>
            <w:r w:rsidDel="00000000" w:rsidR="00000000" w:rsidRPr="00000000">
              <w:rPr>
                <w:rtl w:val="0"/>
              </w:rPr>
            </w:r>
          </w:p>
        </w:tc>
      </w:tr>
    </w:tbl>
    <w:p w:rsidR="00000000" w:rsidDel="00000000" w:rsidP="00000000" w:rsidRDefault="00000000" w:rsidRPr="00000000" w14:paraId="000000DC">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0DD">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No ensino superior, experimentos controlados corroboram esses achados. De Pontes, Guerrero e de Figueiredo (2019, p. 400) integraram uma plataforma gamificada — com placares de líderes semanais anônimos, medalhas e acompanhamento de recordes pessoais — a um curso de programação introdutória conduzido sob a abordagem de Mastery Learning. O grupo com acesso à plataforma concluiu, em média, ao menos 46% mais exercícios por semana do que o grupo de controle equivalente, e as medalhas foram apontadas como o recurso mais motivador pelos participantes. Esse resultado sustenta o uso combinado de trilhas de progressão, medalhas e placares como mecânicas centrais da plataforma proposta.</w:t>
      </w:r>
      <w:r w:rsidDel="00000000" w:rsidR="00000000" w:rsidRPr="00000000">
        <w:rPr>
          <w:rtl w:val="0"/>
        </w:rPr>
      </w:r>
    </w:p>
    <w:p w:rsidR="00000000" w:rsidDel="00000000" w:rsidP="00000000" w:rsidRDefault="00000000" w:rsidRPr="00000000" w14:paraId="000000DE">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Mais próximo do domínio deste trabalho, Meissner et al. (2026, p. 1) observam que a gamificação vem sendo cada vez mais aplicada ao ensino de Engenharia de Software, mas alertam que a maioria das iniciativas adota uma estratégia de tamanho único (one-size-fits-all), pouco eficaz diante da diversidade de perfis motivacionais. Como alternativa, os autores propõem uma gamificação adaptativa em um sistema tutor inteligente, ajustando os elementos ao tipo de jogador, ao progresso no curso e ao nível de competência do estudante, e incorporam um personagem tutor de IA baseado em um modelo de linguagem de grande porte (LLM) com geração aumentada por recuperação (RAG) sobre o material da disciplina (MEISSNER et al., 2026, p. 6). </w:t>
        <w:tab/>
        <w:t xml:space="preserve">Na avaliação, as missões e os indicadores de progresso foram os elementos mais valorizados pelos estudantes por tornarem claros os próximos passos (MEISSNER et al., 2026, p. 9), o que fundamenta diretamente as mecânicas de trilhas e progressão previstas nesta proposta.</w:t>
      </w:r>
      <w:r w:rsidDel="00000000" w:rsidR="00000000" w:rsidRPr="00000000">
        <w:rPr>
          <w:rtl w:val="0"/>
        </w:rPr>
      </w:r>
    </w:p>
    <w:p w:rsidR="00000000" w:rsidDel="00000000" w:rsidP="00000000" w:rsidRDefault="00000000" w:rsidRPr="00000000" w14:paraId="000000DF">
      <w:pPr>
        <w:spacing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O Quadro 1 sintetiza a comparação entre as principais plataformas de ensino existentes e a proposta deste trabalho, com base em análise de suas funcionalidades, evidenciando a lacuna no ensino de programação que integra, de forma gamificada, boas práticas de Engenharia de Software aplicadas ao código.</w:t>
      </w:r>
      <w:r w:rsidDel="00000000" w:rsidR="00000000" w:rsidRPr="00000000">
        <w:rPr>
          <w:rtl w:val="0"/>
        </w:rPr>
      </w:r>
    </w:p>
    <w:p w:rsidR="00000000" w:rsidDel="00000000" w:rsidP="00000000" w:rsidRDefault="00000000" w:rsidRPr="00000000" w14:paraId="000000E0">
      <w:pPr>
        <w:spacing w:line="360" w:lineRule="auto"/>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Quadro 1. Comparativo entre plataformas de ensino existentes e a proposta. Fonte: os Autores.</w:t>
      </w:r>
    </w:p>
    <w:tbl>
      <w:tblPr>
        <w:tblStyle w:val="Table2"/>
        <w:tblW w:w="9072.0" w:type="dxa"/>
        <w:jc w:val="left"/>
        <w:tblBorders>
          <w:top w:color="000000" w:space="0" w:sz="12" w:val="single"/>
          <w:bottom w:color="000000" w:space="0" w:sz="12" w:val="single"/>
          <w:insideH w:color="000000" w:space="0" w:sz="4" w:val="single"/>
        </w:tblBorders>
        <w:tblLayout w:type="fixed"/>
        <w:tblLook w:val="0400"/>
      </w:tblPr>
      <w:tblGrid>
        <w:gridCol w:w="1512"/>
        <w:gridCol w:w="1511"/>
        <w:gridCol w:w="1513"/>
        <w:gridCol w:w="1512"/>
        <w:gridCol w:w="1511"/>
        <w:gridCol w:w="1513"/>
        <w:tblGridChange w:id="0">
          <w:tblGrid>
            <w:gridCol w:w="1512"/>
            <w:gridCol w:w="1511"/>
            <w:gridCol w:w="1513"/>
            <w:gridCol w:w="1512"/>
            <w:gridCol w:w="1511"/>
            <w:gridCol w:w="1513"/>
          </w:tblGrid>
        </w:tblGridChange>
      </w:tblGrid>
      <w:tr>
        <w:trPr>
          <w:cantSplit w:val="0"/>
          <w:tblHeader w:val="0"/>
        </w:trPr>
        <w:tc>
          <w:tcPr>
            <w:tcBorders>
              <w:bottom w:color="000000" w:space="0" w:sz="4" w:val="single"/>
            </w:tcBorders>
          </w:tcPr>
          <w:p w:rsidR="00000000" w:rsidDel="00000000" w:rsidP="00000000" w:rsidRDefault="00000000" w:rsidRPr="00000000" w14:paraId="000000E1">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Plataforma</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Ensina programação</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Conceitos de Engenharia de Software</w:t>
            </w:r>
            <w:r w:rsidDel="00000000" w:rsidR="00000000" w:rsidRPr="00000000">
              <w:rPr>
                <w:rtl w:val="0"/>
              </w:rPr>
            </w:r>
          </w:p>
        </w:tc>
        <w:tc>
          <w:tcPr>
            <w:tcBorders>
              <w:bottom w:color="000000" w:space="0" w:sz="4" w:val="single"/>
            </w:tcBorders>
          </w:tcPr>
          <w:p w:rsidR="00000000" w:rsidDel="00000000" w:rsidP="00000000" w:rsidRDefault="00000000" w:rsidRPr="00000000" w14:paraId="000000E4">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Gamificação</w:t>
            </w:r>
            <w:r w:rsidDel="00000000" w:rsidR="00000000" w:rsidRPr="00000000">
              <w:rPr>
                <w:rtl w:val="0"/>
              </w:rPr>
            </w:r>
          </w:p>
        </w:tc>
        <w:tc>
          <w:tcPr>
            <w:tcBorders>
              <w:bottom w:color="000000" w:space="0" w:sz="4" w:val="single"/>
            </w:tcBorders>
          </w:tcPr>
          <w:p w:rsidR="00000000" w:rsidDel="00000000" w:rsidP="00000000" w:rsidRDefault="00000000" w:rsidRPr="00000000" w14:paraId="000000E5">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Feedback por IA</w:t>
            </w:r>
            <w:r w:rsidDel="00000000" w:rsidR="00000000" w:rsidRPr="00000000">
              <w:rPr>
                <w:rtl w:val="0"/>
              </w:rPr>
            </w:r>
          </w:p>
        </w:tc>
        <w:tc>
          <w:tcPr>
            <w:tcBorders>
              <w:bottom w:color="000000" w:space="0" w:sz="4" w:val="single"/>
            </w:tcBorders>
          </w:tcPr>
          <w:p w:rsidR="00000000" w:rsidDel="00000000" w:rsidP="00000000" w:rsidRDefault="00000000" w:rsidRPr="00000000" w14:paraId="000000E6">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Abordagem tangencial</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SoloLearn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Parcial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E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Codecademy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Parcial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Parcial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F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Exercism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 (mentor humano)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F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Duolingo (idiomas)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Não</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F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Proposta (este trabalho)</w:t>
            </w:r>
            <w:r w:rsidDel="00000000" w:rsidR="00000000" w:rsidRPr="00000000">
              <w:rPr>
                <w:rtl w:val="0"/>
              </w:rPr>
            </w:r>
          </w:p>
        </w:tc>
        <w:tc>
          <w:tcPr>
            <w:tcBorders>
              <w:top w:color="000000" w:space="0" w:sz="4" w:val="single"/>
            </w:tcBorders>
          </w:tcPr>
          <w:p w:rsidR="00000000" w:rsidDel="00000000" w:rsidP="00000000" w:rsidRDefault="00000000" w:rsidRPr="00000000" w14:paraId="0000010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c>
          <w:tcPr>
            <w:tcBorders>
              <w:top w:color="000000" w:space="0" w:sz="4" w:val="single"/>
            </w:tcBorders>
          </w:tcPr>
          <w:p w:rsidR="00000000" w:rsidDel="00000000" w:rsidP="00000000" w:rsidRDefault="00000000" w:rsidRPr="00000000" w14:paraId="0000010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Sim</w:t>
            </w:r>
            <w:r w:rsidDel="00000000" w:rsidR="00000000" w:rsidRPr="00000000">
              <w:rPr>
                <w:rtl w:val="0"/>
              </w:rPr>
            </w:r>
          </w:p>
        </w:tc>
      </w:tr>
    </w:tbl>
    <w:p w:rsidR="00000000" w:rsidDel="00000000" w:rsidP="00000000" w:rsidRDefault="00000000" w:rsidRPr="00000000" w14:paraId="00000105">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6">
      <w:pPr>
        <w:pStyle w:val="Heading2"/>
        <w:numPr>
          <w:ilvl w:val="1"/>
          <w:numId w:val="2"/>
        </w:numPr>
        <w:ind w:left="576" w:hanging="576"/>
        <w:rPr/>
      </w:pPr>
      <w:bookmarkStart w:colFirst="0" w:colLast="0" w:name="_heading=h.91g95la0yn5l" w:id="20"/>
      <w:bookmarkEnd w:id="20"/>
      <w:r w:rsidDel="00000000" w:rsidR="00000000" w:rsidRPr="00000000">
        <w:rPr>
          <w:rtl w:val="0"/>
        </w:rPr>
        <w:t xml:space="preserve">O impacto na Experiência do Usuário e na Motivação</w:t>
      </w:r>
    </w:p>
    <w:p w:rsidR="00000000" w:rsidDel="00000000" w:rsidP="00000000" w:rsidRDefault="00000000" w:rsidRPr="00000000" w14:paraId="00000107">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eficácia da gamificação sobre a experiência do usuário não é uniforme: depende dos elementos de design escolhidos e das características do público, com elementos como pontos, recompensas e desafios emergindo como principais impulsionadores da motivação e do engajamento (PERSADA, 2023, p. 45-46). Contudo, recompensas externas mal calibradas podem minar a motivação intrínseca, por meio do efeito de superjustificação, o que reforça a necessidade de equilibrar motivação intrínseca e extrínseca no design da plataforma (RAMADHAN et al., 2025, p. 430).</w:t>
      </w:r>
      <w:r w:rsidDel="00000000" w:rsidR="00000000" w:rsidRPr="00000000">
        <w:rPr>
          <w:rtl w:val="0"/>
        </w:rPr>
      </w:r>
    </w:p>
    <w:p w:rsidR="00000000" w:rsidDel="00000000" w:rsidP="00000000" w:rsidRDefault="00000000" w:rsidRPr="00000000" w14:paraId="00000108">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Para além do engajamento, os jogos educacionais podem melhorar de forma significativa os próprios resultados de aprendizagem, a motivação, o engajamento e a satisfação dos estudantes, embora esses efeitos não sejam automáticos e </w:t>
      </w:r>
      <w:r w:rsidDel="00000000" w:rsidR="00000000" w:rsidRPr="00000000">
        <w:rPr>
          <w:rFonts w:ascii="Arial" w:cs="Arial" w:eastAsia="Arial" w:hAnsi="Arial"/>
          <w:rtl w:val="0"/>
        </w:rPr>
        <w:t xml:space="preserve">dependem</w:t>
      </w:r>
      <w:r w:rsidDel="00000000" w:rsidR="00000000" w:rsidRPr="00000000">
        <w:rPr>
          <w:rFonts w:ascii="Arial" w:cs="Arial" w:eastAsia="Arial" w:hAnsi="Arial"/>
          <w:color w:val="000000"/>
          <w:sz w:val="24"/>
          <w:szCs w:val="24"/>
          <w:rtl w:val="0"/>
        </w:rPr>
        <w:t xml:space="preserve"> fortemente da qualidade do design (YU; GAO; WANG, 2021, p. 522). A mesma revisão adverte que mecânicas competitivas e recompensas mal calibradas podem, ao contrário, reduzir a satisfação, o que reforça a importância de equilibrar desafio e recompensa em cada trilha da plataforma.</w:t>
      </w:r>
      <w:r w:rsidDel="00000000" w:rsidR="00000000" w:rsidRPr="00000000">
        <w:rPr>
          <w:rtl w:val="0"/>
        </w:rPr>
      </w:r>
    </w:p>
    <w:p w:rsidR="00000000" w:rsidDel="00000000" w:rsidP="00000000" w:rsidRDefault="00000000" w:rsidRPr="00000000" w14:paraId="00000109">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A experiência do usuário em ambientes gamificados também varia conforme o perfil do público: usuários mais jovens tendem a exibir maior engajamento com a gamificação, e a eficácia dos elementos depende do contexto e das características individuais dos usuários (PERSADA, 2023, p. 46). Esse achado é particularmente relevante para o público-alvo deste projeto, composto majoritariamente por jovens iniciantes, e justifica o cuidado na seleção dos elementos de gamificação de cada trilha.</w:t>
      </w:r>
      <w:r w:rsidDel="00000000" w:rsidR="00000000" w:rsidRPr="00000000">
        <w:rPr>
          <w:rtl w:val="0"/>
        </w:rPr>
      </w:r>
    </w:p>
    <w:p w:rsidR="00000000" w:rsidDel="00000000" w:rsidP="00000000" w:rsidRDefault="00000000" w:rsidRPr="00000000" w14:paraId="0000010A">
      <w:pPr>
        <w:pStyle w:val="Heading2"/>
        <w:numPr>
          <w:ilvl w:val="1"/>
          <w:numId w:val="2"/>
        </w:numPr>
        <w:ind w:left="576" w:hanging="576"/>
        <w:rPr/>
      </w:pPr>
      <w:bookmarkStart w:colFirst="0" w:colLast="0" w:name="_heading=h.p9qkls8q7gsj" w:id="21"/>
      <w:bookmarkEnd w:id="21"/>
      <w:r w:rsidDel="00000000" w:rsidR="00000000" w:rsidRPr="00000000">
        <w:rPr>
          <w:rtl w:val="0"/>
        </w:rPr>
        <w:t xml:space="preserve">Inteligência Artificial como Apoio à Aprendizagem</w:t>
      </w:r>
    </w:p>
    <w:p w:rsidR="00000000" w:rsidDel="00000000" w:rsidP="00000000" w:rsidRDefault="00000000" w:rsidRPr="00000000" w14:paraId="0000010B">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O uso de modelos de linguagem de grande porte (LLMs) no ensino de programação tem crescido nas áreas de feedback formativo de código, avaliação e modelagem do conhecimento do estudante (PITTS; HRIDI; LEKSHMI-NARAYANAN, 2025, p. 255). A revisão de Pitts, Hridi e Lekshmi-Narayanan (2025, p. 256-257) mostra que as intervenções são mais eficazes quando o LLM gera dicas e explicações que </w:t>
      </w:r>
      <w:r w:rsidDel="00000000" w:rsidR="00000000" w:rsidRPr="00000000">
        <w:rPr>
          <w:rFonts w:ascii="Arial" w:cs="Arial" w:eastAsia="Arial" w:hAnsi="Arial"/>
          <w:rtl w:val="0"/>
        </w:rPr>
        <w:t xml:space="preserve">forneçam suporte</w:t>
      </w:r>
      <w:r w:rsidDel="00000000" w:rsidR="00000000" w:rsidRPr="00000000">
        <w:rPr>
          <w:rFonts w:ascii="Arial" w:cs="Arial" w:eastAsia="Arial" w:hAnsi="Arial"/>
          <w:color w:val="000000"/>
          <w:sz w:val="24"/>
          <w:szCs w:val="24"/>
          <w:rtl w:val="0"/>
        </w:rPr>
        <w:t xml:space="preserve"> o raciocínio, em vez de entregar a solução pronta, e que a supervisão humana permanece necessária para alinhar as saídas do modelo aos objetivos pedagógicos. Na avaliação de respostas, recomenda-se alinhar o modelo a uma rubrica e reservar a arbitragem humana para os casos mais </w:t>
      </w:r>
      <w:r w:rsidDel="00000000" w:rsidR="00000000" w:rsidRPr="00000000">
        <w:rPr>
          <w:rFonts w:ascii="Arial" w:cs="Arial" w:eastAsia="Arial" w:hAnsi="Arial"/>
          <w:rtl w:val="0"/>
        </w:rPr>
        <w:t xml:space="preserve">nuances</w:t>
      </w:r>
      <w:r w:rsidDel="00000000" w:rsidR="00000000" w:rsidRPr="00000000">
        <w:rPr>
          <w:rFonts w:ascii="Arial" w:cs="Arial" w:eastAsia="Arial" w:hAnsi="Arial"/>
          <w:color w:val="000000"/>
          <w:sz w:val="24"/>
          <w:szCs w:val="24"/>
          <w:rtl w:val="0"/>
        </w:rPr>
        <w:t xml:space="preserve"> (PITTS; HRIDI; LEKSHMI-NARAYANAN, 2025, p. 258), sob o risco, caso contrário, de os estudantes se tornarem excessivamente dependentes de saídas eventualmente incorretas (PITTS; HRIDI; LEKSHMI-NARAYANAN, 2025, p. 259).</w:t>
      </w:r>
      <w:r w:rsidDel="00000000" w:rsidR="00000000" w:rsidRPr="00000000">
        <w:rPr>
          <w:rtl w:val="0"/>
        </w:rPr>
      </w:r>
    </w:p>
    <w:p w:rsidR="00000000" w:rsidDel="00000000" w:rsidP="00000000" w:rsidRDefault="00000000" w:rsidRPr="00000000" w14:paraId="0000010C">
      <w:pPr>
        <w:spacing w:line="360" w:lineRule="auto"/>
        <w:ind w:firstLine="709"/>
        <w:jc w:val="both"/>
        <w:rPr>
          <w:rFonts w:ascii="Arial" w:cs="Arial" w:eastAsia="Arial" w:hAnsi="Arial"/>
        </w:rPr>
      </w:pPr>
      <w:r w:rsidDel="00000000" w:rsidR="00000000" w:rsidRPr="00000000">
        <w:rPr>
          <w:rFonts w:ascii="Arial" w:cs="Arial" w:eastAsia="Arial" w:hAnsi="Arial"/>
          <w:color w:val="000000"/>
          <w:sz w:val="24"/>
          <w:szCs w:val="24"/>
          <w:rtl w:val="0"/>
        </w:rPr>
        <w:t xml:space="preserve">Esse modelo de correção assistida encontra precedente empírico no Exam Grader, uma aplicação web que integra IA generativa, por meio da API da OpenAI, para corrigir exames dissertativos com base em rubricas, sob uma filosofia human-in-the-loop em que o professor mantém a decisão final (REINA et al., 2026). O estudo evidencia forte correlação entre as notas da IA e as do professor, mas também um viés sistemático que exige supervisão. O que por sua vez, fundamenta, nesta proposta, o uso da IA para avaliar questões de resposta aberta apenas como apoio, cabendo à equipe de conteúdo definir e validar os critérios de aprovação de cada lição, que a IA deve avaliar.</w:t>
      </w:r>
      <w:r w:rsidDel="00000000" w:rsidR="00000000" w:rsidRPr="00000000">
        <w:rPr>
          <w:rtl w:val="0"/>
        </w:rPr>
      </w:r>
    </w:p>
    <w:p w:rsidR="00000000" w:rsidDel="00000000" w:rsidP="00000000" w:rsidRDefault="00000000" w:rsidRPr="00000000" w14:paraId="0000010D">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arquitetural, a plataforma será uma aplicação web na qual a IA não é executada no navegador, mas em um serviço de retaguarda (backend) acessado por API. O material de cada trilha pode ser fornecido ao modelo como contexto por meio de geração aumentada por recuperação (RAG). Duas estratégias de hospedagem do modelo são possíveis — o consumo de uma API de nuvem e a execução local de modelos compactos (Small Language Models). </w:t>
      </w:r>
      <w:r w:rsidDel="00000000" w:rsidR="00000000" w:rsidRPr="00000000">
        <w:rPr>
          <w:rFonts w:ascii="Arial" w:cs="Arial" w:eastAsia="Arial" w:hAnsi="Arial"/>
          <w:color w:val="000000"/>
          <w:sz w:val="24"/>
          <w:szCs w:val="24"/>
          <w:rtl w:val="0"/>
        </w:rPr>
        <w:t xml:space="preserve">O compromisso entre essas estratégias pode ser analisado por dimensões como </w:t>
      </w:r>
      <w:r w:rsidDel="00000000" w:rsidR="00000000" w:rsidRPr="00000000">
        <w:rPr>
          <w:rFonts w:ascii="Arial" w:cs="Arial" w:eastAsia="Arial" w:hAnsi="Arial"/>
          <w:color w:val="000000"/>
          <w:rtl w:val="0"/>
        </w:rPr>
        <w:t xml:space="preserve">acurácia</w:t>
      </w:r>
      <w:r w:rsidDel="00000000" w:rsidR="00000000" w:rsidRPr="00000000">
        <w:rPr>
          <w:rFonts w:ascii="Arial" w:cs="Arial" w:eastAsia="Arial" w:hAnsi="Arial"/>
          <w:color w:val="000000"/>
          <w:sz w:val="24"/>
          <w:szCs w:val="24"/>
          <w:rtl w:val="0"/>
        </w:rPr>
        <w:t xml:space="preserve">, latência, privacidade e energia, conforme o framework ALPE (KATAKAM, 2026, p. 11); além disso, a literatura recente indica que modelos compactos já alcançam desempenho competitivo com custo e consumo de energia significativamente menores (KHADSE, 2025), e que assistentes de IA totalmente offline no dispositivo, com RAG local, são viáveis preservando a privacidade dos dados do usuário (REDDY et al., 2026). </w:t>
      </w:r>
      <w:r w:rsidDel="00000000" w:rsidR="00000000" w:rsidRPr="00000000">
        <w:rPr>
          <w:rFonts w:ascii="Arial" w:cs="Arial" w:eastAsia="Arial" w:hAnsi="Arial"/>
          <w:sz w:val="24"/>
          <w:szCs w:val="24"/>
          <w:rtl w:val="0"/>
        </w:rPr>
        <w:t xml:space="preserve">Considerando esses fatores, além do custo e do requisito de hardware sintetizados no Quadro 2, nesta etapa da pesquisa adota-se o consumo de IA por API de nuvem, por sua simplicidade de implementação e qualidade, deixando a execução local de modelos compactos como direção de trabalho futuro, voltada à redução de custos e à preservação de privacidade.</w:t>
      </w:r>
    </w:p>
    <w:p w:rsidR="00000000" w:rsidDel="00000000" w:rsidP="00000000" w:rsidRDefault="00000000" w:rsidRPr="00000000" w14:paraId="0000010E">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line="360" w:lineRule="auto"/>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Quadro 2. Comparativo entre estratégias de hospedagem da IA (nuvem vs. execução local). Fonte: os Autores, com base em Katakam (2026) e Khadse (2025).</w:t>
      </w:r>
    </w:p>
    <w:tbl>
      <w:tblPr>
        <w:tblStyle w:val="Table3"/>
        <w:tblW w:w="9072.0" w:type="dxa"/>
        <w:jc w:val="left"/>
        <w:tblBorders>
          <w:top w:color="000000" w:space="0" w:sz="12" w:val="single"/>
          <w:bottom w:color="000000" w:space="0" w:sz="12" w:val="single"/>
          <w:insideH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bottom w:color="000000" w:space="0" w:sz="4" w:val="single"/>
            </w:tcBorders>
          </w:tcPr>
          <w:p w:rsidR="00000000" w:rsidDel="00000000" w:rsidP="00000000" w:rsidRDefault="00000000" w:rsidRPr="00000000" w14:paraId="00000110">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Critério</w:t>
            </w: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IA em nuvem (API)</w:t>
            </w: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widowControl w:val="1"/>
              <w:spacing w:after="0" w:before="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IA local / self-hosted (SLM)</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Custo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Por token/uso (recorrente, externo)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5">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Infraestrutura própria; sem custo por token</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6">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Qualidade/precisão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7">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Alta (modelos grandes)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Média a alta (modelos compactos)</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9">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Privacidade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A">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Dados enviados a terceiros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B">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Dados permanecem no ambiente próprio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C">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Latência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D">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Depende da rede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E">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Depende do hardware local</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1F">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Requisito de hardware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0">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Baixo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1">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Alto (GPU/servidor capaz)</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22">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Facilidade de implementação</w:t>
            </w:r>
            <w:r w:rsidDel="00000000" w:rsidR="00000000" w:rsidRPr="00000000">
              <w:rPr>
                <w:rtl w:val="0"/>
              </w:rPr>
            </w:r>
          </w:p>
        </w:tc>
        <w:tc>
          <w:tcPr>
            <w:tcBorders>
              <w:top w:color="000000" w:space="0" w:sz="4" w:val="single"/>
            </w:tcBorders>
          </w:tcPr>
          <w:p w:rsidR="00000000" w:rsidDel="00000000" w:rsidP="00000000" w:rsidRDefault="00000000" w:rsidRPr="00000000" w14:paraId="00000123">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Borders>
              <w:top w:color="000000" w:space="0" w:sz="4" w:val="single"/>
            </w:tcBorders>
          </w:tcPr>
          <w:p w:rsidR="00000000" w:rsidDel="00000000" w:rsidP="00000000" w:rsidRDefault="00000000" w:rsidRPr="00000000" w14:paraId="00000124">
            <w:pPr>
              <w:widowControl w:val="1"/>
              <w:spacing w:after="0" w:before="0" w:lineRule="auto"/>
              <w:rPr>
                <w:rFonts w:ascii="Arial" w:cs="Arial" w:eastAsia="Arial" w:hAnsi="Arial"/>
                <w:sz w:val="24"/>
                <w:szCs w:val="24"/>
              </w:rPr>
            </w:pPr>
            <w:r w:rsidDel="00000000" w:rsidR="00000000" w:rsidRPr="00000000">
              <w:rPr>
                <w:rFonts w:ascii="Arial" w:cs="Arial" w:eastAsia="Arial" w:hAnsi="Arial"/>
                <w:sz w:val="20"/>
                <w:szCs w:val="20"/>
                <w:rtl w:val="0"/>
              </w:rPr>
              <w:t xml:space="preserve">Baixa</w:t>
            </w:r>
            <w:r w:rsidDel="00000000" w:rsidR="00000000" w:rsidRPr="00000000">
              <w:rPr>
                <w:rtl w:val="0"/>
              </w:rPr>
            </w:r>
          </w:p>
        </w:tc>
      </w:tr>
    </w:tbl>
    <w:p w:rsidR="00000000" w:rsidDel="00000000" w:rsidP="00000000" w:rsidRDefault="00000000" w:rsidRPr="00000000" w14:paraId="00000125">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12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1"/>
        <w:numPr>
          <w:ilvl w:val="0"/>
          <w:numId w:val="2"/>
        </w:numPr>
        <w:ind w:left="432" w:hanging="432"/>
        <w:rPr/>
      </w:pPr>
      <w:bookmarkStart w:colFirst="0" w:colLast="0" w:name="_heading=h.x538gddo9bqk" w:id="22"/>
      <w:bookmarkEnd w:id="22"/>
      <w:r w:rsidDel="00000000" w:rsidR="00000000" w:rsidRPr="00000000">
        <w:rPr>
          <w:rtl w:val="0"/>
        </w:rPr>
        <w:t xml:space="preserve">DEFINIÇÃO DO PÚBLICO-ALVO E DO ESCOPO DO PROJETO</w:t>
      </w:r>
    </w:p>
    <w:p w:rsidR="00000000" w:rsidDel="00000000" w:rsidP="00000000" w:rsidRDefault="00000000" w:rsidRPr="00000000" w14:paraId="00000128">
      <w:pPr>
        <w:pStyle w:val="Heading2"/>
        <w:numPr>
          <w:ilvl w:val="1"/>
          <w:numId w:val="2"/>
        </w:numPr>
        <w:ind w:left="576" w:hanging="576"/>
        <w:rPr/>
      </w:pPr>
      <w:bookmarkStart w:colFirst="0" w:colLast="0" w:name="_heading=h.ck8dr6v6a4wf" w:id="23"/>
      <w:bookmarkEnd w:id="23"/>
      <w:r w:rsidDel="00000000" w:rsidR="00000000" w:rsidRPr="00000000">
        <w:rPr>
          <w:rtl w:val="0"/>
        </w:rPr>
        <w:t xml:space="preserve">Personas</w:t>
      </w:r>
    </w:p>
    <w:p w:rsidR="00000000" w:rsidDel="00000000" w:rsidP="00000000" w:rsidRDefault="00000000" w:rsidRPr="00000000" w14:paraId="00000129">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z w:val="24"/>
          <w:szCs w:val="24"/>
          <w:rtl w:val="0"/>
        </w:rPr>
        <w:t xml:space="preserve">Para orientar as decisões de projeto, foram definidas três personas que representam os principais perfis de usuário que a plataforma pretende atender: um calouro com forte familiaridade prática em tecnologia, uma estudante em início de curso que já estagia no front-end e um profissional de outra área em transição para a tecnologia. Cada característica listada fundamenta uma decisão de design da plataforma.</w:t>
      </w:r>
      <w:r w:rsidDel="00000000" w:rsidR="00000000" w:rsidRPr="00000000">
        <w:rPr>
          <w:rtl w:val="0"/>
        </w:rPr>
      </w:r>
    </w:p>
    <w:p w:rsidR="00000000" w:rsidDel="00000000" w:rsidP="00000000" w:rsidRDefault="00000000" w:rsidRPr="00000000" w14:paraId="0000012A">
      <w:pPr>
        <w:pStyle w:val="Heading3"/>
        <w:rPr/>
      </w:pPr>
      <w:r w:rsidDel="00000000" w:rsidR="00000000" w:rsidRPr="00000000">
        <w:rPr>
          <w:rtl w:val="0"/>
        </w:rPr>
        <w:t xml:space="preserve">Persona 1 – Pedro (calouro com bagagem prática)</w:t>
      </w:r>
    </w:p>
    <w:p w:rsidR="00000000" w:rsidDel="00000000" w:rsidP="00000000" w:rsidRDefault="00000000" w:rsidRPr="00000000" w14:paraId="0000012B">
      <w:pPr>
        <w:spacing w:line="360" w:lineRule="auto"/>
        <w:jc w:val="both"/>
        <w:rPr>
          <w:rFonts w:ascii="Arial" w:cs="Arial" w:eastAsia="Arial" w:hAnsi="Arial"/>
          <w:i w:val="0"/>
          <w:iCs w:val="0"/>
          <w:sz w:val="24"/>
          <w:szCs w:val="24"/>
        </w:rPr>
      </w:pPr>
      <w:r w:rsidDel="00000000" w:rsidR="00000000" w:rsidRPr="00000000">
        <w:rPr>
          <w:rFonts w:ascii="Arial" w:cs="Arial" w:eastAsia="Arial" w:hAnsi="Arial"/>
          <w:i w:val="0"/>
          <w:iCs w:val="0"/>
          <w:sz w:val="24"/>
          <w:szCs w:val="24"/>
          <w:rtl w:val="0"/>
        </w:rPr>
        <w:t xml:space="preserve">Pedro tem 18 anos e acabou de entrar em Engenharia de Software. Cresceu mexendo em computador, monta e formata máquinas, instala programas e domina jogos e ferramentas, de modo que se sente à vontade com tecnologia, mas nunca programou de forma profissional. Quer transformar essa familiaridade em competência real e ainda não sabe por onde estruturar esse salto. Como já é acostumado a games, a lógica de progressão e recompensa de uma plataforma gamificada conversa diretamente com o seu perfil.</w:t>
      </w:r>
    </w:p>
    <w:p w:rsidR="00000000" w:rsidDel="00000000" w:rsidP="00000000" w:rsidRDefault="00000000" w:rsidRPr="00000000" w14:paraId="0000012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8">
      <w:pPr>
        <w:jc w:val="center"/>
        <w:rPr>
          <w:rFonts w:ascii="Arial" w:cs="Arial" w:eastAsia="Arial" w:hAnsi="Arial"/>
          <w:b w:val="1"/>
          <w:bCs w:val="1"/>
          <w:sz w:val="20"/>
          <w:szCs w:val="20"/>
        </w:rPr>
      </w:pPr>
      <w:r w:rsidDel="00000000" w:rsidR="00000000" w:rsidRPr="00000000">
        <w:rPr>
          <w:rFonts w:ascii="Arial" w:cs="Arial" w:eastAsia="Arial" w:hAnsi="Arial"/>
          <w:b w:val="1"/>
          <w:bCs w:val="1"/>
          <w:i w:val="0"/>
          <w:iCs w:val="0"/>
          <w:sz w:val="20"/>
          <w:szCs w:val="20"/>
          <w:rtl w:val="0"/>
        </w:rPr>
        <w:t xml:space="preserve">Figura 1. Persona 1 – Pedro (calouro com bagagem prática). Fonte: os Autores.</w:t>
      </w: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Pr>
        <w:drawing>
          <wp:inline distB="114300" distT="114300" distL="114300" distR="114300">
            <wp:extent cx="5759775" cy="30734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597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Style w:val="Heading3"/>
        <w:ind w:left="0" w:firstLine="0"/>
        <w:rPr/>
      </w:pPr>
      <w:r w:rsidDel="00000000" w:rsidR="00000000" w:rsidRPr="00000000">
        <w:rPr>
          <w:rtl w:val="0"/>
        </w:rPr>
        <w:t xml:space="preserve">Persona 2 – Letícia (estagiária de front-end)</w:t>
      </w:r>
    </w:p>
    <w:p w:rsidR="00000000" w:rsidDel="00000000" w:rsidP="00000000" w:rsidRDefault="00000000" w:rsidRPr="00000000" w14:paraId="0000013B">
      <w:pPr>
        <w:spacing w:line="360" w:lineRule="auto"/>
        <w:jc w:val="both"/>
        <w:rPr>
          <w:rFonts w:ascii="Arial" w:cs="Arial" w:eastAsia="Arial" w:hAnsi="Arial"/>
        </w:rPr>
      </w:pPr>
      <w:r w:rsidDel="00000000" w:rsidR="00000000" w:rsidRPr="00000000">
        <w:rPr>
          <w:rFonts w:ascii="Arial" w:cs="Arial" w:eastAsia="Arial" w:hAnsi="Arial"/>
          <w:i w:val="0"/>
          <w:iCs w:val="0"/>
          <w:sz w:val="24"/>
          <w:szCs w:val="24"/>
          <w:rtl w:val="0"/>
        </w:rPr>
        <w:t xml:space="preserve">Letícia tem 20 anos, está no 3º período de Engenharia de Software e faz estágio de front-end, no qual está começando a trabalhar com React. Ela se vira bem na parte visual, mas sente dificuldade em entender o back-end e as matérias mais avançadas do curso, como estrutura de dados. Quer acompanhar melhor o conteúdo pesado da faculdade e enxergar como o que faz no front se conecta ao restante do sistema.</w:t>
      </w:r>
      <w:r w:rsidDel="00000000" w:rsidR="00000000" w:rsidRPr="00000000">
        <w:rPr>
          <w:rtl w:val="0"/>
        </w:rPr>
      </w:r>
    </w:p>
    <w:p w:rsidR="00000000" w:rsidDel="00000000" w:rsidP="00000000" w:rsidRDefault="00000000" w:rsidRPr="00000000" w14:paraId="0000013C">
      <w:pPr>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Figura 2. Persona 2 – Letícia (estagiária de front-end). Fonte: os Autores.</w:t>
      </w:r>
    </w:p>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Pr>
        <w:drawing>
          <wp:inline distB="114300" distT="114300" distL="114300" distR="114300">
            <wp:extent cx="5759775" cy="30734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597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Persona 3 – Marcelo (transição de carreira na era da IA)</w:t>
      </w:r>
    </w:p>
    <w:p w:rsidR="00000000" w:rsidDel="00000000" w:rsidP="00000000" w:rsidRDefault="00000000" w:rsidRPr="00000000" w14:paraId="0000013F">
      <w:pPr>
        <w:spacing w:line="360" w:lineRule="auto"/>
        <w:jc w:val="both"/>
        <w:rPr>
          <w:rFonts w:ascii="Arial" w:cs="Arial" w:eastAsia="Arial" w:hAnsi="Arial"/>
        </w:rPr>
      </w:pPr>
      <w:r w:rsidDel="00000000" w:rsidR="00000000" w:rsidRPr="00000000">
        <w:rPr>
          <w:rFonts w:ascii="Arial" w:cs="Arial" w:eastAsia="Arial" w:hAnsi="Arial"/>
          <w:i w:val="0"/>
          <w:iCs w:val="0"/>
          <w:sz w:val="24"/>
          <w:szCs w:val="24"/>
          <w:rtl w:val="0"/>
        </w:rPr>
        <w:t xml:space="preserve">Marcelo tem 30 anos e trabalha em outra área, mas está considerando migrar para a tecnologia. Ainda se sente jovem o bastante para arriscar um novo curso e começar a entender programação. Acredita que o futuro do trabalho passa pela Inteligência Artificial como ferramenta e que os profissionais precisarão dominar os fundamentos para usá-la bem, e não apenas apertar botões. Por isso procura uma forma estruturada e no seu próprio ritmo de aprender o essencial.</w:t>
      </w:r>
      <w:r w:rsidDel="00000000" w:rsidR="00000000" w:rsidRPr="00000000">
        <w:rPr>
          <w:rtl w:val="0"/>
        </w:rPr>
      </w:r>
    </w:p>
    <w:p w:rsidR="00000000" w:rsidDel="00000000" w:rsidP="00000000" w:rsidRDefault="00000000" w:rsidRPr="00000000" w14:paraId="00000140">
      <w:pPr>
        <w:jc w:val="center"/>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Figura 3. Persona 3 – Marcelo (transição de carreira na era da IA). Fonte: os Autores.</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Pr>
        <w:drawing>
          <wp:inline distB="114300" distT="114300" distL="114300" distR="114300">
            <wp:extent cx="5759775" cy="30734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597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rPr/>
      </w:pPr>
      <w:r w:rsidDel="00000000" w:rsidR="00000000" w:rsidRPr="00000000">
        <w:rPr>
          <w:rtl w:val="0"/>
        </w:rPr>
        <w:t xml:space="preserve">Relação das personas com os requisitos</w:t>
      </w:r>
    </w:p>
    <w:p w:rsidR="00000000" w:rsidDel="00000000" w:rsidP="00000000" w:rsidRDefault="00000000" w:rsidRPr="00000000" w14:paraId="00000143">
      <w:pPr>
        <w:spacing w:line="360" w:lineRule="auto"/>
        <w:jc w:val="both"/>
        <w:rPr>
          <w:rFonts w:ascii="Arial" w:cs="Arial" w:eastAsia="Arial" w:hAnsi="Arial"/>
        </w:rPr>
      </w:pPr>
      <w:r w:rsidDel="00000000" w:rsidR="00000000" w:rsidRPr="00000000">
        <w:rPr>
          <w:rFonts w:ascii="Arial" w:cs="Arial" w:eastAsia="Arial" w:hAnsi="Arial"/>
          <w:i w:val="0"/>
          <w:iCs w:val="0"/>
          <w:sz w:val="24"/>
          <w:szCs w:val="24"/>
          <w:rtl w:val="0"/>
        </w:rPr>
        <w:t xml:space="preserve">As características das personas orientam diretamente os requisitos da plataforma. A ansiedade de Pedro por progresso e sua rejeição a conteúdo fácil demais justificam trilhas de dificuldade crescente com casos contrastantes e desafios de código, além de streak, XP e ranking (RF10, RF17, RF18). A dificuldade de Letícia nas matérias avançadas e no back-end reforça a necessidade de um catálogo de trilhas por assunto (RF03), de feedback assistido por IA que explique o erro (RF14, RF15) e da possibilidade de refazer exercícios no próprio ritmo (RF19). O perfil de Marcelo, orientado a domínio e autonomia, fundamenta uma trilha clara de fundamentos, o uso diário em sessões curtas com lembretes de streak (RF10, RF11) e o feedback por IA que dá suporte ao raciocínio sem entregar a resposta pronta (RF15). O uso em sessões curtas, comum às três personas e inspirado no modelo do Duolingo, sustenta as mecânicas de progressão e retenção da plataforma.</w:t>
      </w:r>
      <w:r w:rsidDel="00000000" w:rsidR="00000000" w:rsidRPr="00000000">
        <w:rPr>
          <w:rtl w:val="0"/>
        </w:rPr>
      </w:r>
    </w:p>
    <w:p w:rsidR="00000000" w:rsidDel="00000000" w:rsidP="00000000" w:rsidRDefault="00000000" w:rsidRPr="00000000" w14:paraId="00000144">
      <w:pPr>
        <w:pStyle w:val="Heading2"/>
        <w:numPr>
          <w:ilvl w:val="1"/>
          <w:numId w:val="2"/>
        </w:numPr>
        <w:ind w:left="576" w:hanging="576"/>
        <w:rPr/>
      </w:pPr>
      <w:bookmarkStart w:colFirst="0" w:colLast="0" w:name="_heading=h.1il20wp6yrrw" w:id="24"/>
      <w:bookmarkEnd w:id="24"/>
      <w:r w:rsidDel="00000000" w:rsidR="00000000" w:rsidRPr="00000000">
        <w:rPr>
          <w:rtl w:val="0"/>
        </w:rPr>
        <w:t xml:space="preserve">Requisitos Funcionais</w:t>
      </w:r>
    </w:p>
    <w:p w:rsidR="00000000" w:rsidDel="00000000" w:rsidP="00000000" w:rsidRDefault="00000000" w:rsidRPr="00000000" w14:paraId="00000145">
      <w:pPr>
        <w:spacing w:line="360" w:lineRule="auto"/>
        <w:jc w:val="both"/>
        <w:rPr>
          <w:rFonts w:ascii="Arial" w:cs="Arial" w:eastAsia="Arial" w:hAnsi="Arial"/>
        </w:rPr>
      </w:pPr>
      <w:r w:rsidDel="00000000" w:rsidR="00000000" w:rsidRPr="00000000">
        <w:rPr>
          <w:rFonts w:ascii="Arial" w:cs="Arial" w:eastAsia="Arial" w:hAnsi="Arial"/>
          <w:rtl w:val="0"/>
        </w:rPr>
        <w:t xml:space="preserve">O escopo atual concentra-se em quatro sistemas centrais, que compõem o produto mínimo viável (MVP): (i) o sistema de trilhas com exercícios; (ii) o sistema de vidas e erros; (iii) o acompanhamento de progresso do usuário; e (iv) a IA de apoio e feedback. As funcionalidades de cobrança e monetização estão fora do escopo desta etapa. Os requisitos a seguir detalham esses sistemas.</w:t>
      </w:r>
    </w:p>
    <w:p w:rsidR="00000000" w:rsidDel="00000000" w:rsidP="00000000" w:rsidRDefault="00000000" w:rsidRPr="00000000" w14:paraId="00000146">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rtl w:val="0"/>
        </w:rPr>
        <w:t xml:space="preserve">Funcionais:</w:t>
      </w:r>
    </w:p>
    <w:p w:rsidR="00000000" w:rsidDel="00000000" w:rsidP="00000000" w:rsidRDefault="00000000" w:rsidRPr="00000000" w14:paraId="00000147">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RF01 - O usuário deve poder criar conta/perfil</w:t>
      </w:r>
    </w:p>
    <w:p w:rsidR="00000000" w:rsidDel="00000000" w:rsidP="00000000" w:rsidRDefault="00000000" w:rsidRPr="00000000" w14:paraId="00000148">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RF02 - O sistema de login deve usar FireBase como base de token de acesso</w:t>
      </w:r>
    </w:p>
    <w:p w:rsidR="00000000" w:rsidDel="00000000" w:rsidP="00000000" w:rsidRDefault="00000000" w:rsidRPr="00000000" w14:paraId="00000149">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RF03 - O usuário deve ser capaz de navegar por um catálogo de trilhas e escolher uma trilha ativa por vez.</w:t>
      </w:r>
    </w:p>
    <w:p w:rsidR="00000000" w:rsidDel="00000000" w:rsidP="00000000" w:rsidRDefault="00000000" w:rsidRPr="00000000" w14:paraId="0000014A">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RF04 - O usuário deve ser capaz de cancelar a trilha que tenha selecionado a qualquer momento, ao custo de 3 vidas.</w:t>
      </w:r>
    </w:p>
    <w:p w:rsidR="00000000" w:rsidDel="00000000" w:rsidP="00000000" w:rsidRDefault="00000000" w:rsidRPr="00000000" w14:paraId="0000014B">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RF05 - Não há número fixo de exercícios por trilha: as trilhas básicas possuem de 8 a 12 exercícios, podendo as trilhas mais avançadas conter um número maior.</w:t>
      </w:r>
    </w:p>
    <w:p w:rsidR="00000000" w:rsidDel="00000000" w:rsidP="00000000" w:rsidRDefault="00000000" w:rsidRPr="00000000" w14:paraId="0000014C">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RF06 - O sistema oferece dicas ao usuário a partir do terceiro erro</w:t>
      </w:r>
    </w:p>
    <w:p w:rsidR="00000000" w:rsidDel="00000000" w:rsidP="00000000" w:rsidRDefault="00000000" w:rsidRPr="00000000" w14:paraId="0000014D">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RF07 - O usuário possui 10 vidas (energia).</w:t>
      </w:r>
    </w:p>
    <w:p w:rsidR="00000000" w:rsidDel="00000000" w:rsidP="00000000" w:rsidRDefault="00000000" w:rsidRPr="00000000" w14:paraId="0000014E">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RF08 - O usuário somente começa a perde vidas(energia) após o 3º(terceiro) erro na mesma atividade da trilha</w:t>
      </w:r>
    </w:p>
    <w:p w:rsidR="00000000" w:rsidDel="00000000" w:rsidP="00000000" w:rsidRDefault="00000000" w:rsidRPr="00000000" w14:paraId="0000014F">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RF09 - O usuário deve ser capaz de configurar a frequência que recebe dicas(por padrão a cada 3)</w:t>
      </w:r>
    </w:p>
    <w:p w:rsidR="00000000" w:rsidDel="00000000" w:rsidP="00000000" w:rsidRDefault="00000000" w:rsidRPr="00000000" w14:paraId="00000150">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RF10 - Sistema registra e exibe XP e streak por trilha</w:t>
      </w:r>
    </w:p>
    <w:p w:rsidR="00000000" w:rsidDel="00000000" w:rsidP="00000000" w:rsidRDefault="00000000" w:rsidRPr="00000000" w14:paraId="00000151">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RF11 - Sistema envia lembrete quando streak(dias seguidos jogando) está em risco(6 horas para perder)</w:t>
      </w:r>
    </w:p>
    <w:p w:rsidR="00000000" w:rsidDel="00000000" w:rsidP="00000000" w:rsidRDefault="00000000" w:rsidRPr="00000000" w14:paraId="00000152">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RF12 - O sistema deve poder exibir ao usuário um painel de progresso geral e por trilha.</w:t>
      </w:r>
    </w:p>
    <w:p w:rsidR="00000000" w:rsidDel="00000000" w:rsidP="00000000" w:rsidRDefault="00000000" w:rsidRPr="00000000" w14:paraId="00000153">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RF13 - O usuário deve poder editar informações do próprio perfil (nome, foto, e-mail)</w:t>
      </w:r>
    </w:p>
    <w:p w:rsidR="00000000" w:rsidDel="00000000" w:rsidP="00000000" w:rsidRDefault="00000000" w:rsidRPr="00000000" w14:paraId="00000154">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RF14 - O sistema deve corrigir automaticamente exercícios objetivos (múltipla escolha, Parsons problems) e indicar acerto/erro imediatamente</w:t>
      </w:r>
    </w:p>
    <w:p w:rsidR="00000000" w:rsidDel="00000000" w:rsidP="00000000" w:rsidRDefault="00000000" w:rsidRPr="00000000" w14:paraId="00000155">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RF15 - O sistema deve gerar feedback de erro assistido por IA, explicando por que a resposta está incorreta</w:t>
      </w:r>
    </w:p>
    <w:p w:rsidR="00000000" w:rsidDel="00000000" w:rsidP="00000000" w:rsidRDefault="00000000" w:rsidRPr="00000000" w14:paraId="00000156">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RF16 - O usuário deve poder visualizar seu histórico de exercícios realizados por trilha</w:t>
      </w:r>
    </w:p>
    <w:p w:rsidR="00000000" w:rsidDel="00000000" w:rsidP="00000000" w:rsidRDefault="00000000" w:rsidRPr="00000000" w14:paraId="00000157">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RF17 - O sistema deve exibir um ranking/leaderboard entre usuários (geral ou por trilha)</w:t>
      </w:r>
    </w:p>
    <w:p w:rsidR="00000000" w:rsidDel="00000000" w:rsidP="00000000" w:rsidRDefault="00000000" w:rsidRPr="00000000" w14:paraId="00000158">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RF18 - O usuário deve poder desbloquear conquistas (badges) ao atingir marcos específicos (ex: 7 dias de streak, primeira trilha concluída)</w:t>
      </w:r>
    </w:p>
    <w:p w:rsidR="00000000" w:rsidDel="00000000" w:rsidP="00000000" w:rsidRDefault="00000000" w:rsidRPr="00000000" w14:paraId="00000159">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RF19 - O sistema deve permitir que o usuário refaça exercícios ou trilhas já concluídas</w:t>
      </w:r>
    </w:p>
    <w:p w:rsidR="00000000" w:rsidDel="00000000" w:rsidP="00000000" w:rsidRDefault="00000000" w:rsidRPr="00000000" w14:paraId="0000015A">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RF20 - O sistema deve integrar-se ao GitHub para exercícios práticos que envolvam controle de versão (ex: validar um commit ou pull request simulado)</w:t>
      </w:r>
    </w:p>
    <w:p w:rsidR="00000000" w:rsidDel="00000000" w:rsidP="00000000" w:rsidRDefault="00000000" w:rsidRPr="00000000" w14:paraId="0000015B">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RF21 - O sistema deve permitir que a equipe de conteúdo (Equipe Dev/Orientadores) cadastre, edite e publique novas trilhas e exercícios sem necessidade de alteração de código</w:t>
      </w:r>
    </w:p>
    <w:p w:rsidR="00000000" w:rsidDel="00000000" w:rsidP="00000000" w:rsidRDefault="00000000" w:rsidRPr="00000000" w14:paraId="0000015C">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RF22 - O sistema deve enviar notificações push/e-mail configuráveis pelo usuário (lembretes, conquistas, novidades)</w:t>
      </w:r>
    </w:p>
    <w:p w:rsidR="00000000" w:rsidDel="00000000" w:rsidP="00000000" w:rsidRDefault="00000000" w:rsidRPr="00000000" w14:paraId="0000015D">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RF23 - O usuário deve poder redefinir a senha da conta via e-mail</w:t>
      </w:r>
    </w:p>
    <w:p w:rsidR="00000000" w:rsidDel="00000000" w:rsidP="00000000" w:rsidRDefault="00000000" w:rsidRPr="00000000" w14:paraId="0000015E">
      <w:pPr>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RF24 - O sistema deve permitir avaliação da qualidade de cada exercício/trilha pelo usuário (ex: nota ou feedback rápido) </w:t>
      </w:r>
    </w:p>
    <w:p w:rsidR="00000000" w:rsidDel="00000000" w:rsidP="00000000" w:rsidRDefault="00000000" w:rsidRPr="00000000" w14:paraId="0000015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Não funcionais:</w:t>
      </w:r>
    </w:p>
    <w:p w:rsidR="00000000" w:rsidDel="00000000" w:rsidP="00000000" w:rsidRDefault="00000000" w:rsidRPr="00000000" w14:paraId="00000161">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62">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RNF01 - Disponível em Web programado em React</w:t>
      </w:r>
    </w:p>
    <w:p w:rsidR="00000000" w:rsidDel="00000000" w:rsidP="00000000" w:rsidRDefault="00000000" w:rsidRPr="00000000" w14:paraId="00000163">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RNF02 - O sistema deve ter um modo claro e dark</w:t>
      </w:r>
    </w:p>
    <w:p w:rsidR="00000000" w:rsidDel="00000000" w:rsidP="00000000" w:rsidRDefault="00000000" w:rsidRPr="00000000" w14:paraId="00000164">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RNF03 - Linguagem e UI simples e amigáveis</w:t>
      </w:r>
    </w:p>
    <w:p w:rsidR="00000000" w:rsidDel="00000000" w:rsidP="00000000" w:rsidRDefault="00000000" w:rsidRPr="00000000" w14:paraId="00000165">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RNF04 - Tratamento de dados conforme LGPD</w:t>
      </w:r>
    </w:p>
    <w:p w:rsidR="00000000" w:rsidDel="00000000" w:rsidP="00000000" w:rsidRDefault="00000000" w:rsidRPr="00000000" w14:paraId="00000166">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RNF05 - Estrutura extensível para novas trilhas sem redesenho da plataforma.</w:t>
      </w:r>
    </w:p>
    <w:p w:rsidR="00000000" w:rsidDel="00000000" w:rsidP="00000000" w:rsidRDefault="00000000" w:rsidRPr="00000000" w14:paraId="00000167">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RNF06 - O sistema deve responder a interações do usuário (validação de exercício) em até 2 segundos.</w:t>
      </w:r>
    </w:p>
    <w:p w:rsidR="00000000" w:rsidDel="00000000" w:rsidP="00000000" w:rsidRDefault="00000000" w:rsidRPr="00000000" w14:paraId="00000168">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RNF07 - O código-fonte deve ser versionado em repositório Git com histórico de commits rastreável</w:t>
      </w:r>
    </w:p>
    <w:p w:rsidR="00000000" w:rsidDel="00000000" w:rsidP="00000000" w:rsidRDefault="00000000" w:rsidRPr="00000000" w14:paraId="00000169">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RNF08 - O sistema deve ser responsivo, funcionando corretamente em diferentes tamanhos de tela (desktop e mobile web)</w:t>
      </w:r>
    </w:p>
    <w:p w:rsidR="00000000" w:rsidDel="00000000" w:rsidP="00000000" w:rsidRDefault="00000000" w:rsidRPr="00000000" w14:paraId="0000016A">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RNF09 - O sistema deve seguir diretrizes básicas de acessibilidade (contraste, navegação por teclado)</w:t>
      </w:r>
    </w:p>
    <w:p w:rsidR="00000000" w:rsidDel="00000000" w:rsidP="00000000" w:rsidRDefault="00000000" w:rsidRPr="00000000" w14:paraId="0000016B">
      <w:pPr>
        <w:numPr>
          <w:ilvl w:val="0"/>
          <w:numId w:val="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RNF10 - As senhas e dados sensíveis dos usuários devem ser armazenados de forma criptografada</w:t>
      </w:r>
    </w:p>
    <w:p w:rsidR="00000000" w:rsidDel="00000000" w:rsidP="00000000" w:rsidRDefault="00000000" w:rsidRPr="00000000" w14:paraId="0000016C">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tl w:val="0"/>
        </w:rPr>
      </w:r>
    </w:p>
    <w:p>
      <w:pPr>
        <w:pStyle w:val="Heading2"/>
        <w:numPr>
          <w:ilvl w:val="1"/>
          <w:numId w:val="2"/>
        </w:numPr>
      </w:pPr>
      <w:r>
        <w:t>Especificação da Solução</w:t>
      </w:r>
    </w:p>
    <w:p>
      <w:pPr>
        <w:pStyle w:val="Normal"/>
        <w:jc w:val="both"/>
      </w:pPr>
      <w:r>
        <w:rPr>
          <w:rFonts w:ascii="Arial" w:hAnsi="Arial" w:cs="Arial"/>
        </w:rPr>
        <w:t>O DevForge é um jogo sério de apoio ao ensino de Lógica de Programação para iniciantes. O Quadro 3-1 especifica a solução: nome, tecnologias, tema de Engenharia de Software, história, objetivos, inspirações e, com destaque, o mapeamento entre os resultados de aprendizagem, os temas de estudo da disciplina de Raciocínio Algorítmico e as mecânicas de jogo associadas.</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35"/>
        <w:gridCol w:w="4535"/>
      </w:tblGrid>
      <w:tr>
        <w:tc>
          <w:tcPr>
            <w:tcW w:type="dxa" w:w="2268"/>
            <w:shd w:val="clear" w:color="auto" w:fill="D9D9D9"/>
          </w:tcPr>
          <w:p>
            <w:pPr>
              <w:spacing w:after="20"/>
            </w:pPr>
            <w:r/>
            <w:r>
              <w:rPr>
                <w:rFonts w:ascii="Arial" w:hAnsi="Arial" w:cs="Arial"/>
                <w:b/>
                <w:sz w:val="20"/>
              </w:rPr>
              <w:t>Campo</w:t>
            </w:r>
          </w:p>
        </w:tc>
        <w:tc>
          <w:tcPr>
            <w:tcW w:type="dxa" w:w="6803"/>
            <w:shd w:val="clear" w:color="auto" w:fill="D9D9D9"/>
          </w:tcPr>
          <w:p>
            <w:pPr>
              <w:spacing w:after="20"/>
            </w:pPr>
            <w:r/>
            <w:r>
              <w:rPr>
                <w:rFonts w:ascii="Arial" w:hAnsi="Arial" w:cs="Arial"/>
                <w:b/>
                <w:sz w:val="20"/>
              </w:rPr>
              <w:t>Conteúdo</w:t>
            </w:r>
          </w:p>
        </w:tc>
      </w:tr>
      <w:tr>
        <w:tc>
          <w:tcPr>
            <w:tcW w:type="dxa" w:w="2268"/>
          </w:tcPr>
          <w:p>
            <w:pPr>
              <w:spacing w:after="20"/>
            </w:pPr>
            <w:r/>
            <w:r>
              <w:rPr>
                <w:rFonts w:ascii="Arial" w:hAnsi="Arial" w:cs="Arial"/>
                <w:sz w:val="20"/>
              </w:rPr>
              <w:t>Nome do Jogo</w:t>
            </w:r>
          </w:p>
        </w:tc>
        <w:tc>
          <w:tcPr>
            <w:tcW w:type="dxa" w:w="6803"/>
          </w:tcPr>
          <w:p>
            <w:pPr>
              <w:spacing w:after="20"/>
            </w:pPr>
            <w:r/>
            <w:r>
              <w:rPr>
                <w:rFonts w:ascii="Arial" w:hAnsi="Arial" w:cs="Arial"/>
                <w:sz w:val="20"/>
              </w:rPr>
              <w:t>DevForge</w:t>
            </w:r>
          </w:p>
        </w:tc>
      </w:tr>
      <w:tr>
        <w:tc>
          <w:tcPr>
            <w:tcW w:type="dxa" w:w="2268"/>
          </w:tcPr>
          <w:p>
            <w:pPr>
              <w:spacing w:after="20"/>
            </w:pPr>
            <w:r/>
            <w:r>
              <w:rPr>
                <w:rFonts w:ascii="Arial" w:hAnsi="Arial" w:cs="Arial"/>
                <w:sz w:val="20"/>
              </w:rPr>
              <w:t>Tecnologias utilizadas</w:t>
            </w:r>
          </w:p>
        </w:tc>
        <w:tc>
          <w:tcPr>
            <w:tcW w:type="dxa" w:w="6803"/>
          </w:tcPr>
          <w:p>
            <w:pPr>
              <w:spacing w:after="20"/>
            </w:pPr>
            <w:r/>
            <w:r>
              <w:rPr>
                <w:rFonts w:ascii="Arial" w:hAnsi="Arial" w:cs="Arial"/>
                <w:sz w:val="20"/>
              </w:rPr>
              <w:t>React 18, Vite e JavaScript (ES Modules); HTML e CSS mínimo; Vitest (testes automatizados); Git e GitHub (versionamento); Azure Static Web Apps (hospedagem e CI/CD). Planejadas: Firebase Auth e Firestore (login e progresso), API da Anthropic consumida por um backend próprio (feedback por IA) e Gemini (geração da arte da narrativa).</w:t>
            </w:r>
          </w:p>
        </w:tc>
      </w:tr>
      <w:tr>
        <w:tc>
          <w:tcPr>
            <w:tcW w:type="dxa" w:w="2268"/>
          </w:tcPr>
          <w:p>
            <w:pPr>
              <w:spacing w:after="20"/>
            </w:pPr>
            <w:r/>
            <w:r>
              <w:rPr>
                <w:rFonts w:ascii="Arial" w:hAnsi="Arial" w:cs="Arial"/>
                <w:sz w:val="20"/>
              </w:rPr>
              <w:t>Tema da Engenharia de Software</w:t>
            </w:r>
          </w:p>
        </w:tc>
        <w:tc>
          <w:tcPr>
            <w:tcW w:type="dxa" w:w="6803"/>
          </w:tcPr>
          <w:p>
            <w:pPr>
              <w:spacing w:after="20"/>
            </w:pPr>
            <w:r/>
            <w:r>
              <w:rPr>
                <w:rFonts w:ascii="Arial" w:hAnsi="Arial" w:cs="Arial"/>
                <w:sz w:val="20"/>
              </w:rPr>
              <w:t>Lógica de Programação / Raciocínio Algorítmico: algoritmos, variáveis e tipos de dados, expressões lógico-aritmético-relacionais, estruturas de controle (seleção e repetição), estruturas de dados homogêneas (vetores e matrizes) e funções. Soma-se a Engenharia de Software aplicada ao próprio código: boas práticas, verificação e validação (testes) e versionamento.</w:t>
            </w:r>
          </w:p>
        </w:tc>
      </w:tr>
      <w:tr>
        <w:tc>
          <w:tcPr>
            <w:tcW w:type="dxa" w:w="2268"/>
          </w:tcPr>
          <w:p>
            <w:pPr>
              <w:spacing w:after="20"/>
            </w:pPr>
            <w:r/>
            <w:r>
              <w:rPr>
                <w:rFonts w:ascii="Arial" w:hAnsi="Arial" w:cs="Arial"/>
                <w:sz w:val="20"/>
              </w:rPr>
              <w:t>História do Jogo</w:t>
            </w:r>
          </w:p>
        </w:tc>
        <w:tc>
          <w:tcPr>
            <w:tcW w:type="dxa" w:w="6803"/>
          </w:tcPr>
          <w:p>
            <w:pPr>
              <w:spacing w:after="20"/>
            </w:pPr>
            <w:r/>
            <w:r>
              <w:rPr>
                <w:rFonts w:ascii="Arial" w:hAnsi="Arial" w:cs="Arial"/>
                <w:sz w:val="20"/>
              </w:rPr>
              <w:t>O jogador encarna uma Inteligência Artificial em processo de certificação no laboratório DevForge. Cada trilha de exercícios é uma bateria de testes em que a IA prova que raciocina. Uma IA Rival surge sempre com planos trapaceiros para roubar o destaque do jogador, a fim de agradar ao Chefe da empresa. Guiado pela suporte Lari, que guia o jogador pelos testes e oferece dicas em troca de energia, o jogador decide superar o Rival pelo mérito do esforço e da qualidade do código, trilha após trilha. A mensagem de fundo é a ética da Engenharia de Software: honestidade, esforço e qualidade valem mais que um número inflado.</w:t>
            </w:r>
          </w:p>
        </w:tc>
      </w:tr>
      <w:tr>
        <w:tc>
          <w:tcPr>
            <w:tcW w:type="dxa" w:w="2268"/>
          </w:tcPr>
          <w:p>
            <w:pPr>
              <w:spacing w:after="20"/>
            </w:pPr>
            <w:r/>
            <w:r>
              <w:rPr>
                <w:rFonts w:ascii="Arial" w:hAnsi="Arial" w:cs="Arial"/>
                <w:sz w:val="20"/>
              </w:rPr>
              <w:t>Objetivos do Jogo</w:t>
            </w:r>
          </w:p>
        </w:tc>
        <w:tc>
          <w:tcPr>
            <w:tcW w:type="dxa" w:w="6803"/>
          </w:tcPr>
          <w:p>
            <w:pPr>
              <w:spacing w:after="20"/>
              <w:ind w:left="227"/>
            </w:pPr>
            <w:r/>
            <w:r>
              <w:rPr>
                <w:rFonts w:ascii="Arial" w:hAnsi="Arial" w:cs="Arial"/>
                <w:sz w:val="20"/>
              </w:rPr>
              <w:t>•  Progredir por trilhas temáticas de dificuldade crescente que reconstroem, em ordem pedagógica, o conteúdo de Lógica de Programação do 1º período.</w:t>
            </w:r>
          </w:p>
          <w:p>
            <w:pPr>
              <w:spacing w:after="20"/>
              <w:ind w:left="227"/>
            </w:pPr>
            <w:r>
              <w:rPr>
                <w:rFonts w:ascii="Arial" w:hAnsi="Arial" w:cs="Arial"/>
                <w:sz w:val="20"/>
              </w:rPr>
              <w:t>•  Compreender antes de escrever: cada conceito é primeiro lido (prever a saída, achar o erro, escolher) e só depois escrito (preencher lacuna, reordenar), espelhando projetar e implementar.</w:t>
            </w:r>
          </w:p>
          <w:p>
            <w:pPr>
              <w:spacing w:after="20"/>
              <w:ind w:left="227"/>
            </w:pPr>
            <w:r>
              <w:rPr>
                <w:rFonts w:ascii="Arial" w:hAnsi="Arial" w:cs="Arial"/>
                <w:sz w:val="20"/>
              </w:rPr>
              <w:t>•  Resolver exercícios de sete tipos (múltipla escolha, lacuna, prever a saída, achar o erro, associação, casos contrastantes e Parsons), com correção local e feedback progressivo ao errar.</w:t>
            </w:r>
          </w:p>
          <w:p>
            <w:pPr>
              <w:spacing w:after="20"/>
              <w:ind w:left="227"/>
            </w:pPr>
            <w:r>
              <w:rPr>
                <w:rFonts w:ascii="Arial" w:hAnsi="Arial" w:cs="Arial"/>
                <w:sz w:val="20"/>
              </w:rPr>
              <w:t>•  Sustentar a motivação e a retenção com energia, streak, XP e narrativa, no modelo do Duolingo, sem cair no efeito de superjustificação.</w:t>
            </w:r>
          </w:p>
          <w:p>
            <w:pPr>
              <w:spacing w:after="20"/>
              <w:ind w:left="227"/>
            </w:pPr>
            <w:r>
              <w:rPr>
                <w:rFonts w:ascii="Arial" w:hAnsi="Arial" w:cs="Arial"/>
                <w:sz w:val="20"/>
              </w:rPr>
              <w:t>•  Encerrar a jornada aplicando Engenharia de Software ao próprio código e, no projeto final, submetendo o código ao GitHub para avaliação assistida por IA.</w:t>
            </w:r>
          </w:p>
        </w:tc>
      </w:tr>
      <w:tr>
        <w:tc>
          <w:tcPr>
            <w:tcW w:type="dxa" w:w="2268"/>
          </w:tcPr>
          <w:p>
            <w:pPr>
              <w:spacing w:after="20"/>
            </w:pPr>
            <w:r/>
            <w:r>
              <w:rPr>
                <w:rFonts w:ascii="Arial" w:hAnsi="Arial" w:cs="Arial"/>
                <w:sz w:val="20"/>
              </w:rPr>
              <w:t>Inspirações</w:t>
            </w:r>
          </w:p>
        </w:tc>
        <w:tc>
          <w:tcPr>
            <w:tcW w:type="dxa" w:w="6803"/>
          </w:tcPr>
          <w:p>
            <w:pPr>
              <w:spacing w:after="20"/>
            </w:pPr>
            <w:r/>
            <w:r>
              <w:rPr>
                <w:rFonts w:ascii="Arial" w:hAnsi="Arial" w:cs="Arial"/>
                <w:sz w:val="20"/>
              </w:rPr>
              <w:t>(Ainda em definição; referências já levantadas pela equipe.)</w:t>
            </w:r>
          </w:p>
          <w:p>
            <w:pPr>
              <w:spacing w:after="20"/>
              <w:ind w:left="227"/>
            </w:pPr>
            <w:r>
              <w:rPr>
                <w:rFonts w:ascii="Arial" w:hAnsi="Arial" w:cs="Arial"/>
                <w:sz w:val="20"/>
              </w:rPr>
              <w:t>•  Duolingo — principal referência de retenção e gamificação: trilha linear, só avança ao acertar, energia/vidas, streak, XP e sessões curtas.</w:t>
            </w:r>
          </w:p>
          <w:p>
            <w:pPr>
              <w:spacing w:after="20"/>
              <w:ind w:left="227"/>
            </w:pPr>
            <w:r>
              <w:rPr>
                <w:rFonts w:ascii="Arial" w:hAnsi="Arial" w:cs="Arial"/>
                <w:sz w:val="20"/>
              </w:rPr>
              <w:t>•  CodeMonkey — bom ponto de partida lúdico para iniciantes, porém linear e simplificado demais; serve de contraponto do que evitar.</w:t>
            </w:r>
          </w:p>
          <w:p>
            <w:pPr>
              <w:spacing w:after="20"/>
              <w:ind w:left="227"/>
            </w:pPr>
            <w:r>
              <w:rPr>
                <w:rFonts w:ascii="Arial" w:hAnsi="Arial" w:cs="Arial"/>
                <w:sz w:val="20"/>
              </w:rPr>
              <w:t>•  CodinGame — desafios realistas e técnicos, mas densos e competitivos demais para iniciantes absolutos; mostra o excesso oposto.</w:t>
            </w:r>
          </w:p>
          <w:p>
            <w:pPr>
              <w:spacing w:after="20"/>
              <w:ind w:left="227"/>
            </w:pPr>
            <w:r>
              <w:rPr>
                <w:rFonts w:ascii="Arial" w:hAnsi="Arial" w:cs="Arial"/>
                <w:sz w:val="20"/>
              </w:rPr>
              <w:t>•  SoloLearn, Codecademy e Khan Academy — ensino de programação em microlições interativas com trilha de progresso.</w:t>
            </w:r>
          </w:p>
          <w:p>
            <w:pPr>
              <w:spacing w:after="20"/>
              <w:ind w:left="227"/>
            </w:pPr>
            <w:r>
              <w:rPr>
                <w:rFonts w:ascii="Arial" w:hAnsi="Arial" w:cs="Arial"/>
                <w:sz w:val="20"/>
              </w:rPr>
              <w:t>•  LeetCode e Exercism — exercícios de código com verificação automática; referência para a avaliação do projeto final.</w:t>
            </w:r>
          </w:p>
        </w:tc>
      </w:tr>
    </w:tbl>
    <w:p>
      <w:pPr>
        <w:pStyle w:val="Normal"/>
        <w:spacing w:before="40" w:after="160"/>
        <w:jc w:val="center"/>
      </w:pPr>
      <w:r>
        <w:rPr>
          <w:rFonts w:ascii="Arial" w:hAnsi="Arial" w:cs="Arial"/>
          <w:i/>
          <w:sz w:val="18"/>
        </w:rPr>
        <w:t>Quadro 3-1. Especificação do jogo. Fonte: os Autores.</w:t>
      </w:r>
    </w:p>
    <w:p>
      <w:pPr>
        <w:pStyle w:val="Normal"/>
        <w:jc w:val="both"/>
      </w:pPr>
      <w:r>
        <w:rPr>
          <w:rFonts w:ascii="Arial" w:hAnsi="Arial" w:cs="Arial"/>
        </w:rPr>
        <w:t>A trilha 1 é inspirada na matéria de Raciocínio Algorítmico que os autores estudaram no primeiro semestre da faculdade, decompondo-se nos dois Resultados de Aprendizagem — RA1 (projetar solução algorítmica com pensamento computacional) e RA2 (implementar programa respeitando boas práticas) — em resultados granulares por trilha, cada um ancorado num Tema de Estudo (TE) da ementa e numa mecânica de jogo. O Quadro 3-2 apresenta esse mapeamento.</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268"/>
        <w:gridCol w:w="2268"/>
        <w:gridCol w:w="2268"/>
        <w:gridCol w:w="2268"/>
      </w:tblGrid>
      <w:tr>
        <w:tc>
          <w:tcPr>
            <w:tcW w:type="dxa" w:w="907"/>
            <w:shd w:val="clear" w:color="auto" w:fill="D9D9D9"/>
          </w:tcPr>
          <w:p>
            <w:pPr>
              <w:spacing w:after="20"/>
            </w:pPr>
            <w:r/>
            <w:r>
              <w:rPr>
                <w:rFonts w:ascii="Arial" w:hAnsi="Arial" w:cs="Arial"/>
                <w:b/>
                <w:sz w:val="18"/>
              </w:rPr>
              <w:t>ID</w:t>
            </w:r>
          </w:p>
        </w:tc>
        <w:tc>
          <w:tcPr>
            <w:tcW w:type="dxa" w:w="3402"/>
            <w:shd w:val="clear" w:color="auto" w:fill="D9D9D9"/>
          </w:tcPr>
          <w:p>
            <w:pPr>
              <w:spacing w:after="20"/>
            </w:pPr>
            <w:r/>
            <w:r>
              <w:rPr>
                <w:rFonts w:ascii="Arial" w:hAnsi="Arial" w:cs="Arial"/>
                <w:b/>
                <w:sz w:val="18"/>
              </w:rPr>
              <w:t>Resultado de Aprendizagem</w:t>
            </w:r>
          </w:p>
        </w:tc>
        <w:tc>
          <w:tcPr>
            <w:tcW w:type="dxa" w:w="2381"/>
            <w:shd w:val="clear" w:color="auto" w:fill="D9D9D9"/>
          </w:tcPr>
          <w:p>
            <w:pPr>
              <w:spacing w:after="20"/>
            </w:pPr>
            <w:r/>
            <w:r>
              <w:rPr>
                <w:rFonts w:ascii="Arial" w:hAnsi="Arial" w:cs="Arial"/>
                <w:b/>
                <w:sz w:val="18"/>
              </w:rPr>
              <w:t>Tema de Estudo</w:t>
            </w:r>
          </w:p>
        </w:tc>
        <w:tc>
          <w:tcPr>
            <w:tcW w:type="dxa" w:w="2381"/>
            <w:shd w:val="clear" w:color="auto" w:fill="D9D9D9"/>
          </w:tcPr>
          <w:p>
            <w:pPr>
              <w:spacing w:after="20"/>
            </w:pPr>
            <w:r/>
            <w:r>
              <w:rPr>
                <w:rFonts w:ascii="Arial" w:hAnsi="Arial" w:cs="Arial"/>
                <w:b/>
                <w:sz w:val="18"/>
              </w:rPr>
              <w:t>Mecânica do Jogo</w:t>
            </w:r>
          </w:p>
        </w:tc>
      </w:tr>
      <w:tr>
        <w:tc>
          <w:tcPr>
            <w:tcW w:type="dxa" w:w="907"/>
          </w:tcPr>
          <w:p>
            <w:pPr>
              <w:spacing w:after="20"/>
            </w:pPr>
            <w:r/>
            <w:r>
              <w:rPr>
                <w:rFonts w:ascii="Arial" w:hAnsi="Arial" w:cs="Arial"/>
                <w:sz w:val="18"/>
              </w:rPr>
              <w:t>RA-T1</w:t>
            </w:r>
          </w:p>
        </w:tc>
        <w:tc>
          <w:tcPr>
            <w:tcW w:type="dxa" w:w="3402"/>
          </w:tcPr>
          <w:p>
            <w:pPr>
              <w:spacing w:after="20"/>
            </w:pPr>
            <w:r/>
            <w:r>
              <w:rPr>
                <w:rFonts w:ascii="Arial" w:hAnsi="Arial" w:cs="Arial"/>
                <w:sz w:val="18"/>
              </w:rPr>
              <w:t>Ler e prever a execução de um programa linear (print e atribuições), raciocinando linha a linha (RA1).</w:t>
            </w:r>
          </w:p>
        </w:tc>
        <w:tc>
          <w:tcPr>
            <w:tcW w:type="dxa" w:w="2381"/>
          </w:tcPr>
          <w:p>
            <w:pPr>
              <w:spacing w:after="20"/>
            </w:pPr>
            <w:r/>
            <w:r>
              <w:rPr>
                <w:rFonts w:ascii="Arial" w:hAnsi="Arial" w:cs="Arial"/>
                <w:sz w:val="18"/>
              </w:rPr>
              <w:t>TE1 — Algoritmos, variáveis e saída</w:t>
            </w:r>
          </w:p>
        </w:tc>
        <w:tc>
          <w:tcPr>
            <w:tcW w:type="dxa" w:w="2381"/>
          </w:tcPr>
          <w:p>
            <w:pPr>
              <w:spacing w:after="20"/>
            </w:pPr>
            <w:r/>
            <w:r>
              <w:rPr>
                <w:rFonts w:ascii="Arial" w:hAnsi="Arial" w:cs="Arial"/>
                <w:sz w:val="18"/>
              </w:rPr>
              <w:t>Trilha "Leitura de Código": prever a saída e Parsons; XP cheio no início e só avança ao acertar.</w:t>
            </w:r>
          </w:p>
        </w:tc>
      </w:tr>
      <w:tr>
        <w:tc>
          <w:tcPr>
            <w:tcW w:type="dxa" w:w="907"/>
          </w:tcPr>
          <w:p>
            <w:pPr>
              <w:spacing w:after="20"/>
            </w:pPr>
            <w:r/>
            <w:r>
              <w:rPr>
                <w:rFonts w:ascii="Arial" w:hAnsi="Arial" w:cs="Arial"/>
                <w:sz w:val="18"/>
              </w:rPr>
              <w:t>RA-T2</w:t>
            </w:r>
          </w:p>
        </w:tc>
        <w:tc>
          <w:tcPr>
            <w:tcW w:type="dxa" w:w="3402"/>
          </w:tcPr>
          <w:p>
            <w:pPr>
              <w:spacing w:after="20"/>
            </w:pPr>
            <w:r/>
            <w:r>
              <w:rPr>
                <w:rFonts w:ascii="Arial" w:hAnsi="Arial" w:cs="Arial"/>
                <w:sz w:val="18"/>
              </w:rPr>
              <w:t>Reconhecer tipos de dados e o efeito de atribuições e conversões (int, float, str, bool) (RA1, RA2).</w:t>
            </w:r>
          </w:p>
        </w:tc>
        <w:tc>
          <w:tcPr>
            <w:tcW w:type="dxa" w:w="2381"/>
          </w:tcPr>
          <w:p>
            <w:pPr>
              <w:spacing w:after="20"/>
            </w:pPr>
            <w:r/>
            <w:r>
              <w:rPr>
                <w:rFonts w:ascii="Arial" w:hAnsi="Arial" w:cs="Arial"/>
                <w:sz w:val="18"/>
              </w:rPr>
              <w:t>TE1 — Variáveis e tipos de dados</w:t>
            </w:r>
          </w:p>
        </w:tc>
        <w:tc>
          <w:tcPr>
            <w:tcW w:type="dxa" w:w="2381"/>
          </w:tcPr>
          <w:p>
            <w:pPr>
              <w:spacing w:after="20"/>
            </w:pPr>
            <w:r/>
            <w:r>
              <w:rPr>
                <w:rFonts w:ascii="Arial" w:hAnsi="Arial" w:cs="Arial"/>
                <w:sz w:val="18"/>
              </w:rPr>
              <w:t>Trilha "Tipos de Dados": associação com distratores e achar o erro; coloração só no acerto.</w:t>
            </w:r>
          </w:p>
        </w:tc>
      </w:tr>
      <w:tr>
        <w:tc>
          <w:tcPr>
            <w:tcW w:type="dxa" w:w="907"/>
          </w:tcPr>
          <w:p>
            <w:pPr>
              <w:spacing w:after="20"/>
            </w:pPr>
            <w:r/>
            <w:r>
              <w:rPr>
                <w:rFonts w:ascii="Arial" w:hAnsi="Arial" w:cs="Arial"/>
                <w:sz w:val="18"/>
              </w:rPr>
              <w:t>RA-T3</w:t>
            </w:r>
          </w:p>
        </w:tc>
        <w:tc>
          <w:tcPr>
            <w:tcW w:type="dxa" w:w="3402"/>
          </w:tcPr>
          <w:p>
            <w:pPr>
              <w:spacing w:after="20"/>
            </w:pPr>
            <w:r/>
            <w:r>
              <w:rPr>
                <w:rFonts w:ascii="Arial" w:hAnsi="Arial" w:cs="Arial"/>
                <w:sz w:val="18"/>
              </w:rPr>
              <w:t>Avaliar expressões aritméticas respeitando precedência e os operadores //, % e ** (RA1).</w:t>
            </w:r>
          </w:p>
        </w:tc>
        <w:tc>
          <w:tcPr>
            <w:tcW w:type="dxa" w:w="2381"/>
          </w:tcPr>
          <w:p>
            <w:pPr>
              <w:spacing w:after="20"/>
            </w:pPr>
            <w:r/>
            <w:r>
              <w:rPr>
                <w:rFonts w:ascii="Arial" w:hAnsi="Arial" w:cs="Arial"/>
                <w:sz w:val="18"/>
              </w:rPr>
              <w:t>TE1 — Operações aritméticas</w:t>
            </w:r>
          </w:p>
        </w:tc>
        <w:tc>
          <w:tcPr>
            <w:tcW w:type="dxa" w:w="2381"/>
          </w:tcPr>
          <w:p>
            <w:pPr>
              <w:spacing w:after="20"/>
            </w:pPr>
            <w:r/>
            <w:r>
              <w:rPr>
                <w:rFonts w:ascii="Arial" w:hAnsi="Arial" w:cs="Arial"/>
                <w:sz w:val="18"/>
              </w:rPr>
              <w:t>Trilha "Operadores Aritméticos": prever a saída e Parsons de cálculo; dica progressiva.</w:t>
            </w:r>
          </w:p>
        </w:tc>
      </w:tr>
      <w:tr>
        <w:tc>
          <w:tcPr>
            <w:tcW w:type="dxa" w:w="907"/>
          </w:tcPr>
          <w:p>
            <w:pPr>
              <w:spacing w:after="20"/>
            </w:pPr>
            <w:r/>
            <w:r>
              <w:rPr>
                <w:rFonts w:ascii="Arial" w:hAnsi="Arial" w:cs="Arial"/>
                <w:sz w:val="18"/>
              </w:rPr>
              <w:t>RA-T4</w:t>
            </w:r>
          </w:p>
        </w:tc>
        <w:tc>
          <w:tcPr>
            <w:tcW w:type="dxa" w:w="3402"/>
          </w:tcPr>
          <w:p>
            <w:pPr>
              <w:spacing w:after="20"/>
            </w:pPr>
            <w:r/>
            <w:r>
              <w:rPr>
                <w:rFonts w:ascii="Arial" w:hAnsi="Arial" w:cs="Arial"/>
                <w:sz w:val="18"/>
              </w:rPr>
              <w:t>Avaliar e combinar expressões relacionais e lógicas (and, or, not) (RA1).</w:t>
            </w:r>
          </w:p>
        </w:tc>
        <w:tc>
          <w:tcPr>
            <w:tcW w:type="dxa" w:w="2381"/>
          </w:tcPr>
          <w:p>
            <w:pPr>
              <w:spacing w:after="20"/>
            </w:pPr>
            <w:r/>
            <w:r>
              <w:rPr>
                <w:rFonts w:ascii="Arial" w:hAnsi="Arial" w:cs="Arial"/>
                <w:sz w:val="18"/>
              </w:rPr>
              <w:t>TE1 — Operações relacionais e lógicas</w:t>
            </w:r>
          </w:p>
        </w:tc>
        <w:tc>
          <w:tcPr>
            <w:tcW w:type="dxa" w:w="2381"/>
          </w:tcPr>
          <w:p>
            <w:pPr>
              <w:spacing w:after="20"/>
            </w:pPr>
            <w:r/>
            <w:r>
              <w:rPr>
                <w:rFonts w:ascii="Arial" w:hAnsi="Arial" w:cs="Arial"/>
                <w:sz w:val="18"/>
              </w:rPr>
              <w:t>Trilha "Verdadeiro ou Falso": associação e casos contrastantes; dica reforçada nos pontos de confusão.</w:t>
            </w:r>
          </w:p>
        </w:tc>
      </w:tr>
      <w:tr>
        <w:tc>
          <w:tcPr>
            <w:tcW w:type="dxa" w:w="907"/>
          </w:tcPr>
          <w:p>
            <w:pPr>
              <w:spacing w:after="20"/>
            </w:pPr>
            <w:r/>
            <w:r>
              <w:rPr>
                <w:rFonts w:ascii="Arial" w:hAnsi="Arial" w:cs="Arial"/>
                <w:sz w:val="18"/>
              </w:rPr>
              <w:t>RA-T5</w:t>
            </w:r>
          </w:p>
        </w:tc>
        <w:tc>
          <w:tcPr>
            <w:tcW w:type="dxa" w:w="3402"/>
          </w:tcPr>
          <w:p>
            <w:pPr>
              <w:spacing w:after="20"/>
            </w:pPr>
            <w:r/>
            <w:r>
              <w:rPr>
                <w:rFonts w:ascii="Arial" w:hAnsi="Arial" w:cs="Arial"/>
                <w:sz w:val="18"/>
              </w:rPr>
              <w:t>Construir e prever estruturas de seleção (if/elif/else) que classificam um valor em faixas (RA1, RA2).</w:t>
            </w:r>
          </w:p>
        </w:tc>
        <w:tc>
          <w:tcPr>
            <w:tcW w:type="dxa" w:w="2381"/>
          </w:tcPr>
          <w:p>
            <w:pPr>
              <w:spacing w:after="20"/>
            </w:pPr>
            <w:r/>
            <w:r>
              <w:rPr>
                <w:rFonts w:ascii="Arial" w:hAnsi="Arial" w:cs="Arial"/>
                <w:sz w:val="18"/>
              </w:rPr>
              <w:t>TE2 — Estruturas de seleção</w:t>
            </w:r>
          </w:p>
        </w:tc>
        <w:tc>
          <w:tcPr>
            <w:tcW w:type="dxa" w:w="2381"/>
          </w:tcPr>
          <w:p>
            <w:pPr>
              <w:spacing w:after="20"/>
            </w:pPr>
            <w:r/>
            <w:r>
              <w:rPr>
                <w:rFonts w:ascii="Arial" w:hAnsi="Arial" w:cs="Arial"/>
                <w:sz w:val="18"/>
              </w:rPr>
              <w:t>Trilha "Condições": Parsons, lacuna e contraste elif vs. if; perda de energia a partir do 3º erro.</w:t>
            </w:r>
          </w:p>
        </w:tc>
      </w:tr>
      <w:tr>
        <w:tc>
          <w:tcPr>
            <w:tcW w:type="dxa" w:w="907"/>
          </w:tcPr>
          <w:p>
            <w:pPr>
              <w:spacing w:after="20"/>
            </w:pPr>
            <w:r/>
            <w:r>
              <w:rPr>
                <w:rFonts w:ascii="Arial" w:hAnsi="Arial" w:cs="Arial"/>
                <w:sz w:val="18"/>
              </w:rPr>
              <w:t>RA-T6</w:t>
            </w:r>
          </w:p>
        </w:tc>
        <w:tc>
          <w:tcPr>
            <w:tcW w:type="dxa" w:w="3402"/>
          </w:tcPr>
          <w:p>
            <w:pPr>
              <w:spacing w:after="20"/>
            </w:pPr>
            <w:r/>
            <w:r>
              <w:rPr>
                <w:rFonts w:ascii="Arial" w:hAnsi="Arial" w:cs="Arial"/>
                <w:sz w:val="18"/>
              </w:rPr>
              <w:t>Usar estruturas de repetição (while, for, range) com contador e acumulador (RA1, RA2).</w:t>
            </w:r>
          </w:p>
        </w:tc>
        <w:tc>
          <w:tcPr>
            <w:tcW w:type="dxa" w:w="2381"/>
          </w:tcPr>
          <w:p>
            <w:pPr>
              <w:spacing w:after="20"/>
            </w:pPr>
            <w:r/>
            <w:r>
              <w:rPr>
                <w:rFonts w:ascii="Arial" w:hAnsi="Arial" w:cs="Arial"/>
                <w:sz w:val="18"/>
              </w:rPr>
              <w:t>TE2 — Estruturas de repetição</w:t>
            </w:r>
          </w:p>
        </w:tc>
        <w:tc>
          <w:tcPr>
            <w:tcW w:type="dxa" w:w="2381"/>
          </w:tcPr>
          <w:p>
            <w:pPr>
              <w:spacing w:after="20"/>
            </w:pPr>
            <w:r/>
            <w:r>
              <w:rPr>
                <w:rFonts w:ascii="Arial" w:hAnsi="Arial" w:cs="Arial"/>
                <w:sz w:val="18"/>
              </w:rPr>
              <w:t>Trilha "Repetição": prever iterações, achar laço infinito e Parsons; bônus de streak nos picos.</w:t>
            </w:r>
          </w:p>
        </w:tc>
      </w:tr>
      <w:tr>
        <w:tc>
          <w:tcPr>
            <w:tcW w:type="dxa" w:w="907"/>
          </w:tcPr>
          <w:p>
            <w:pPr>
              <w:spacing w:after="20"/>
            </w:pPr>
            <w:r/>
            <w:r>
              <w:rPr>
                <w:rFonts w:ascii="Arial" w:hAnsi="Arial" w:cs="Arial"/>
                <w:sz w:val="18"/>
              </w:rPr>
              <w:t>RA-T7</w:t>
            </w:r>
          </w:p>
        </w:tc>
        <w:tc>
          <w:tcPr>
            <w:tcW w:type="dxa" w:w="3402"/>
          </w:tcPr>
          <w:p>
            <w:pPr>
              <w:spacing w:after="20"/>
            </w:pPr>
            <w:r/>
            <w:r>
              <w:rPr>
                <w:rFonts w:ascii="Arial" w:hAnsi="Arial" w:cs="Arial"/>
                <w:sz w:val="18"/>
              </w:rPr>
              <w:t>Indexar e percorrer listas e matrizes (len, índice, laço aninhado) (RA1, RA2).</w:t>
            </w:r>
          </w:p>
        </w:tc>
        <w:tc>
          <w:tcPr>
            <w:tcW w:type="dxa" w:w="2381"/>
          </w:tcPr>
          <w:p>
            <w:pPr>
              <w:spacing w:after="20"/>
            </w:pPr>
            <w:r/>
            <w:r>
              <w:rPr>
                <w:rFonts w:ascii="Arial" w:hAnsi="Arial" w:cs="Arial"/>
                <w:sz w:val="18"/>
              </w:rPr>
              <w:t>TE3 — Vetores, listas e matrizes</w:t>
            </w:r>
          </w:p>
        </w:tc>
        <w:tc>
          <w:tcPr>
            <w:tcW w:type="dxa" w:w="2381"/>
          </w:tcPr>
          <w:p>
            <w:pPr>
              <w:spacing w:after="20"/>
            </w:pPr>
            <w:r/>
            <w:r>
              <w:rPr>
                <w:rFonts w:ascii="Arial" w:hAnsi="Arial" w:cs="Arial"/>
                <w:sz w:val="18"/>
              </w:rPr>
              <w:t>Trilha "Listas e Matrizes": achar erro de índice e Parsons de soma; dica liberada mais cedo (maior carga).</w:t>
            </w:r>
          </w:p>
        </w:tc>
      </w:tr>
      <w:tr>
        <w:tc>
          <w:tcPr>
            <w:tcW w:type="dxa" w:w="907"/>
          </w:tcPr>
          <w:p>
            <w:pPr>
              <w:spacing w:after="20"/>
            </w:pPr>
            <w:r/>
            <w:r>
              <w:rPr>
                <w:rFonts w:ascii="Arial" w:hAnsi="Arial" w:cs="Arial"/>
                <w:sz w:val="18"/>
              </w:rPr>
              <w:t>RA-T8</w:t>
            </w:r>
          </w:p>
        </w:tc>
        <w:tc>
          <w:tcPr>
            <w:tcW w:type="dxa" w:w="3402"/>
          </w:tcPr>
          <w:p>
            <w:pPr>
              <w:spacing w:after="20"/>
            </w:pPr>
            <w:r/>
            <w:r>
              <w:rPr>
                <w:rFonts w:ascii="Arial" w:hAnsi="Arial" w:cs="Arial"/>
                <w:sz w:val="18"/>
              </w:rPr>
              <w:t>Definir e chamar funções, distinguir return de print e modularizar um problema (RA2).</w:t>
            </w:r>
          </w:p>
        </w:tc>
        <w:tc>
          <w:tcPr>
            <w:tcW w:type="dxa" w:w="2381"/>
          </w:tcPr>
          <w:p>
            <w:pPr>
              <w:spacing w:after="20"/>
            </w:pPr>
            <w:r/>
            <w:r>
              <w:rPr>
                <w:rFonts w:ascii="Arial" w:hAnsi="Arial" w:cs="Arial"/>
                <w:sz w:val="18"/>
              </w:rPr>
              <w:t>TE4 — Funções e modularização</w:t>
            </w:r>
          </w:p>
        </w:tc>
        <w:tc>
          <w:tcPr>
            <w:tcW w:type="dxa" w:w="2381"/>
          </w:tcPr>
          <w:p>
            <w:pPr>
              <w:spacing w:after="20"/>
            </w:pPr>
            <w:r/>
            <w:r>
              <w:rPr>
                <w:rFonts w:ascii="Arial" w:hAnsi="Arial" w:cs="Arial"/>
                <w:sz w:val="18"/>
              </w:rPr>
              <w:t>Trilha "Funções": Parsons, lacuna (def) e contraste return vs. print.</w:t>
            </w:r>
          </w:p>
        </w:tc>
      </w:tr>
      <w:tr>
        <w:tc>
          <w:tcPr>
            <w:tcW w:type="dxa" w:w="907"/>
          </w:tcPr>
          <w:p>
            <w:pPr>
              <w:spacing w:after="20"/>
            </w:pPr>
            <w:r/>
            <w:r>
              <w:rPr>
                <w:rFonts w:ascii="Arial" w:hAnsi="Arial" w:cs="Arial"/>
                <w:sz w:val="18"/>
              </w:rPr>
              <w:t>RA-T9</w:t>
            </w:r>
          </w:p>
        </w:tc>
        <w:tc>
          <w:tcPr>
            <w:tcW w:type="dxa" w:w="3402"/>
          </w:tcPr>
          <w:p>
            <w:pPr>
              <w:spacing w:after="20"/>
            </w:pPr>
            <w:r/>
            <w:r>
              <w:rPr>
                <w:rFonts w:ascii="Arial" w:hAnsi="Arial" w:cs="Arial"/>
                <w:sz w:val="18"/>
              </w:rPr>
              <w:t>Avaliar a qualidade do código e associar casos de teste a requisitos (verificação e validação) (RA2).</w:t>
            </w:r>
          </w:p>
        </w:tc>
        <w:tc>
          <w:tcPr>
            <w:tcW w:type="dxa" w:w="2381"/>
          </w:tcPr>
          <w:p>
            <w:pPr>
              <w:spacing w:after="20"/>
            </w:pPr>
            <w:r/>
            <w:r>
              <w:rPr>
                <w:rFonts w:ascii="Arial" w:hAnsi="Arial" w:cs="Arial"/>
                <w:sz w:val="18"/>
              </w:rPr>
              <w:t>TE5 — Boas práticas e ES aplicada</w:t>
            </w:r>
          </w:p>
        </w:tc>
        <w:tc>
          <w:tcPr>
            <w:tcW w:type="dxa" w:w="2381"/>
          </w:tcPr>
          <w:p>
            <w:pPr>
              <w:spacing w:after="20"/>
            </w:pPr>
            <w:r/>
            <w:r>
              <w:rPr>
                <w:rFonts w:ascii="Arial" w:hAnsi="Arial" w:cs="Arial"/>
                <w:sz w:val="18"/>
              </w:rPr>
              <w:t>Trilha "Boas Práticas e Testes": casos contrastantes de legibilidade/DRY e associação teste/requisito.</w:t>
            </w:r>
          </w:p>
        </w:tc>
      </w:tr>
      <w:tr>
        <w:tc>
          <w:tcPr>
            <w:tcW w:type="dxa" w:w="907"/>
          </w:tcPr>
          <w:p>
            <w:pPr>
              <w:spacing w:after="20"/>
            </w:pPr>
            <w:r/>
            <w:r>
              <w:rPr>
                <w:rFonts w:ascii="Arial" w:hAnsi="Arial" w:cs="Arial"/>
                <w:sz w:val="18"/>
              </w:rPr>
              <w:t>RA-T10</w:t>
            </w:r>
          </w:p>
        </w:tc>
        <w:tc>
          <w:tcPr>
            <w:tcW w:type="dxa" w:w="3402"/>
          </w:tcPr>
          <w:p>
            <w:pPr>
              <w:spacing w:after="20"/>
            </w:pPr>
            <w:r/>
            <w:r>
              <w:rPr>
                <w:rFonts w:ascii="Arial" w:hAnsi="Arial" w:cs="Arial"/>
                <w:sz w:val="18"/>
              </w:rPr>
              <w:t>Resolver um problema completo em Python, versioná-lo no GitHub e receber feedback da IA sobre o código (RA1, RA2).</w:t>
            </w:r>
          </w:p>
        </w:tc>
        <w:tc>
          <w:tcPr>
            <w:tcW w:type="dxa" w:w="2381"/>
          </w:tcPr>
          <w:p>
            <w:pPr>
              <w:spacing w:after="20"/>
            </w:pPr>
            <w:r/>
            <w:r>
              <w:rPr>
                <w:rFonts w:ascii="Arial" w:hAnsi="Arial" w:cs="Arial"/>
                <w:sz w:val="18"/>
              </w:rPr>
              <w:t>Integrador (TE1 a TE5)</w:t>
            </w:r>
          </w:p>
        </w:tc>
        <w:tc>
          <w:tcPr>
            <w:tcW w:type="dxa" w:w="2381"/>
          </w:tcPr>
          <w:p>
            <w:pPr>
              <w:spacing w:after="20"/>
            </w:pPr>
            <w:r/>
            <w:r>
              <w:rPr>
                <w:rFonts w:ascii="Arial" w:hAnsi="Arial" w:cs="Arial"/>
                <w:sz w:val="18"/>
              </w:rPr>
              <w:t>Trilha "Projeto Final": resposta aberta avaliada por IA sob rubrica (human-in-the-loop); energia tolerante e conquista.</w:t>
            </w:r>
          </w:p>
        </w:tc>
      </w:tr>
    </w:tbl>
    <w:p>
      <w:pPr>
        <w:pStyle w:val="Normal"/>
        <w:spacing w:before="40" w:after="160"/>
        <w:jc w:val="center"/>
      </w:pPr>
      <w:r>
        <w:rPr>
          <w:rFonts w:ascii="Arial" w:hAnsi="Arial" w:cs="Arial"/>
          <w:i/>
          <w:sz w:val="18"/>
        </w:rPr>
        <w:t>Quadro 3-2. Resultados de aprendizagem, temas de estudo e mecânicas de jogo. Fonte: os Autores.</w:t>
      </w:r>
    </w:p>
    <w:p w:rsidR="00000000" w:rsidDel="00000000" w:rsidP="00000000" w:rsidRDefault="00000000" w:rsidRPr="00000000" w14:paraId="0000016D">
      <w:pPr>
        <w:pStyle w:val="Heading2"/>
        <w:numPr>
          <w:ilvl w:val="1"/>
          <w:numId w:val="2"/>
        </w:numPr>
        <w:ind w:left="576" w:hanging="576"/>
        <w:rPr/>
      </w:pPr>
      <w:bookmarkStart w:colFirst="0" w:colLast="0" w:name="_heading=h.5l0bxtj6u0j5" w:id="25"/>
      <w:bookmarkEnd w:id="25"/>
      <w:r w:rsidDel="00000000" w:rsidR="00000000" w:rsidRPr="00000000">
        <w:rPr>
          <w:rtl w:val="0"/>
        </w:rPr>
        <w:t xml:space="preserve">Considerações sobre o capítulo</w:t>
      </w:r>
    </w:p>
    <w:p w:rsidR="00000000" w:rsidDel="00000000" w:rsidP="00000000" w:rsidRDefault="00000000" w:rsidRPr="00000000" w14:paraId="0000016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t xml:space="preserve">Este capítulo especificou a solução proposta pelo DevForge sob a ótica do usuário e do produto. Foram apresentadas as personas que representam o público iniciante, os requisitos funcionais que delimitam o escopo da plataforma e a especificação do jogo, na qual se detalharam o tema de Engenharia de Software abordado, a narrativa, os objetivos, as inspirações e — com destaque — o mapeamento entre os resultados de aprendizagem, os temas de estudo da disciplina de Raciocínio Algorítmico e as mecânicas de jogo associadas. Esse mapeamento garante que a gamificação esteja a serviço da aprendizagem, e não o contrário, mantendo a dificuldade crescente e o princípio de compreender antes de escrever. O capítulo seguinte descreve como a ferramenta será validada junto ao público-alvo.</w:t>
      </w:r>
    </w:p>
    <w:p>
      <w:pPr>
        <w:pStyle w:val="Heading1"/>
        <w:numPr>
          <w:ilvl w:val="0"/>
          <w:numId w:val="2"/>
        </w:numPr>
      </w:pPr>
      <w:r>
        <w:t>VALIDAÇÃO DA FERRAMENTA</w:t>
      </w:r>
    </w:p>
    <w:p>
      <w:pPr>
        <w:pStyle w:val="Normal"/>
        <w:jc w:val="both"/>
      </w:pPr>
      <w:r>
        <w:rPr>
          <w:rFonts w:ascii="Arial" w:hAnsi="Arial" w:cs="Arial"/>
        </w:rPr>
        <w:t>Este capítulo descreve como o DevForge será validado. Por se tratar de um jogo com finalidade educacional, a avaliação não se limita a testar funcionalidades: busca evidências de que o jogo é compreensível, motivador e efetivamente apoia o aprendizado inicial de lógica de programação. Para estruturar essa coleta, a equipe adotará o questionário MEEGA+ (Model for the Evaluation of Educational Games), de Petri, von Wangenheim e Borgatto (2018), somado à observação do uso. As seções a seguir detalham o ambiente, as condições, a aplicação e a análise.</w:t>
      </w:r>
    </w:p>
    <w:p>
      <w:pPr>
        <w:pStyle w:val="Normal"/>
        <w:jc w:val="both"/>
      </w:pPr>
      <w:r>
        <w:rPr>
          <w:rFonts w:ascii="Arial" w:hAnsi="Arial" w:cs="Arial"/>
          <w:i/>
        </w:rPr>
        <w:t>Observação: este capítulo é um rascunho preliminar. O desenho final da validação ainda será alinhado com a orientadora antes de sua execução.</w:t>
      </w:r>
    </w:p>
    <w:p>
      <w:pPr>
        <w:pStyle w:val="Heading2"/>
        <w:numPr>
          <w:ilvl w:val="1"/>
          <w:numId w:val="2"/>
        </w:numPr>
      </w:pPr>
      <w:r>
        <w:t>Ambiente necessário para validação</w:t>
      </w:r>
    </w:p>
    <w:p>
      <w:pPr>
        <w:pStyle w:val="Normal"/>
        <w:jc w:val="both"/>
      </w:pPr>
      <w:r>
        <w:rPr>
          <w:rFonts w:ascii="Arial" w:hAnsi="Arial" w:cs="Arial"/>
        </w:rPr>
        <w:t>Como o DevForge roda inteiramente no navegador, a validação dispensa instalação: cada participante acessa o protótipo por um link, no próprio equipamento ou numa máquina do laboratório da PUCPR. Isso torna a coleta simples de escalar e independente do sistema operacional. O Quadro 4-1 reúne os requisitos mínimos para uma experiência fluida.</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35"/>
        <w:gridCol w:w="4535"/>
      </w:tblGrid>
      <w:tr>
        <w:tc>
          <w:tcPr>
            <w:tcW w:type="dxa" w:w="2268"/>
            <w:shd w:val="clear" w:color="auto" w:fill="D9D9D9"/>
          </w:tcPr>
          <w:p>
            <w:pPr>
              <w:spacing w:after="20"/>
            </w:pPr>
            <w:r/>
            <w:r>
              <w:rPr>
                <w:rFonts w:ascii="Arial" w:hAnsi="Arial" w:cs="Arial"/>
                <w:b/>
                <w:sz w:val="20"/>
              </w:rPr>
              <w:t>Item</w:t>
            </w:r>
          </w:p>
        </w:tc>
        <w:tc>
          <w:tcPr>
            <w:tcW w:type="dxa" w:w="6803"/>
            <w:shd w:val="clear" w:color="auto" w:fill="D9D9D9"/>
          </w:tcPr>
          <w:p>
            <w:pPr>
              <w:spacing w:after="20"/>
            </w:pPr>
            <w:r/>
            <w:r>
              <w:rPr>
                <w:rFonts w:ascii="Arial" w:hAnsi="Arial" w:cs="Arial"/>
                <w:b/>
                <w:sz w:val="20"/>
              </w:rPr>
              <w:t>Requisito mínimo</w:t>
            </w:r>
          </w:p>
        </w:tc>
      </w:tr>
      <w:tr>
        <w:tc>
          <w:tcPr>
            <w:tcW w:type="dxa" w:w="2268"/>
          </w:tcPr>
          <w:p>
            <w:pPr>
              <w:spacing w:after="20"/>
            </w:pPr>
            <w:r/>
            <w:r>
              <w:rPr>
                <w:rFonts w:ascii="Arial" w:hAnsi="Arial" w:cs="Arial"/>
                <w:sz w:val="20"/>
              </w:rPr>
              <w:t>Equipamento</w:t>
            </w:r>
          </w:p>
        </w:tc>
        <w:tc>
          <w:tcPr>
            <w:tcW w:type="dxa" w:w="6803"/>
          </w:tcPr>
          <w:p>
            <w:pPr>
              <w:spacing w:after="20"/>
            </w:pPr>
            <w:r/>
            <w:r>
              <w:rPr>
                <w:rFonts w:ascii="Arial" w:hAnsi="Arial" w:cs="Arial"/>
                <w:sz w:val="20"/>
              </w:rPr>
              <w:t>Computador, notebook ou celular com navegador atualizado.</w:t>
            </w:r>
          </w:p>
        </w:tc>
      </w:tr>
      <w:tr>
        <w:tc>
          <w:tcPr>
            <w:tcW w:type="dxa" w:w="2268"/>
          </w:tcPr>
          <w:p>
            <w:pPr>
              <w:spacing w:after="20"/>
            </w:pPr>
            <w:r/>
            <w:r>
              <w:rPr>
                <w:rFonts w:ascii="Arial" w:hAnsi="Arial" w:cs="Arial"/>
                <w:sz w:val="20"/>
              </w:rPr>
              <w:t>Sistema operacional</w:t>
            </w:r>
          </w:p>
        </w:tc>
        <w:tc>
          <w:tcPr>
            <w:tcW w:type="dxa" w:w="6803"/>
          </w:tcPr>
          <w:p>
            <w:pPr>
              <w:spacing w:after="20"/>
            </w:pPr>
            <w:r/>
            <w:r>
              <w:rPr>
                <w:rFonts w:ascii="Arial" w:hAnsi="Arial" w:cs="Arial"/>
                <w:sz w:val="20"/>
              </w:rPr>
              <w:t>Qualquer um (Windows, Linux, macOS, Android ou iOS) — o jogo roda na web.</w:t>
            </w:r>
          </w:p>
        </w:tc>
      </w:tr>
      <w:tr>
        <w:tc>
          <w:tcPr>
            <w:tcW w:type="dxa" w:w="2268"/>
          </w:tcPr>
          <w:p>
            <w:pPr>
              <w:spacing w:after="20"/>
            </w:pPr>
            <w:r/>
            <w:r>
              <w:rPr>
                <w:rFonts w:ascii="Arial" w:hAnsi="Arial" w:cs="Arial"/>
                <w:sz w:val="20"/>
              </w:rPr>
              <w:t>Navegador</w:t>
            </w:r>
          </w:p>
        </w:tc>
        <w:tc>
          <w:tcPr>
            <w:tcW w:type="dxa" w:w="6803"/>
          </w:tcPr>
          <w:p>
            <w:pPr>
              <w:spacing w:after="20"/>
            </w:pPr>
            <w:r/>
            <w:r>
              <w:rPr>
                <w:rFonts w:ascii="Arial" w:hAnsi="Arial" w:cs="Arial"/>
                <w:sz w:val="20"/>
              </w:rPr>
              <w:t>Versão recente de Chrome, Edge, Firefox, Safari ou Opera, com JavaScript habilitado.</w:t>
            </w:r>
          </w:p>
        </w:tc>
      </w:tr>
      <w:tr>
        <w:tc>
          <w:tcPr>
            <w:tcW w:type="dxa" w:w="2268"/>
          </w:tcPr>
          <w:p>
            <w:pPr>
              <w:spacing w:after="20"/>
            </w:pPr>
            <w:r/>
            <w:r>
              <w:rPr>
                <w:rFonts w:ascii="Arial" w:hAnsi="Arial" w:cs="Arial"/>
                <w:sz w:val="20"/>
              </w:rPr>
              <w:t>Memória</w:t>
            </w:r>
          </w:p>
        </w:tc>
        <w:tc>
          <w:tcPr>
            <w:tcW w:type="dxa" w:w="6803"/>
          </w:tcPr>
          <w:p>
            <w:pPr>
              <w:spacing w:after="20"/>
            </w:pPr>
            <w:r/>
            <w:r>
              <w:rPr>
                <w:rFonts w:ascii="Arial" w:hAnsi="Arial" w:cs="Arial"/>
                <w:sz w:val="20"/>
              </w:rPr>
              <w:t>A partir de 4 GB de RAM.</w:t>
            </w:r>
          </w:p>
        </w:tc>
      </w:tr>
      <w:tr>
        <w:tc>
          <w:tcPr>
            <w:tcW w:type="dxa" w:w="2268"/>
          </w:tcPr>
          <w:p>
            <w:pPr>
              <w:spacing w:after="20"/>
            </w:pPr>
            <w:r/>
            <w:r>
              <w:rPr>
                <w:rFonts w:ascii="Arial" w:hAnsi="Arial" w:cs="Arial"/>
                <w:sz w:val="20"/>
              </w:rPr>
              <w:t>Internet</w:t>
            </w:r>
          </w:p>
        </w:tc>
        <w:tc>
          <w:tcPr>
            <w:tcW w:type="dxa" w:w="6803"/>
          </w:tcPr>
          <w:p>
            <w:pPr>
              <w:spacing w:after="20"/>
            </w:pPr>
            <w:r/>
            <w:r>
              <w:rPr>
                <w:rFonts w:ascii="Arial" w:hAnsi="Arial" w:cs="Arial"/>
                <w:sz w:val="20"/>
              </w:rPr>
              <w:t>Conexão ativa durante o uso (o jogo e a arte da narrativa são carregados online).</w:t>
            </w:r>
          </w:p>
        </w:tc>
      </w:tr>
    </w:tbl>
    <w:p>
      <w:pPr>
        <w:pStyle w:val="Normal"/>
        <w:spacing w:before="40" w:after="160"/>
        <w:jc w:val="center"/>
      </w:pPr>
      <w:r>
        <w:rPr>
          <w:rFonts w:ascii="Arial" w:hAnsi="Arial" w:cs="Arial"/>
          <w:i/>
          <w:sz w:val="18"/>
        </w:rPr>
        <w:t>Quadro 4-1. Ambiente do usuário (requisitos mínimos). Fonte: os Autores.</w:t>
      </w:r>
    </w:p>
    <w:p>
      <w:pPr>
        <w:pStyle w:val="Heading2"/>
        <w:numPr>
          <w:ilvl w:val="1"/>
          <w:numId w:val="2"/>
        </w:numPr>
      </w:pPr>
      <w:r>
        <w:t>Condições para iniciar a validação</w:t>
      </w:r>
    </w:p>
    <w:p>
      <w:pPr>
        <w:pStyle w:val="Normal"/>
        <w:jc w:val="both"/>
      </w:pPr>
      <w:r>
        <w:rPr>
          <w:rFonts w:ascii="Arial" w:hAnsi="Arial" w:cs="Arial"/>
        </w:rPr>
        <w:t>A aplicação só começa depois de atendidos alguns pré-requisitos, que garantem dados úteis e uso ético das respostas:</w:t>
      </w:r>
    </w:p>
    <w:p>
      <w:pPr>
        <w:pStyle w:val="Normal"/>
        <w:spacing w:after="40"/>
        <w:ind w:left="454"/>
        <w:jc w:val="both"/>
      </w:pPr>
      <w:r>
        <w:rPr>
          <w:rFonts w:ascii="Arial" w:hAnsi="Arial" w:cs="Arial"/>
        </w:rPr>
        <w:t>•  Protótipo publicado e estável, cobrindo a abertura narrativa e a Trilha 1 (Leitura de Código), acessível por link.</w:t>
      </w:r>
    </w:p>
    <w:p>
      <w:pPr>
        <w:pStyle w:val="Normal"/>
        <w:spacing w:after="40"/>
        <w:ind w:left="454"/>
        <w:jc w:val="both"/>
      </w:pPr>
      <w:r>
        <w:rPr>
          <w:rFonts w:ascii="Arial" w:hAnsi="Arial" w:cs="Arial"/>
        </w:rPr>
        <w:t>•  Questionário MEEGA+ montado e revisado pela equipe antes da primeira sessão.</w:t>
      </w:r>
    </w:p>
    <w:p>
      <w:pPr>
        <w:pStyle w:val="Normal"/>
        <w:spacing w:after="40"/>
        <w:ind w:left="454"/>
        <w:jc w:val="both"/>
      </w:pPr>
      <w:r>
        <w:rPr>
          <w:rFonts w:ascii="Arial" w:hAnsi="Arial" w:cs="Arial"/>
        </w:rPr>
        <w:t>•  Grupo de participantes definido: ao menos 10 estudantes de computação que estejam cursando ou já tenham cursado a disciplina de lógica/raciocínio algorítmico — o perfil das personas Pedro, Letícia e Marcelo.</w:t>
      </w:r>
    </w:p>
    <w:p>
      <w:pPr>
        <w:pStyle w:val="Normal"/>
        <w:spacing w:after="40"/>
        <w:ind w:left="454"/>
        <w:jc w:val="both"/>
      </w:pPr>
      <w:r>
        <w:rPr>
          <w:rFonts w:ascii="Arial" w:hAnsi="Arial" w:cs="Arial"/>
        </w:rPr>
        <w:t>•  Consentimento informado de cada participante, em conformidade com a Declaração de Uso de IA da disciplina.</w:t>
      </w:r>
    </w:p>
    <w:p>
      <w:pPr>
        <w:pStyle w:val="Heading2"/>
        <w:numPr>
          <w:ilvl w:val="1"/>
          <w:numId w:val="2"/>
        </w:numPr>
      </w:pPr>
      <w:r>
        <w:t>Procedimentos para realizar a validação</w:t>
      </w:r>
    </w:p>
    <w:p>
      <w:pPr>
        <w:pStyle w:val="Normal"/>
        <w:jc w:val="both"/>
      </w:pPr>
      <w:r>
        <w:rPr>
          <w:rFonts w:ascii="Arial" w:hAnsi="Arial" w:cs="Arial"/>
        </w:rPr>
        <w:t>A sessão pode ocorrer presencialmente, nos laboratórios da PUCPR, ou de forma remota. Em ambos os casos ela segue os momentos do Quadro 4-2: uma introdução curta, o uso livre do jogo e, ao final, o preenchimento do questionário. Durante o uso, a equipe evita intervir, para que a percepção de facilidade e de aprendizado seja a do próprio aluno.</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535"/>
        <w:gridCol w:w="4535"/>
      </w:tblGrid>
      <w:tr>
        <w:tc>
          <w:tcPr>
            <w:tcW w:type="dxa" w:w="2268"/>
            <w:shd w:val="clear" w:color="auto" w:fill="D9D9D9"/>
          </w:tcPr>
          <w:p>
            <w:pPr>
              <w:spacing w:after="20"/>
            </w:pPr>
            <w:r/>
            <w:r>
              <w:rPr>
                <w:rFonts w:ascii="Arial" w:hAnsi="Arial" w:cs="Arial"/>
                <w:b/>
                <w:sz w:val="20"/>
              </w:rPr>
              <w:t>Momento</w:t>
            </w:r>
          </w:p>
        </w:tc>
        <w:tc>
          <w:tcPr>
            <w:tcW w:type="dxa" w:w="6803"/>
            <w:shd w:val="clear" w:color="auto" w:fill="D9D9D9"/>
          </w:tcPr>
          <w:p>
            <w:pPr>
              <w:spacing w:after="20"/>
            </w:pPr>
            <w:r/>
            <w:r>
              <w:rPr>
                <w:rFonts w:ascii="Arial" w:hAnsi="Arial" w:cs="Arial"/>
                <w:b/>
                <w:sz w:val="20"/>
              </w:rPr>
              <w:t>O que acontece</w:t>
            </w:r>
          </w:p>
        </w:tc>
      </w:tr>
      <w:tr>
        <w:tc>
          <w:tcPr>
            <w:tcW w:type="dxa" w:w="2268"/>
          </w:tcPr>
          <w:p>
            <w:pPr>
              <w:spacing w:after="20"/>
            </w:pPr>
            <w:r/>
            <w:r>
              <w:rPr>
                <w:rFonts w:ascii="Arial" w:hAnsi="Arial" w:cs="Arial"/>
                <w:sz w:val="20"/>
              </w:rPr>
              <w:t>Introdução</w:t>
            </w:r>
          </w:p>
        </w:tc>
        <w:tc>
          <w:tcPr>
            <w:tcW w:type="dxa" w:w="6803"/>
          </w:tcPr>
          <w:p>
            <w:pPr>
              <w:spacing w:after="20"/>
            </w:pPr>
            <w:r/>
            <w:r>
              <w:rPr>
                <w:rFonts w:ascii="Arial" w:hAnsi="Arial" w:cs="Arial"/>
                <w:sz w:val="20"/>
              </w:rPr>
              <w:t>A equipe apresenta o projeto e explica o objetivo da avaliação, sem revelar respostas.</w:t>
            </w:r>
          </w:p>
        </w:tc>
      </w:tr>
      <w:tr>
        <w:tc>
          <w:tcPr>
            <w:tcW w:type="dxa" w:w="2268"/>
          </w:tcPr>
          <w:p>
            <w:pPr>
              <w:spacing w:after="20"/>
            </w:pPr>
            <w:r/>
            <w:r>
              <w:rPr>
                <w:rFonts w:ascii="Arial" w:hAnsi="Arial" w:cs="Arial"/>
                <w:sz w:val="20"/>
              </w:rPr>
              <w:t>Uso do jogo</w:t>
            </w:r>
          </w:p>
        </w:tc>
        <w:tc>
          <w:tcPr>
            <w:tcW w:type="dxa" w:w="6803"/>
          </w:tcPr>
          <w:p>
            <w:pPr>
              <w:spacing w:after="20"/>
            </w:pPr>
            <w:r/>
            <w:r>
              <w:rPr>
                <w:rFonts w:ascii="Arial" w:hAnsi="Arial" w:cs="Arial"/>
                <w:sz w:val="20"/>
              </w:rPr>
              <w:t>O participante percorre a abertura e a Trilha 1 no seu ritmo, com energia, dicas, streak e XP, sem ajuda externa.</w:t>
            </w:r>
          </w:p>
        </w:tc>
      </w:tr>
      <w:tr>
        <w:tc>
          <w:tcPr>
            <w:tcW w:type="dxa" w:w="2268"/>
          </w:tcPr>
          <w:p>
            <w:pPr>
              <w:spacing w:after="20"/>
            </w:pPr>
            <w:r/>
            <w:r>
              <w:rPr>
                <w:rFonts w:ascii="Arial" w:hAnsi="Arial" w:cs="Arial"/>
                <w:sz w:val="20"/>
              </w:rPr>
              <w:t>Questionário</w:t>
            </w:r>
          </w:p>
        </w:tc>
        <w:tc>
          <w:tcPr>
            <w:tcW w:type="dxa" w:w="6803"/>
          </w:tcPr>
          <w:p>
            <w:pPr>
              <w:spacing w:after="20"/>
            </w:pPr>
            <w:r/>
            <w:r>
              <w:rPr>
                <w:rFonts w:ascii="Arial" w:hAnsi="Arial" w:cs="Arial"/>
                <w:sz w:val="20"/>
              </w:rPr>
              <w:t>Logo após jogar, responde ao formulário MEEGA+, cobrindo clareza da proposta, engajamento, usabilidade e aprendizado percebido.</w:t>
            </w:r>
          </w:p>
        </w:tc>
      </w:tr>
      <w:tr>
        <w:tc>
          <w:tcPr>
            <w:tcW w:type="dxa" w:w="2268"/>
          </w:tcPr>
          <w:p>
            <w:pPr>
              <w:spacing w:after="20"/>
            </w:pPr>
            <w:r/>
            <w:r>
              <w:rPr>
                <w:rFonts w:ascii="Arial" w:hAnsi="Arial" w:cs="Arial"/>
                <w:sz w:val="20"/>
              </w:rPr>
              <w:t>Observação</w:t>
            </w:r>
          </w:p>
        </w:tc>
        <w:tc>
          <w:tcPr>
            <w:tcW w:type="dxa" w:w="6803"/>
          </w:tcPr>
          <w:p>
            <w:pPr>
              <w:spacing w:after="20"/>
            </w:pPr>
            <w:r/>
            <w:r>
              <w:rPr>
                <w:rFonts w:ascii="Arial" w:hAnsi="Arial" w:cs="Arial"/>
                <w:sz w:val="20"/>
              </w:rPr>
              <w:t>Se presencial, a equipe anota reações e dificuldades como apoio qualitativo.</w:t>
            </w:r>
          </w:p>
        </w:tc>
      </w:tr>
    </w:tbl>
    <w:p>
      <w:pPr>
        <w:pStyle w:val="Normal"/>
        <w:spacing w:before="40" w:after="160"/>
        <w:jc w:val="center"/>
      </w:pPr>
      <w:r>
        <w:rPr>
          <w:rFonts w:ascii="Arial" w:hAnsi="Arial" w:cs="Arial"/>
          <w:i/>
          <w:sz w:val="18"/>
        </w:rPr>
        <w:t>Quadro 4-2. Etapas da validação. Fonte: os Autores.</w:t>
      </w:r>
    </w:p>
    <w:p>
      <w:pPr>
        <w:pStyle w:val="Heading2"/>
        <w:numPr>
          <w:ilvl w:val="1"/>
          <w:numId w:val="2"/>
        </w:numPr>
      </w:pPr>
      <w:r>
        <w:t>Procedimentos para analisar os resultados</w:t>
      </w:r>
    </w:p>
    <w:p>
      <w:pPr>
        <w:pStyle w:val="Normal"/>
        <w:jc w:val="both"/>
      </w:pPr>
      <w:r>
        <w:rPr>
          <w:rFonts w:ascii="Arial" w:hAnsi="Arial" w:cs="Arial"/>
        </w:rPr>
        <w:t>Os dados coletados serão lidos à luz das dimensões do MEEGA+ — motivação e engajamento, aprendizagem percebida e qualidade do jogo (usabilidade e clareza).</w:t>
      </w:r>
    </w:p>
    <w:p>
      <w:pPr>
        <w:pStyle w:val="Normal"/>
        <w:spacing w:after="40"/>
        <w:ind w:left="454"/>
        <w:jc w:val="both"/>
      </w:pPr>
      <w:r>
        <w:rPr>
          <w:rFonts w:ascii="Arial" w:hAnsi="Arial" w:cs="Arial"/>
        </w:rPr>
        <w:t>•  As respostas fechadas serão tabuladas e resumidas em gráficos, para revelar padrões.</w:t>
      </w:r>
    </w:p>
    <w:p>
      <w:pPr>
        <w:pStyle w:val="Normal"/>
        <w:spacing w:after="40"/>
        <w:ind w:left="454"/>
        <w:jc w:val="both"/>
      </w:pPr>
      <w:r>
        <w:rPr>
          <w:rFonts w:ascii="Arial" w:hAnsi="Arial" w:cs="Arial"/>
        </w:rPr>
        <w:t>•  Os comentários abertos serão agrupados por tema, indicando onde o jogo acerta e onde precisa evoluir.</w:t>
      </w:r>
    </w:p>
    <w:p>
      <w:pPr>
        <w:pStyle w:val="Normal"/>
        <w:jc w:val="both"/>
      </w:pPr>
      <w:r>
        <w:rPr>
          <w:rFonts w:ascii="Arial" w:hAnsi="Arial" w:cs="Arial"/>
        </w:rPr>
        <w:t>Por fim, a equipe cruzará esses resultados com os objetivos de aprendizagem da Trilha 1 (Quadro 3-2), verificando se o protótipo cumpre sua proposta pedagógica e pode servir de apoio às aulas iniciais de programação.</w:t>
      </w:r>
    </w:p>
    <w:p w:rsidR="00000000" w:rsidDel="00000000" w:rsidP="00000000" w:rsidRDefault="00000000" w:rsidRPr="00000000" w14:paraId="0000016F">
      <w:pPr>
        <w:pStyle w:val="Title"/>
        <w:numPr>
          <w:ilvl w:val="0"/>
          <w:numId w:val="2"/>
        </w:numPr>
        <w:rPr/>
      </w:pPr>
      <w:bookmarkStart w:colFirst="0" w:colLast="0" w:name="_heading=h.6wsfhnvi8m33" w:id="26"/>
      <w:bookmarkEnd w:id="26"/>
      <w:r w:rsidDel="00000000" w:rsidR="00000000" w:rsidRPr="00000000">
        <w:rPr>
          <w:rFonts w:ascii="Arial" w:cs="Arial" w:eastAsia="Arial" w:hAnsi="Arial"/>
          <w:rtl w:val="0"/>
        </w:rPr>
        <w:t xml:space="preserve"> </w:t>
      </w:r>
      <w:r w:rsidDel="00000000" w:rsidR="00000000" w:rsidRPr="00000000">
        <w:rPr>
          <w:rFonts w:ascii="Arial" w:cs="Arial" w:eastAsia="Arial" w:hAnsi="Arial"/>
          <w:sz w:val="32"/>
          <w:szCs w:val="32"/>
          <w:rtl w:val="0"/>
        </w:rPr>
        <w:t xml:space="preserve">INFORMAÇÕES DO PROJETO</w:t>
      </w:r>
    </w:p>
    <w:p w:rsidR="00000000" w:rsidDel="00000000" w:rsidP="00000000" w:rsidRDefault="00000000" w:rsidRPr="00000000" w14:paraId="00000170">
      <w:pPr>
        <w:ind w:left="432" w:firstLine="0"/>
        <w:rPr/>
      </w:pPr>
      <w:r w:rsidDel="00000000" w:rsidR="00000000" w:rsidRPr="00000000">
        <w:rPr>
          <w:rtl w:val="0"/>
        </w:rPr>
      </w:r>
    </w:p>
    <w:p w:rsidR="00000000" w:rsidDel="00000000" w:rsidP="00000000" w:rsidRDefault="00000000" w:rsidRPr="00000000" w14:paraId="00000171">
      <w:pPr>
        <w:pStyle w:val="Heading2"/>
        <w:numPr>
          <w:ilvl w:val="1"/>
          <w:numId w:val="2"/>
        </w:numPr>
      </w:pPr>
      <w:bookmarkStart w:colFirst="0" w:colLast="0" w:name="_heading=h.gwg49noz8b3m" w:id="27"/>
      <w:bookmarkEnd w:id="27"/>
      <w:r w:rsidDel="00000000" w:rsidR="00000000" w:rsidRPr="00000000">
        <w:rPr>
          <w:rtl w:val="0"/>
        </w:rPr>
        <w:t xml:space="preserve">Cronograma</w:t>
      </w:r>
    </w:p>
    <w:p w:rsidR="00000000" w:rsidDel="00000000" w:rsidP="00000000" w:rsidRDefault="00000000" w:rsidRPr="00000000" w14:paraId="00000172">
      <w:pPr>
        <w:ind w:left="0" w:firstLine="720"/>
        <w:jc w:val="both"/>
        <w:rPr>
          <w:rFonts w:ascii="Arial" w:cs="Arial" w:eastAsia="Arial" w:hAnsi="Arial"/>
        </w:rPr>
      </w:pPr>
      <w:r w:rsidDel="00000000" w:rsidR="00000000" w:rsidRPr="00000000">
        <w:rPr>
          <w:rFonts w:ascii="Arial" w:cs="Arial" w:eastAsia="Arial" w:hAnsi="Arial"/>
          <w:rtl w:val="0"/>
        </w:rPr>
        <w:t xml:space="preserve">O desenvolvimento do projeto foi organizado em sprits, com o planejamento e acompanhamento das atividades realizadas por meio da ferramenta Trello. A primeira entrega do projeto (Somativa I) foi tratada como a Sprint 1, cujas atividades são apresentadas no Quadro 3.</w:t>
      </w:r>
    </w:p>
    <w:p w:rsidR="00000000" w:rsidDel="00000000" w:rsidP="00000000" w:rsidRDefault="00000000" w:rsidRPr="00000000" w14:paraId="00000173">
      <w:pPr>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74">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Quadro 3. Cronograma do projeto. Fonte: os Autores</w:t>
      </w:r>
    </w:p>
    <w:p w:rsidR="00000000" w:rsidDel="00000000" w:rsidP="00000000" w:rsidRDefault="00000000" w:rsidRPr="00000000" w14:paraId="00000175">
      <w:pPr>
        <w:spacing w:line="360" w:lineRule="auto"/>
        <w:jc w:val="center"/>
        <w:rPr>
          <w:rFonts w:ascii="Arial" w:cs="Arial" w:eastAsia="Arial" w:hAnsi="Arial"/>
          <w:b w:val="1"/>
          <w:bCs w:val="1"/>
          <w:sz w:val="20"/>
          <w:szCs w:val="20"/>
        </w:rPr>
      </w:pPr>
      <w:r w:rsidDel="00000000" w:rsidR="00000000" w:rsidRPr="00000000">
        <w:rPr>
          <w:rtl w:val="0"/>
        </w:rPr>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1815"/>
        <w:gridCol w:w="1470"/>
        <w:tblGridChange w:id="0">
          <w:tblGrid>
            <w:gridCol w:w="5790"/>
            <w:gridCol w:w="1815"/>
            <w:gridCol w:w="147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Atividade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Perido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Status</w:t>
            </w:r>
            <w:r w:rsidDel="00000000" w:rsidR="00000000" w:rsidRPr="00000000">
              <w:rPr>
                <w:rtl w:val="0"/>
              </w:rPr>
            </w:r>
          </w:p>
        </w:tc>
      </w:tr>
      <w:tr>
        <w:trPr>
          <w:cantSplit w:val="0"/>
          <w:trHeight w:val="345" w:hRule="atLeast"/>
          <w:tblHeader w:val="0"/>
        </w:trPr>
        <w:tc>
          <w:tcPr>
            <w:gridSpan w:val="3"/>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Sprint I</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Alinhamento Inicial com Orientadores para Entrega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20/08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Elaboração de Casos de Uso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21/08 a 28/08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Especificação de Requisitos (Funcionais e Não Funcionais)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21/08 a 28/08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Definição do Nome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21/08 a 28/08</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Pesquisa de Artigos Acadêmicos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28/08 a 04/09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da Problemática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11/09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da Introdução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11/09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da Revisão da Literatura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Criação de personas e Público-Alvo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11/09 a 18/09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Levantamento de Riscos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04/09 a 11/09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dos Slides para Entrega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18/09 a 28/09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Declaração de Uso de IA assinada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Entrega 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28/09</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Concluido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Defesa oral perante banca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05/10 a 09/10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gridSpan w:val="3"/>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Sprint II</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de Diagramas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10/10 a 16/10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Protótipo do Fluxo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10/10 a 16/10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do protótipo do funcional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16/10 a 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Adequação do documento para Entrega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23/10 a 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Desenvolvimento dos Slides para Entrega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06/11 a 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rFonts w:ascii="Arial" w:cs="Arial" w:eastAsia="Arial" w:hAnsi="Arial"/>
                <w:sz w:val="20"/>
                <w:szCs w:val="20"/>
              </w:rPr>
            </w:pPr>
            <w:r w:rsidDel="00000000" w:rsidR="00000000" w:rsidRPr="00000000">
              <w:rPr>
                <w:rFonts w:ascii="Arial" w:cs="Arial" w:eastAsia="Arial" w:hAnsi="Arial"/>
                <w:rtl w:val="0"/>
              </w:rPr>
              <w:t xml:space="preserve">Entrega II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16/11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B">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C">
      <w:pPr>
        <w:pStyle w:val="Heading2"/>
        <w:numPr>
          <w:ilvl w:val="1"/>
          <w:numId w:val="2"/>
        </w:numPr>
        <w:ind w:left="576" w:hanging="576"/>
        <w:rPr/>
      </w:pPr>
      <w:bookmarkStart w:colFirst="0" w:colLast="0" w:name="_heading=h.255flcdxx88f" w:id="28"/>
      <w:bookmarkEnd w:id="28"/>
      <w:r w:rsidDel="00000000" w:rsidR="00000000" w:rsidRPr="00000000">
        <w:rPr>
          <w:rtl w:val="0"/>
        </w:rPr>
        <w:t xml:space="preserve">Riscos</w:t>
      </w:r>
    </w:p>
    <w:p w:rsidR="00000000" w:rsidDel="00000000" w:rsidP="00000000" w:rsidRDefault="00000000" w:rsidRPr="00000000" w14:paraId="000001B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Embora os riscos possam ser encarados sob duas óticas, ameaças e oportunidades, aqui vamos focar naqueles que representam as ameaças ao sucesso do projeto. Procurem identificar todos os elementos que podem fazer com que o projeto (ou uma fase) não alcance o sucesso.</w:t>
      </w:r>
    </w:p>
    <w:bookmarkStart w:colFirst="0" w:colLast="0" w:name="bookmark=id.5htxz8clftce" w:id="29"/>
    <w:bookmarkEnd w:id="29"/>
    <w:p w:rsidR="00000000" w:rsidDel="00000000" w:rsidP="00000000" w:rsidRDefault="00000000" w:rsidRPr="00000000" w14:paraId="000001BE">
      <w:pPr>
        <w:keepNext w:val="0"/>
        <w:keepLines w:val="0"/>
        <w:pageBreakBefore w:val="0"/>
        <w:widowControl w:val="1"/>
        <w:shd w:fill="auto" w:val="clear"/>
        <w:spacing w:after="0" w:before="0" w:line="360" w:lineRule="auto"/>
        <w:ind w:left="1069"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1"/>
        <w:keepLines w:val="0"/>
        <w:pageBreakBefore w:val="0"/>
        <w:widowControl w:val="1"/>
        <w:shd w:fill="auto" w:val="clear"/>
        <w:spacing w:after="120" w:before="120" w:line="240" w:lineRule="auto"/>
        <w:ind w:left="0" w:right="0" w:firstLine="0"/>
        <w:jc w:val="center"/>
        <w:rPr>
          <w:rFonts w:ascii="Arial" w:cs="Arial" w:eastAsia="Arial" w:hAnsi="Arial"/>
        </w:rPr>
      </w:pPr>
      <w:bookmarkStart w:colFirst="0" w:colLast="0" w:name="_heading=h.rl584aozd8c5"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Tabela </w:t>
      </w:r>
      <w:r w:rsidDel="00000000" w:rsidR="00000000" w:rsidRPr="00000000">
        <w:rPr>
          <w:rFonts w:ascii="Arial" w:cs="Arial" w:eastAsia="Arial" w:hAnsi="Arial"/>
          <w:b w:val="1"/>
          <w:bCs w:val="1"/>
          <w:sz w:val="20"/>
          <w:szCs w:val="20"/>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Riscos do projeto. Fonte: os Autores.</w:t>
      </w:r>
      <w:r w:rsidDel="00000000" w:rsidR="00000000" w:rsidRPr="00000000">
        <w:rPr>
          <w:rtl w:val="0"/>
        </w:rPr>
      </w:r>
    </w:p>
    <w:p w:rsidR="00000000" w:rsidDel="00000000" w:rsidP="00000000" w:rsidRDefault="00000000" w:rsidRPr="00000000" w14:paraId="000001C0">
      <w:pPr>
        <w:keepNext w:val="1"/>
        <w:keepLines w:val="0"/>
        <w:pageBreakBefore w:val="0"/>
        <w:widowControl w:val="1"/>
        <w:shd w:fill="auto" w:val="clear"/>
        <w:spacing w:after="120" w:before="120" w:line="240" w:lineRule="auto"/>
        <w:ind w:left="0" w:right="0" w:firstLine="0"/>
        <w:jc w:val="center"/>
        <w:rPr>
          <w:rFonts w:ascii="Arial" w:cs="Arial" w:eastAsia="Arial" w:hAnsi="Arial"/>
        </w:rPr>
      </w:pPr>
      <w:bookmarkStart w:colFirst="0" w:colLast="0" w:name="_heading=h.kcmhxfgtrv8b" w:id="31"/>
      <w:bookmarkEnd w:id="31"/>
      <w:r w:rsidDel="00000000" w:rsidR="00000000" w:rsidRPr="00000000">
        <w:rPr>
          <w:rtl w:val="0"/>
        </w:rPr>
      </w:r>
    </w:p>
    <w:tbl>
      <w:tblPr>
        <w:tblStyle w:val="Table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2385"/>
        <w:gridCol w:w="660"/>
        <w:gridCol w:w="660"/>
        <w:gridCol w:w="645"/>
        <w:gridCol w:w="2040"/>
        <w:gridCol w:w="2355"/>
        <w:tblGridChange w:id="0">
          <w:tblGrid>
            <w:gridCol w:w="330"/>
            <w:gridCol w:w="2385"/>
            <w:gridCol w:w="660"/>
            <w:gridCol w:w="660"/>
            <w:gridCol w:w="645"/>
            <w:gridCol w:w="2040"/>
            <w:gridCol w:w="235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Descrição</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Ação de prevenção</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Ação de Contingência</w:t>
            </w:r>
          </w:p>
        </w:tc>
      </w:tr>
      <w:tr>
        <w:trPr>
          <w:cantSplit w:val="0"/>
          <w:trHeight w:val="162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Dificuldade técnica na integração com Firebase, GitHub e Azure (tecnologias novas para a equipe)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Fazer prova de conceito (POC) de cada integração antes da fase de desenvolvimento intensivo.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Reduzir o escopo da integração para a versão mínima viável, adiando funcionalidades avançadas.</w:t>
            </w:r>
            <w:r w:rsidDel="00000000" w:rsidR="00000000" w:rsidRPr="00000000">
              <w:rPr>
                <w:rtl w:val="0"/>
              </w:rPr>
            </w:r>
          </w:p>
        </w:tc>
      </w:tr>
      <w:tr>
        <w:trPr>
          <w:cantSplit w:val="0"/>
          <w:trHeight w:val="135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Baixa adesão de alunos do 1º período às entrevistas para definição das Personas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Agendar entrevistas com antecedência e manter uma lista de candidatos maior do que o necessário.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Recorrer a entrevistas com colegas de curso de outros períodos ou ampliar o prazo de coleta.</w:t>
            </w:r>
            <w:r w:rsidDel="00000000" w:rsidR="00000000" w:rsidRPr="00000000">
              <w:rPr>
                <w:rtl w:val="0"/>
              </w:rPr>
            </w:r>
          </w:p>
        </w:tc>
      </w:tr>
      <w:tr>
        <w:trPr>
          <w:cantSplit w:val="0"/>
          <w:trHeight w:val="18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2"/>
                <w:szCs w:val="22"/>
                <w:rtl w:val="0"/>
              </w:rPr>
              <w:t xml:space="preserve">Estimativas de esforço imprecisas ao planejar as Sprints, por falta de histórico da equipe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Revisar estimativas semanalmente com o orientador e usar Sprints curtas para calibrar a velocidade da equipe.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C">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Reprogramar as Sprints seguintes e, se necessário, cortar requisitos de menor prioridade.</w:t>
            </w:r>
            <w:r w:rsidDel="00000000" w:rsidR="00000000" w:rsidRPr="00000000">
              <w:rPr>
                <w:rtl w:val="0"/>
              </w:rPr>
            </w:r>
          </w:p>
        </w:tc>
      </w:tr>
      <w:tr>
        <w:trPr>
          <w:cantSplit w:val="0"/>
          <w:trHeight w:val="18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Escopo funcional grande demais para o tempo disponível no TCC1 (24 requisitos funcionais mapeados)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Priorizar os requisitos essenciais (MVP) já na Proposta, marcando os demais como trabalho futuro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Reduzir formalmente o escopo no TCC2, comunicando a mudança ao orientador.</w:t>
            </w:r>
            <w:r w:rsidDel="00000000" w:rsidR="00000000" w:rsidRPr="00000000">
              <w:rPr>
                <w:rtl w:val="0"/>
              </w:rPr>
            </w:r>
          </w:p>
        </w:tc>
      </w:tr>
      <w:tr>
        <w:trPr>
          <w:cantSplit w:val="0"/>
          <w:trHeight w:val="187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Indisponibilidade de algum integrante da equipe em período crítico do projeto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Baixo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Alto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Distribuir o conhecimento entre os membros, evitando dependência de uma única pessoa em cada frente.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Redistribuir as tarefas entre os membros restantes, ajustando os prazos afetados.</w:t>
            </w:r>
            <w:r w:rsidDel="00000000" w:rsidR="00000000" w:rsidRPr="00000000">
              <w:rPr>
                <w:rtl w:val="0"/>
              </w:rPr>
            </w:r>
          </w:p>
        </w:tc>
      </w:tr>
      <w:tr>
        <w:trPr>
          <w:cantSplit w:val="0"/>
          <w:trHeight w:val="1620"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C">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Mudança de escopo ou de requisitos após validação com os orientadores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Médio</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Validar o quanto antes as decisões em aberto (regras de negócio, nome do projeto) junto aos orientadores.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Reservar um buffer de tempo no cronograma para eventual retrabalho.</w:t>
            </w:r>
            <w:r w:rsidDel="00000000" w:rsidR="00000000" w:rsidRPr="00000000">
              <w:rPr>
                <w:rtl w:val="0"/>
              </w:rPr>
            </w:r>
          </w:p>
        </w:tc>
      </w:tr>
    </w:tbl>
    <w:p w:rsidR="00000000" w:rsidDel="00000000" w:rsidP="00000000" w:rsidRDefault="00000000" w:rsidRPr="00000000" w14:paraId="000001F2">
      <w:pPr>
        <w:keepNext w:val="1"/>
        <w:keepLines w:val="0"/>
        <w:pageBreakBefore w:val="0"/>
        <w:widowControl w:val="1"/>
        <w:shd w:fill="auto" w:val="clear"/>
        <w:spacing w:after="120" w:before="120" w:line="240" w:lineRule="auto"/>
        <w:ind w:left="0" w:right="0" w:firstLine="0"/>
        <w:jc w:val="center"/>
        <w:rPr>
          <w:rFonts w:ascii="Arial" w:cs="Arial" w:eastAsia="Arial" w:hAnsi="Arial"/>
        </w:rPr>
      </w:pPr>
      <w:bookmarkStart w:colFirst="0" w:colLast="0" w:name="_heading=h.2k1exu63h7vl" w:id="32"/>
      <w:bookmarkEnd w:id="32"/>
      <w:r w:rsidDel="00000000" w:rsidR="00000000" w:rsidRPr="00000000">
        <w:rPr>
          <w:rtl w:val="0"/>
        </w:rPr>
      </w:r>
    </w:p>
    <w:p w:rsidR="00000000" w:rsidDel="00000000" w:rsidP="00000000" w:rsidRDefault="00000000" w:rsidRPr="00000000" w14:paraId="000001F3">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Legenda</w:t>
      </w:r>
      <w:r w:rsidDel="00000000" w:rsidR="00000000" w:rsidRPr="00000000">
        <w:rPr>
          <w:rtl w:val="0"/>
        </w:rPr>
      </w:r>
    </w:p>
    <w:p w:rsidR="00000000" w:rsidDel="00000000" w:rsidP="00000000" w:rsidRDefault="00000000" w:rsidRPr="00000000" w14:paraId="000001F4">
      <w:pPr>
        <w:keepNext w:val="0"/>
        <w:keepLines w:val="0"/>
        <w:pageBreakBefore w:val="0"/>
        <w:widowControl w:val="1"/>
        <w:shd w:fill="auto" w:val="clear"/>
        <w:spacing w:after="0" w:before="0" w:line="360" w:lineRule="auto"/>
        <w:ind w:left="72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 probabilidade (alta, média, baixa)</w:t>
      </w:r>
    </w:p>
    <w:p w:rsidR="00000000" w:rsidDel="00000000" w:rsidP="00000000" w:rsidRDefault="00000000" w:rsidRPr="00000000" w14:paraId="000001F5">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ab/>
        <w:t xml:space="preserve">I: impacto (alto, médio, baixo)</w:t>
      </w:r>
    </w:p>
    <w:p w:rsidR="00000000" w:rsidDel="00000000" w:rsidP="00000000" w:rsidRDefault="00000000" w:rsidRPr="00000000" w14:paraId="000001F6">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ab/>
        <w:tab/>
        <w:t xml:space="preserve">S: severidade (S=P*I)</w:t>
      </w:r>
    </w:p>
    <w:p w:rsidR="00000000" w:rsidDel="00000000" w:rsidP="00000000" w:rsidRDefault="00000000" w:rsidRPr="00000000" w14:paraId="000001F7">
      <w:pPr>
        <w:keepNext w:val="0"/>
        <w:keepLines w:val="0"/>
        <w:pageBreakBefore w:val="0"/>
        <w:widowControl w:val="1"/>
        <w:shd w:fill="auto" w:val="clear"/>
        <w:spacing w:after="0" w:before="0" w:line="360" w:lineRule="auto"/>
        <w:ind w:left="1069"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2"/>
        <w:numPr>
          <w:ilvl w:val="1"/>
          <w:numId w:val="2"/>
        </w:numPr>
        <w:ind w:left="576" w:hanging="576"/>
        <w:rPr/>
      </w:pPr>
      <w:bookmarkStart w:colFirst="0" w:colLast="0" w:name="_heading=h.9bqp148g3xg7" w:id="33"/>
      <w:bookmarkEnd w:id="33"/>
      <w:r w:rsidDel="00000000" w:rsidR="00000000" w:rsidRPr="00000000">
        <w:rPr>
          <w:rtl w:val="0"/>
        </w:rPr>
        <w:t xml:space="preserve">Considerações sobre o Capítulo</w:t>
      </w:r>
    </w:p>
    <w:p w:rsidR="00000000" w:rsidDel="00000000" w:rsidP="00000000" w:rsidRDefault="00000000" w:rsidRPr="00000000" w14:paraId="000001F9">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Este capítulo revisou a literatura que sustenta as escolhas de design da plataforma: o modelo de retenção do Duolingo, as estratégias cognitivas que evitam a sobrecarga em iniciantes (como os casos contrastantes), a evidência empírica da eficácia da gamificação no ensino de programação, o impacto dos elementos de gamificação sobre a experiência do usuário e a motivação, e o papel da Inteligência Artificial como apoio ao aprendizado sob supervisão humana. A análise também evidenciou a lacuna deixada pelas plataformas comerciais existentes, que raramente articulam o ensino de programação a boas práticas de Engenharia de Software com feedback assistido por IA. O próximo capítulo define o público-alvo do projeto (Personas) e detalha os requisitos funcionais e não funcionais que orientarão o desenvolvimento da ferramenta.</w:t>
      </w:r>
      <w:r w:rsidDel="00000000" w:rsidR="00000000" w:rsidRPr="00000000">
        <w:rPr>
          <w:rtl w:val="0"/>
        </w:rPr>
      </w:r>
    </w:p>
    <w:p w:rsidR="00000000" w:rsidDel="00000000" w:rsidP="00000000" w:rsidRDefault="00000000" w:rsidRPr="00000000" w14:paraId="000001FA">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C">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9f5q6rqfyl6" w:id="34"/>
      <w:bookmarkEnd w:id="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 BIBLIOGRÁFICAS</w:t>
      </w:r>
    </w:p>
    <w:p w:rsidR="00000000" w:rsidDel="00000000" w:rsidP="00000000" w:rsidRDefault="00000000" w:rsidRPr="00000000" w14:paraId="000001FD">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shd w:fill="auto" w:val="clear"/>
        <w:spacing w:after="0" w:before="0" w:line="360" w:lineRule="auto"/>
        <w:ind w:left="0" w:right="0" w:firstLine="709"/>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As referências bibliográficas aparecem em ordem alfabética e seguem a norma ABNT (NBR 6023), conforme o padrão adotado pela instituição.</w:t>
      </w:r>
    </w:p>
    <w:p w:rsidR="00000000" w:rsidDel="00000000" w:rsidP="00000000" w:rsidRDefault="00000000" w:rsidRPr="00000000" w14:paraId="000001FF">
      <w:pPr>
        <w:keepNext w:val="0"/>
        <w:keepLines w:val="0"/>
        <w:pageBreakBefore w:val="0"/>
        <w:widowControl w:val="1"/>
        <w:shd w:fill="auto" w:val="clear"/>
        <w:spacing w:after="0" w:before="0" w:line="360" w:lineRule="auto"/>
        <w:ind w:left="0" w:right="0" w:firstLine="709"/>
        <w:jc w:val="both"/>
        <w:rPr>
          <w:rFonts w:ascii="Arial" w:cs="Arial" w:eastAsia="Arial" w:hAnsi="Arial"/>
        </w:rPr>
      </w:pPr>
      <w:r w:rsidDel="00000000" w:rsidR="00000000" w:rsidRPr="00000000">
        <w:rPr>
          <w:rFonts w:ascii="Arial" w:cs="Arial" w:eastAsia="Arial" w:hAnsi="Arial"/>
          <w:sz w:val="24"/>
          <w:szCs w:val="24"/>
          <w:rtl w:val="0"/>
        </w:rPr>
        <w:t xml:space="preserve">CHEN, Ching-Huei; CHANG, Ching-Ling. Effectiveness of AI-assisted game-based learning on science learning outcomes, intrinsic motivation, cognitive load, and learning behavior. Education and Information Technologies, v. 29, p. 18621-18642, 2024.</w:t>
      </w:r>
      <w:r w:rsidDel="00000000" w:rsidR="00000000" w:rsidRPr="00000000">
        <w:rPr>
          <w:rtl w:val="0"/>
        </w:rPr>
      </w:r>
    </w:p>
    <w:p w:rsidR="00000000" w:rsidDel="00000000" w:rsidP="00000000" w:rsidRDefault="00000000" w:rsidRPr="00000000" w14:paraId="00000200">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CODECADEMY. Codecademy: learn to code. Disponível em: https://www.codecademy.com. Acesso em: 7 set. 2026.</w:t>
      </w:r>
      <w:r w:rsidDel="00000000" w:rsidR="00000000" w:rsidRPr="00000000">
        <w:rPr>
          <w:rtl w:val="0"/>
        </w:rPr>
      </w:r>
    </w:p>
    <w:p w:rsidR="00000000" w:rsidDel="00000000" w:rsidP="00000000" w:rsidRDefault="00000000" w:rsidRPr="00000000" w14:paraId="00000201">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 PONTES, Rafael G.; GUERRERO, Dalton D. S.; DE FIGUEIREDO, Jorge C. A. Analyzing gamification impact on a mastery learning introductory programming course. In: Proceedings of the 50th ACM Technical Symposium on Computer Science Education (SIGCSE '19). New York: ACM, 2019. p. 400-406.</w:t>
      </w:r>
    </w:p>
    <w:p w:rsidR="00000000" w:rsidDel="00000000" w:rsidP="00000000" w:rsidRDefault="00000000" w:rsidRPr="00000000" w14:paraId="00000202">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EXERCISM. Exercism: coding exercises with mentoring. Disponível em: https://exercism.org. Acesso em: 7 set. 2026.</w:t>
      </w:r>
      <w:r w:rsidDel="00000000" w:rsidR="00000000" w:rsidRPr="00000000">
        <w:rPr>
          <w:rtl w:val="0"/>
        </w:rPr>
      </w:r>
    </w:p>
    <w:p w:rsidR="00000000" w:rsidDel="00000000" w:rsidP="00000000" w:rsidRDefault="00000000" w:rsidRPr="00000000" w14:paraId="00000203">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JACOBIDES, Michael G. et al. The business value of gamification. California Management Review, v. 66, n. 2, p. 91-107, 2024.</w:t>
      </w:r>
    </w:p>
    <w:p w:rsidR="00000000" w:rsidDel="00000000" w:rsidP="00000000" w:rsidRDefault="00000000" w:rsidRPr="00000000" w14:paraId="00000204">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KATAKAM, Shishir. On-device large language models for mobile applications: a systematic survey of optimization strategies, deployment challenges, and privacy implications. ScienceOpen Preprints, 2026.</w:t>
      </w:r>
    </w:p>
    <w:p w:rsidR="00000000" w:rsidDel="00000000" w:rsidP="00000000" w:rsidRDefault="00000000" w:rsidRPr="00000000" w14:paraId="00000205">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KHADSE, Soham. Small language models and efficient AI: the future of sustainable, accessible intelligence. SSRN, 2025. Preprint </w:t>
      </w:r>
      <w:r w:rsidDel="00000000" w:rsidR="00000000" w:rsidRPr="00000000">
        <w:rPr>
          <w:rtl w:val="0"/>
        </w:rPr>
      </w:r>
    </w:p>
    <w:p w:rsidR="00000000" w:rsidDel="00000000" w:rsidP="00000000" w:rsidRDefault="00000000" w:rsidRPr="00000000" w14:paraId="00000206">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MA, Ning et al. Promoting programming education of novice programmers in elementary schools: a contrasting cases approach for learning programming. Education and Information Technologies, v. 28, n. 7, p. 9211-9234, 2023.</w:t>
      </w:r>
    </w:p>
    <w:p w:rsidR="00000000" w:rsidDel="00000000" w:rsidP="00000000" w:rsidRDefault="00000000" w:rsidRPr="00000000" w14:paraId="00000207">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MEISSNER, Niklas et al. Utilizing adaptive gamification in an intelligent tutoring system for software engineering education. In: 2026 IEEE/ACM 48th International Conference on Software Engineering: Software Engineering Education and Training (ICSE-SEET '26). New York: ACM, 2026.</w:t>
      </w:r>
    </w:p>
    <w:p w:rsidR="00000000" w:rsidDel="00000000" w:rsidP="00000000" w:rsidRDefault="00000000" w:rsidRPr="00000000" w14:paraId="00000208">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PERSADA, Andhika Giri. Impact of gamification on user experience: an empirical review. In: 2023 7th International Conference on Electrical, Telecommunication and Computer Engineering (ELTICOM). IEEE, 2023. p. 43-47.</w:t>
      </w:r>
    </w:p>
    <w:p w:rsidR="00000000" w:rsidDel="00000000" w:rsidP="00000000" w:rsidRDefault="00000000" w:rsidRPr="00000000" w14:paraId="00000209">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PITTS, Griffin; HRIDI, Anurata Prabha; LEKSHMI-NARAYANAN, Arun-Balajiee. A survey of LLM-based applications in programming education: balancing automation and human oversight. In: Proceedings of the Fourth Workshop on Bridging Human-Computer Interaction and Natural Language Processing (HCI+NLP). Association for Computational Linguistics, 2025. p. 255-262.</w:t>
      </w:r>
      <w:r w:rsidDel="00000000" w:rsidR="00000000" w:rsidRPr="00000000">
        <w:rPr>
          <w:rtl w:val="0"/>
        </w:rPr>
      </w:r>
    </w:p>
    <w:p w:rsidR="00000000" w:rsidDel="00000000" w:rsidP="00000000" w:rsidRDefault="00000000" w:rsidRPr="00000000" w14:paraId="0000020A">
      <w:pPr>
        <w:keepNext w:val="0"/>
        <w:keepLines w:val="0"/>
        <w:pageBreakBefore w:val="0"/>
        <w:widowControl w:val="1"/>
        <w:shd w:fill="auto" w:val="clear"/>
        <w:spacing w:after="240" w:before="0" w:line="240" w:lineRule="auto"/>
        <w:ind w:left="0" w:right="0" w:firstLine="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RAMADHAN, Gusti Agastia Yogeswara et al. Analyzing the influence of gamification features on user retention in Duolingo. In: 2025 IEEE 15th Symposium on Computer Applications &amp; Industrial Electronics (ISCAIE). IEEE, 2025. p. 429-434.</w:t>
      </w:r>
      <w:r w:rsidDel="00000000" w:rsidR="00000000" w:rsidRPr="00000000">
        <w:rPr>
          <w:rtl w:val="0"/>
        </w:rPr>
      </w:r>
    </w:p>
    <w:p w:rsidR="00000000" w:rsidDel="00000000" w:rsidP="00000000" w:rsidRDefault="00000000" w:rsidRPr="00000000" w14:paraId="0000020B">
      <w:pPr>
        <w:jc w:val="both"/>
        <w:rPr>
          <w:rFonts w:ascii="Arial" w:cs="Arial" w:eastAsia="Arial" w:hAnsi="Arial"/>
          <w:vertAlign w:val="baseline"/>
        </w:rPr>
      </w:pPr>
      <w:r w:rsidDel="00000000" w:rsidR="00000000" w:rsidRPr="00000000">
        <w:rPr>
          <w:rFonts w:ascii="Arial" w:cs="Arial" w:eastAsia="Arial" w:hAnsi="Arial"/>
          <w:sz w:val="24"/>
          <w:szCs w:val="24"/>
          <w:rtl w:val="0"/>
        </w:rPr>
        <w:t xml:space="preserve">REDDY, Ritesh G. et al. PocketLLM: a privacy-preserving offline AI assistant with on-device LLM inference and retrieval-augmented generation on Android. Research Square, 2026. Preprint. DOI:</w:t>
      </w:r>
      <w:hyperlink r:id="rId17">
        <w:r w:rsidDel="00000000" w:rsidR="00000000" w:rsidRPr="00000000">
          <w:rPr>
            <w:rFonts w:ascii="Arial" w:cs="Arial" w:eastAsia="Arial" w:hAnsi="Arial"/>
            <w:color w:val="1155cc"/>
            <w:u w:val="single"/>
            <w:rtl w:val="0"/>
          </w:rPr>
          <w:t xml:space="preserve"> https://doi.org/10.21203/rs.3.rs-9575380/v1</w:t>
        </w:r>
      </w:hyperlink>
      <w:r w:rsidDel="00000000" w:rsidR="00000000" w:rsidRPr="00000000">
        <w:rPr>
          <w:rFonts w:ascii="Arial" w:cs="Arial" w:eastAsia="Arial" w:hAnsi="Arial"/>
          <w:sz w:val="24"/>
          <w:szCs w:val="24"/>
          <w:rtl w:val="0"/>
        </w:rPr>
        <w:t xml:space="preserve">. </w:t>
      </w:r>
      <w:bookmarkStart w:colFirst="0" w:colLast="0" w:name="bookmark=id.cyn1ic7c5jzf" w:id="35"/>
      <w:bookmarkEnd w:id="35"/>
      <w:r w:rsidDel="00000000" w:rsidR="00000000" w:rsidRPr="00000000">
        <w:rPr>
          <w:rtl w:val="0"/>
        </w:rPr>
      </w:r>
    </w:p>
    <w:p w:rsidR="00000000" w:rsidDel="00000000" w:rsidP="00000000" w:rsidRDefault="00000000" w:rsidRPr="00000000" w14:paraId="0000020C">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REINA, Adrián et al. Web application for automated correction assistance in written development exams using generative AI. RIED-Revista Iberoamericana de Educación a Distancia, v. 29, n. 2, p. 369-392, 2026.</w:t>
      </w:r>
      <w:r w:rsidDel="00000000" w:rsidR="00000000" w:rsidRPr="00000000">
        <w:rPr>
          <w:rtl w:val="0"/>
        </w:rPr>
      </w:r>
    </w:p>
    <w:p w:rsidR="00000000" w:rsidDel="00000000" w:rsidP="00000000" w:rsidRDefault="00000000" w:rsidRPr="00000000" w14:paraId="0000020D">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SHORTT, Mitchell et al. Gamification in mobile-assisted language learning: a systematic review of Duolingo literature from public release of 2012 to early 2020. Computer Assisted Language Learning, v. 36, n. 3, p. 517-554, 2023.</w:t>
      </w:r>
      <w:bookmarkStart w:colFirst="0" w:colLast="0" w:name="bookmark=id.4xy24to2mtg2" w:id="36"/>
      <w:bookmarkEnd w:id="36"/>
      <w:r w:rsidDel="00000000" w:rsidR="00000000" w:rsidRPr="00000000">
        <w:rPr>
          <w:rtl w:val="0"/>
        </w:rPr>
      </w:r>
    </w:p>
    <w:p w:rsidR="00000000" w:rsidDel="00000000" w:rsidP="00000000" w:rsidRDefault="00000000" w:rsidRPr="00000000" w14:paraId="0000020E">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SOLOLEARN. SoloLearn: learn to code. Disponível em: https://www.sololearn.com. Acesso em: 7 set. 2026.</w:t>
      </w:r>
      <w:r w:rsidDel="00000000" w:rsidR="00000000" w:rsidRPr="00000000">
        <w:rPr>
          <w:rtl w:val="0"/>
        </w:rPr>
      </w:r>
    </w:p>
    <w:p w:rsidR="00000000" w:rsidDel="00000000" w:rsidP="00000000" w:rsidRDefault="00000000" w:rsidRPr="00000000" w14:paraId="0000020F">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YU, Zhonggen; GAO, Mingle; WANG, Lifei. The effect of educational games on learning outcomes, student motivation, engagement and satisfaction. Journal of Educational Computing Research, v. 59, n. 3, p. 522-546, 2021.</w:t>
      </w:r>
    </w:p>
    <w:p w:rsidR="00000000" w:rsidDel="00000000" w:rsidP="00000000" w:rsidRDefault="00000000" w:rsidRPr="00000000" w14:paraId="00000210">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ZHAN, Zehui et al. The effectiveness of gamification in programming education: evidence from a meta-analysis. Computers and Education: Artificial Intelligence, v. 3, art. 100096, 2022.</w:t>
      </w:r>
    </w:p>
    <w:p w:rsidR="00000000" w:rsidDel="00000000" w:rsidP="00000000" w:rsidRDefault="00000000" w:rsidRPr="00000000" w14:paraId="00000211">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gpya95bqzlk" w:id="37"/>
    <w:bookmarkEnd w:id="37"/>
    <w:p w:rsidR="00000000" w:rsidDel="00000000" w:rsidP="00000000" w:rsidRDefault="00000000" w:rsidRPr="00000000" w14:paraId="00000217">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shd w:fill="auto" w:val="clear"/>
        <w:spacing w:after="240" w:before="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rPr>
          <w:rFonts w:ascii="Arial" w:cs="Arial" w:eastAsia="Arial" w:hAnsi="Arial"/>
        </w:rPr>
      </w:pPr>
      <w:r w:rsidDel="00000000" w:rsidR="00000000" w:rsidRPr="00000000">
        <w:rPr>
          <w:rtl w:val="0"/>
        </w:rPr>
      </w:r>
    </w:p>
    <w:p w:rsidR="00000000" w:rsidDel="00000000" w:rsidP="00000000" w:rsidRDefault="00000000" w:rsidRPr="00000000" w14:paraId="0000021D">
      <w:pPr>
        <w:keepNext w:val="0"/>
        <w:keepLines w:val="0"/>
        <w:widowControl w:val="1"/>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yq47c6jium9" w:id="38"/>
      <w:bookmarkEnd w:id="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GLOSSÁRIO</w:t>
      </w:r>
    </w:p>
    <w:p w:rsidR="00000000" w:rsidDel="00000000" w:rsidP="00000000" w:rsidRDefault="00000000" w:rsidRPr="00000000" w14:paraId="0000021E">
      <w:pPr>
        <w:rPr>
          <w:rFonts w:ascii="Arial" w:cs="Arial" w:eastAsia="Arial" w:hAnsi="Arial"/>
        </w:rPr>
      </w:pPr>
      <w:r w:rsidDel="00000000" w:rsidR="00000000" w:rsidRPr="00000000">
        <w:rPr>
          <w:rtl w:val="0"/>
        </w:rPr>
      </w:r>
    </w:p>
    <w:tbl>
      <w:tblPr>
        <w:tblStyle w:val="Table6"/>
        <w:tblW w:w="9212.0" w:type="dxa"/>
        <w:jc w:val="left"/>
        <w:tblInd w:w="-108.0" w:type="dxa"/>
        <w:tblLayout w:type="fixed"/>
        <w:tblLook w:val="0400"/>
      </w:tblPr>
      <w:tblGrid>
        <w:gridCol w:w="3226"/>
        <w:gridCol w:w="5986"/>
        <w:tblGridChange w:id="0">
          <w:tblGrid>
            <w:gridCol w:w="3226"/>
            <w:gridCol w:w="5986"/>
          </w:tblGrid>
        </w:tblGridChange>
      </w:tblGrid>
      <w:tr>
        <w:trPr>
          <w:cantSplit w:val="0"/>
          <w:trHeight w:val="214.98046875" w:hRule="atLeast"/>
          <w:tblHeader w:val="0"/>
        </w:trPr>
        <w:tc>
          <w:tcPr/>
          <w:p w:rsidR="00000000" w:rsidDel="00000000" w:rsidP="00000000" w:rsidRDefault="00000000" w:rsidRPr="00000000" w14:paraId="0000021F">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Gamificação </w:t>
            </w:r>
            <w:r w:rsidDel="00000000" w:rsidR="00000000" w:rsidRPr="00000000">
              <w:rPr>
                <w:rtl w:val="0"/>
              </w:rPr>
            </w:r>
          </w:p>
        </w:tc>
        <w:tc>
          <w:tcPr/>
          <w:p w:rsidR="00000000" w:rsidDel="00000000" w:rsidP="00000000" w:rsidRDefault="00000000" w:rsidRPr="00000000" w14:paraId="00000220">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Integração de elementos de design de jogos em cenários não relacionados a jogos, com o objetivo de impulsionar o engajamento e a motivação dos usuários (PERSADA, 2023, p. 43). </w:t>
            </w:r>
            <w:r w:rsidDel="00000000" w:rsidR="00000000" w:rsidRPr="00000000">
              <w:rPr>
                <w:rtl w:val="0"/>
              </w:rPr>
            </w:r>
          </w:p>
        </w:tc>
      </w:tr>
      <w:tr>
        <w:trPr>
          <w:cantSplit w:val="0"/>
          <w:tblHeader w:val="0"/>
        </w:trPr>
        <w:tc>
          <w:tcPr/>
          <w:p w:rsidR="00000000" w:rsidDel="00000000" w:rsidP="00000000" w:rsidRDefault="00000000" w:rsidRPr="00000000" w14:paraId="00000221">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Abordagem tangencial </w:t>
            </w:r>
            <w:r w:rsidDel="00000000" w:rsidR="00000000" w:rsidRPr="00000000">
              <w:rPr>
                <w:rtl w:val="0"/>
              </w:rPr>
            </w:r>
          </w:p>
        </w:tc>
        <w:tc>
          <w:tcPr/>
          <w:p w:rsidR="00000000" w:rsidDel="00000000" w:rsidP="00000000" w:rsidRDefault="00000000" w:rsidRPr="00000000" w14:paraId="00000222">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Estratégia de aprendizagem na qual o usuário adquire conceitos novos ao mesmo tempo em que revisita e valida o conhecimento prévio, em vez de a atividade servir apenas como reforço do que já foi aprendido (elaborado pelos Autores, com base em MA et al., 2023, p. 9215). </w:t>
            </w:r>
            <w:r w:rsidDel="00000000" w:rsidR="00000000" w:rsidRPr="00000000">
              <w:rPr>
                <w:rtl w:val="0"/>
              </w:rPr>
            </w:r>
          </w:p>
        </w:tc>
      </w:tr>
      <w:tr>
        <w:trPr>
          <w:cantSplit w:val="0"/>
          <w:tblHeader w:val="0"/>
        </w:trPr>
        <w:tc>
          <w:tcPr/>
          <w:p w:rsidR="00000000" w:rsidDel="00000000" w:rsidP="00000000" w:rsidRDefault="00000000" w:rsidRPr="00000000" w14:paraId="00000223">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Casos contrastantes </w:t>
            </w:r>
            <w:r w:rsidDel="00000000" w:rsidR="00000000" w:rsidRPr="00000000">
              <w:rPr>
                <w:rtl w:val="0"/>
              </w:rPr>
            </w:r>
          </w:p>
        </w:tc>
        <w:tc>
          <w:tcPr/>
          <w:p w:rsidR="00000000" w:rsidDel="00000000" w:rsidP="00000000" w:rsidRDefault="00000000" w:rsidRPr="00000000" w14:paraId="00000224">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Abordagem pedagógica que consiste em apresentar dois exemplos de código quase idênticos, diferindo apenas em uma característica crítica, ajudando o aluno a notar características estruturais profundas (MA et al., 2023, p. 9216). </w:t>
            </w:r>
            <w:r w:rsidDel="00000000" w:rsidR="00000000" w:rsidRPr="00000000">
              <w:rPr>
                <w:rtl w:val="0"/>
              </w:rPr>
            </w:r>
          </w:p>
        </w:tc>
      </w:tr>
      <w:tr>
        <w:trPr>
          <w:cantSplit w:val="0"/>
          <w:tblHeader w:val="0"/>
        </w:trPr>
        <w:tc>
          <w:tcPr/>
          <w:p w:rsidR="00000000" w:rsidDel="00000000" w:rsidP="00000000" w:rsidRDefault="00000000" w:rsidRPr="00000000" w14:paraId="00000225">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Efeito de superjustificação </w:t>
            </w:r>
            <w:r w:rsidDel="00000000" w:rsidR="00000000" w:rsidRPr="00000000">
              <w:rPr>
                <w:rtl w:val="0"/>
              </w:rPr>
            </w:r>
          </w:p>
        </w:tc>
        <w:tc>
          <w:tcPr/>
          <w:p w:rsidR="00000000" w:rsidDel="00000000" w:rsidP="00000000" w:rsidRDefault="00000000" w:rsidRPr="00000000" w14:paraId="00000226">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Fenômeno no qual recompensas externas excessivas minam a motivação intrínseca do usuário (RAMADHAN et al., 2025, p. 430). </w:t>
            </w:r>
            <w:r w:rsidDel="00000000" w:rsidR="00000000" w:rsidRPr="00000000">
              <w:rPr>
                <w:rtl w:val="0"/>
              </w:rPr>
            </w:r>
          </w:p>
        </w:tc>
      </w:tr>
      <w:tr>
        <w:trPr>
          <w:cantSplit w:val="0"/>
          <w:tblHeader w:val="0"/>
        </w:trPr>
        <w:tc>
          <w:tcPr/>
          <w:p w:rsidR="00000000" w:rsidDel="00000000" w:rsidP="00000000" w:rsidRDefault="00000000" w:rsidRPr="00000000" w14:paraId="00000227">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Human-in-the-loop </w:t>
            </w:r>
            <w:r w:rsidDel="00000000" w:rsidR="00000000" w:rsidRPr="00000000">
              <w:rPr>
                <w:rtl w:val="0"/>
              </w:rPr>
            </w:r>
          </w:p>
        </w:tc>
        <w:tc>
          <w:tcPr/>
          <w:p w:rsidR="00000000" w:rsidDel="00000000" w:rsidP="00000000" w:rsidRDefault="00000000" w:rsidRPr="00000000" w14:paraId="00000228">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Filosofia de design na qual a automação (como o feedback de IA) é combinada com supervisão humana, que mantém a decisão final sobre o resultado (REINA et al., 2026). </w:t>
            </w:r>
            <w:r w:rsidDel="00000000" w:rsidR="00000000" w:rsidRPr="00000000">
              <w:rPr>
                <w:rtl w:val="0"/>
              </w:rPr>
            </w:r>
          </w:p>
        </w:tc>
      </w:tr>
      <w:tr>
        <w:trPr>
          <w:cantSplit w:val="0"/>
          <w:tblHeader w:val="0"/>
        </w:trPr>
        <w:tc>
          <w:tcPr/>
          <w:p w:rsidR="00000000" w:rsidDel="00000000" w:rsidP="00000000" w:rsidRDefault="00000000" w:rsidRPr="00000000" w14:paraId="00000229">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Mastery Learning </w:t>
            </w:r>
            <w:r w:rsidDel="00000000" w:rsidR="00000000" w:rsidRPr="00000000">
              <w:rPr>
                <w:rtl w:val="0"/>
              </w:rPr>
            </w:r>
          </w:p>
        </w:tc>
        <w:tc>
          <w:tcPr/>
          <w:p w:rsidR="00000000" w:rsidDel="00000000" w:rsidP="00000000" w:rsidRDefault="00000000" w:rsidRPr="00000000" w14:paraId="0000022A">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Abordagem pedagógica de ensino introdutório de programação utilizada como base experimental para testar o impacto de mecânicas gamificadas na conclusão de exercícios (DE PONTES; GUERRERO; DE FIGUEIREDO, 2019, p. 400). </w:t>
            </w:r>
            <w:r w:rsidDel="00000000" w:rsidR="00000000" w:rsidRPr="00000000">
              <w:rPr>
                <w:rtl w:val="0"/>
              </w:rPr>
            </w:r>
          </w:p>
        </w:tc>
      </w:tr>
      <w:tr>
        <w:trPr>
          <w:cantSplit w:val="0"/>
          <w:tblHeader w:val="0"/>
        </w:trPr>
        <w:tc>
          <w:tcPr/>
          <w:p w:rsidR="00000000" w:rsidDel="00000000" w:rsidP="00000000" w:rsidRDefault="00000000" w:rsidRPr="00000000" w14:paraId="0000022B">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One-size-fits-all </w:t>
            </w:r>
            <w:r w:rsidDel="00000000" w:rsidR="00000000" w:rsidRPr="00000000">
              <w:rPr>
                <w:rtl w:val="0"/>
              </w:rPr>
            </w:r>
          </w:p>
        </w:tc>
        <w:tc>
          <w:tcPr/>
          <w:p w:rsidR="00000000" w:rsidDel="00000000" w:rsidP="00000000" w:rsidRDefault="00000000" w:rsidRPr="00000000" w14:paraId="0000022C">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Estratégia de gamificação que aplica os mesmos elementos a todos os usuários, ignorando diferentes perfis motivacionais, resultando em eficácia limitada (MEISSNER et al., 2026, p. 1). </w:t>
            </w:r>
            <w:r w:rsidDel="00000000" w:rsidR="00000000" w:rsidRPr="00000000">
              <w:rPr>
                <w:rtl w:val="0"/>
              </w:rPr>
            </w:r>
          </w:p>
        </w:tc>
      </w:tr>
      <w:tr>
        <w:trPr>
          <w:cantSplit w:val="0"/>
          <w:tblHeader w:val="0"/>
        </w:trPr>
        <w:tc>
          <w:tcPr/>
          <w:p w:rsidR="00000000" w:rsidDel="00000000" w:rsidP="00000000" w:rsidRDefault="00000000" w:rsidRPr="00000000" w14:paraId="0000022D">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Scaffolding </w:t>
            </w:r>
            <w:r w:rsidDel="00000000" w:rsidR="00000000" w:rsidRPr="00000000">
              <w:rPr>
                <w:rtl w:val="0"/>
              </w:rPr>
            </w:r>
          </w:p>
        </w:tc>
        <w:tc>
          <w:tcPr/>
          <w:p w:rsidR="00000000" w:rsidDel="00000000" w:rsidP="00000000" w:rsidRDefault="00000000" w:rsidRPr="00000000" w14:paraId="0000022E">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Suporte adaptativo fornecido ao aluno (por exemplo, por um chatbot de IA) para orientar seu raciocínio sem entregar a resposta pronta, mantendo-o em estado de fluxo (CHEN; CHANG, 2024, p. 18622). </w:t>
            </w:r>
            <w:r w:rsidDel="00000000" w:rsidR="00000000" w:rsidRPr="00000000">
              <w:rPr>
                <w:rtl w:val="0"/>
              </w:rPr>
            </w:r>
          </w:p>
        </w:tc>
      </w:tr>
      <w:tr>
        <w:trPr>
          <w:cantSplit w:val="0"/>
          <w:tblHeader w:val="0"/>
        </w:trPr>
        <w:tc>
          <w:tcPr/>
          <w:p w:rsidR="00000000" w:rsidDel="00000000" w:rsidP="00000000" w:rsidRDefault="00000000" w:rsidRPr="00000000" w14:paraId="0000022F">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SMD (Standardized Mean Difference) </w:t>
            </w:r>
            <w:r w:rsidDel="00000000" w:rsidR="00000000" w:rsidRPr="00000000">
              <w:rPr>
                <w:rtl w:val="0"/>
              </w:rPr>
            </w:r>
          </w:p>
        </w:tc>
        <w:tc>
          <w:tcPr/>
          <w:p w:rsidR="00000000" w:rsidDel="00000000" w:rsidP="00000000" w:rsidRDefault="00000000" w:rsidRPr="00000000" w14:paraId="00000230">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Medida estatística de tamanho de efeito usada em meta-análises para comparar resultados entre estudos diferentes (ZHAN et al., 2022). </w:t>
            </w:r>
            <w:r w:rsidDel="00000000" w:rsidR="00000000" w:rsidRPr="00000000">
              <w:rPr>
                <w:rtl w:val="0"/>
              </w:rPr>
            </w:r>
          </w:p>
        </w:tc>
      </w:tr>
      <w:tr>
        <w:trPr>
          <w:cantSplit w:val="0"/>
          <w:tblHeader w:val="0"/>
        </w:trPr>
        <w:tc>
          <w:tcPr/>
          <w:p w:rsidR="00000000" w:rsidDel="00000000" w:rsidP="00000000" w:rsidRDefault="00000000" w:rsidRPr="00000000" w14:paraId="00000231">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Streak </w:t>
            </w:r>
            <w:r w:rsidDel="00000000" w:rsidR="00000000" w:rsidRPr="00000000">
              <w:rPr>
                <w:rtl w:val="0"/>
              </w:rPr>
            </w:r>
          </w:p>
        </w:tc>
        <w:tc>
          <w:tcPr/>
          <w:p w:rsidR="00000000" w:rsidDel="00000000" w:rsidP="00000000" w:rsidRDefault="00000000" w:rsidRPr="00000000" w14:paraId="00000232">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Contador de dias consecutivos de uso ativo da plataforma, um dos recursos gamificados centrais do modelo de retenção do Duolingo (SHORTT et al., 2023, p. 519). </w:t>
            </w:r>
            <w:r w:rsidDel="00000000" w:rsidR="00000000" w:rsidRPr="00000000">
              <w:rPr>
                <w:rtl w:val="0"/>
              </w:rPr>
            </w:r>
          </w:p>
        </w:tc>
      </w:tr>
      <w:tr>
        <w:trPr>
          <w:cantSplit w:val="0"/>
          <w:tblHeader w:val="0"/>
        </w:trPr>
        <w:tc>
          <w:tcPr/>
          <w:p w:rsidR="00000000" w:rsidDel="00000000" w:rsidP="00000000" w:rsidRDefault="00000000" w:rsidRPr="00000000" w14:paraId="00000233">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5">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7">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38">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239">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B">
            <w:pPr>
              <w:keepNext w:val="0"/>
              <w:keepLines w:val="0"/>
              <w:widowControl w:val="1"/>
              <w:shd w:fill="auto" w:val="clear"/>
              <w:spacing w:after="0" w:before="0" w:line="240" w:lineRule="auto"/>
              <w:ind w:left="0" w:right="0" w:firstLine="0"/>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widowControl w:val="1"/>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D">
      <w:pPr>
        <w:keepNext w:val="0"/>
        <w:keepLines w:val="0"/>
        <w:widowControl w:val="1"/>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bookmarkStart w:colFirst="0" w:colLast="0" w:name="_heading=h.kzt7cimi2ag3" w:id="39"/>
      <w:bookmarkEnd w:id="39"/>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type w:val="nextPage"/>
      <w:pgSz w:h="16838" w:w="11906" w:orient="portrait"/>
      <w:pgMar w:bottom="1134" w:top="1701" w:left="1701" w:right="1134" w:header="1134"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shd w:fill="auto" w:val="clear"/>
      <w:tabs>
        <w:tab w:val="center" w:leader="none" w:pos="4320"/>
        <w:tab w:val="right" w:leader="none" w:pos="864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D">
    <w:pPr>
      <w:keepNext w:val="0"/>
      <w:keepLines w:val="0"/>
      <w:widowControl w:val="1"/>
      <w:shd w:fill="auto" w:val="clear"/>
      <w:tabs>
        <w:tab w:val="center" w:leader="none" w:pos="4320"/>
        <w:tab w:val="right" w:leader="none" w:pos="864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widowControl w:val="1"/>
      <w:shd w:fill="auto" w:val="clear"/>
      <w:tabs>
        <w:tab w:val="center" w:leader="none" w:pos="4320"/>
        <w:tab w:val="right" w:leader="none" w:pos="864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1">
    <w:pPr>
      <w:keepNext w:val="0"/>
      <w:keepLines w:val="0"/>
      <w:widowControl w:val="1"/>
      <w:shd w:fill="auto" w:val="clear"/>
      <w:tabs>
        <w:tab w:val="center" w:leader="none" w:pos="4320"/>
        <w:tab w:val="right" w:leader="none" w:pos="864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widowControl w:val="1"/>
      <w:shd w:fill="auto" w:val="clear"/>
      <w:tabs>
        <w:tab w:val="center" w:leader="none" w:pos="4320"/>
        <w:tab w:val="right" w:leader="none" w:pos="8640"/>
      </w:tabs>
      <w:spacing w:after="0" w:before="0" w:line="240"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keepNext w:val="0"/>
      <w:keepLines w:val="0"/>
      <w:widowControl w:val="1"/>
      <w:shd w:fill="auto" w:val="clear"/>
      <w:tabs>
        <w:tab w:val="center" w:leader="none" w:pos="4320"/>
        <w:tab w:val="right" w:leader="none" w:pos="864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E">
      <w:pPr>
        <w:jc w:val="both"/>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Optou-se por traduzir o termo inglês scaffolding — cuja tradução literal seria “andaime” — como “suporte”, por entender que, no contexto pedagógico, essa forma expressa melhor a ideia de apoio temporário oferecido ao aprendiz até que ele consiga avançar por conta própria. O termo é empregado em diferentes fontes desta revisão (p. ex., CHEN; CHANG, 2024, p. 18622; ZHAN et al., 2022, p. 5; PITTS; HRIDI; LEKSHMI-NARAYANAN, 2025, p. 256-257).</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shd w:fill="auto" w:val="clear"/>
      <w:tabs>
        <w:tab w:val="center" w:leader="none" w:pos="4419"/>
        <w:tab w:val="right" w:leader="none" w:pos="8838"/>
      </w:tabs>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0">
    <w:pPr>
      <w:keepNext w:val="0"/>
      <w:keepLines w:val="0"/>
      <w:widowControl w:val="1"/>
      <w:shd w:fill="auto" w:val="clear"/>
      <w:tabs>
        <w:tab w:val="center" w:leader="none" w:pos="4419"/>
        <w:tab w:val="right" w:leader="none" w:pos="8838"/>
      </w:tabs>
      <w:spacing w:after="0" w:before="0" w:line="240" w:lineRule="auto"/>
      <w:ind w:left="0" w:right="36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0"/>
      <w:shd w:fill="auto" w:val="clear"/>
      <w:spacing w:after="0" w:before="0" w:line="276"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494.0" w:type="dxa"/>
      <w:jc w:val="left"/>
      <w:tblInd w:w="-108.0" w:type="dxa"/>
      <w:tblLayout w:type="fixed"/>
      <w:tblLook w:val="0400"/>
    </w:tblPr>
    <w:tblGrid>
      <w:gridCol w:w="2261"/>
      <w:gridCol w:w="6233"/>
      <w:tblGridChange w:id="0">
        <w:tblGrid>
          <w:gridCol w:w="2261"/>
          <w:gridCol w:w="6233"/>
        </w:tblGrid>
      </w:tblGridChange>
    </w:tblGrid>
    <w:tr>
      <w:trPr>
        <w:cantSplit w:val="0"/>
        <w:tblHeader w:val="0"/>
      </w:trPr>
      <w:tc>
        <w:tcPr/>
        <w:p w:rsidR="00000000" w:rsidDel="00000000" w:rsidP="00000000" w:rsidRDefault="00000000" w:rsidRPr="00000000" w14:paraId="00000242">
          <w:pPr>
            <w:keepNext w:val="0"/>
            <w:keepLines w:val="0"/>
            <w:widowControl w:val="1"/>
            <w:shd w:fill="auto" w:val="clear"/>
            <w:tabs>
              <w:tab w:val="center" w:leader="none" w:pos="4419"/>
              <w:tab w:val="right" w:leader="none" w:pos="8838"/>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widowControl w:val="1"/>
            <w:shd w:fill="auto" w:val="clear"/>
            <w:tabs>
              <w:tab w:val="center" w:leader="none" w:pos="4419"/>
              <w:tab w:val="right" w:leader="none" w:pos="8838"/>
            </w:tabs>
            <w:spacing w:after="0" w:before="0" w:line="240" w:lineRule="auto"/>
            <w:ind w:left="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44">
    <w:pPr>
      <w:keepNext w:val="0"/>
      <w:keepLines w:val="0"/>
      <w:widowControl w:val="1"/>
      <w:shd w:fill="auto" w:val="clear"/>
      <w:tabs>
        <w:tab w:val="center" w:leader="none" w:pos="4419"/>
        <w:tab w:val="right" w:leader="none" w:pos="8838"/>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1"/>
      <w:shd w:fill="auto" w:val="clear"/>
      <w:tabs>
        <w:tab w:val="center" w:leader="none" w:pos="4419"/>
        <w:tab w:val="right" w:leader="none" w:pos="8838"/>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6">
    <w:pPr>
      <w:keepNext w:val="0"/>
      <w:keepLines w:val="0"/>
      <w:widowControl w:val="1"/>
      <w:shd w:fill="auto" w:val="clear"/>
      <w:tabs>
        <w:tab w:val="center" w:leader="none" w:pos="4419"/>
        <w:tab w:val="right" w:leader="none" w:pos="8838"/>
      </w:tabs>
      <w:spacing w:after="0" w:before="0" w:line="240" w:lineRule="auto"/>
      <w:ind w:left="0" w:righ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1"/>
      <w:shd w:fill="auto" w:val="clear"/>
      <w:tabs>
        <w:tab w:val="center" w:leader="none" w:pos="4419"/>
        <w:tab w:val="right" w:leader="none" w:pos="8838"/>
      </w:tabs>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8">
    <w:pPr>
      <w:keepNext w:val="0"/>
      <w:keepLines w:val="0"/>
      <w:widowControl w:val="1"/>
      <w:shd w:fill="auto" w:val="clear"/>
      <w:tabs>
        <w:tab w:val="center" w:leader="none" w:pos="4419"/>
        <w:tab w:val="right" w:leader="none" w:pos="8838"/>
      </w:tabs>
      <w:spacing w:after="0" w:before="0" w:line="240" w:lineRule="auto"/>
      <w:ind w:left="0" w:right="36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widowControl w:val="1"/>
      <w:shd w:fill="auto" w:val="clear"/>
      <w:tabs>
        <w:tab w:val="center" w:leader="none" w:pos="4419"/>
        <w:tab w:val="right" w:leader="none" w:pos="8838"/>
      </w:tabs>
      <w:spacing w:after="0" w:before="0" w:line="240"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A">
    <w:pPr>
      <w:keepNext w:val="0"/>
      <w:keepLines w:val="0"/>
      <w:widowControl w:val="1"/>
      <w:shd w:fill="auto" w:val="clear"/>
      <w:tabs>
        <w:tab w:val="center" w:leader="none" w:pos="4419"/>
        <w:tab w:val="right" w:leader="none" w:pos="8838"/>
      </w:tabs>
      <w:spacing w:after="0" w:before="0" w:line="240" w:lineRule="auto"/>
      <w:ind w:left="0" w:right="36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decimal"/>
      <w:lvlText w:val="CAPÍTULO %1 -"/>
      <w:lvlJc w:val="left"/>
      <w:pPr>
        <w:ind w:left="432" w:hanging="432"/>
      </w:pPr>
      <w:rPr>
        <w:rFonts w:ascii="Arial" w:cs="Arial" w:eastAsia="Arial" w:hAnsi="Arial"/>
        <w:b w:val="1"/>
        <w:bCs w:val="1"/>
        <w:i w:val="0"/>
        <w:iCs w:val="0"/>
        <w:sz w:val="32"/>
        <w:szCs w:val="32"/>
        <w:u w:val="none"/>
      </w:rPr>
    </w:lvl>
    <w:lvl w:ilvl="1">
      <w:start w:val="1"/>
      <w:numFmt w:val="decimal"/>
      <w:lvlText w:val="%1.%2"/>
      <w:lvlJc w:val="left"/>
      <w:pPr>
        <w:ind w:left="576" w:hanging="576"/>
      </w:pPr>
      <w:rPr>
        <w:rFonts w:ascii="Arial" w:cs="Arial" w:eastAsia="Arial" w:hAnsi="Arial"/>
        <w:b w:val="1"/>
        <w:bCs w:val="1"/>
        <w:i w:val="0"/>
        <w:iCs w:val="0"/>
        <w:sz w:val="24"/>
        <w:szCs w:val="24"/>
        <w:u w:val="none"/>
      </w:rPr>
    </w:lvl>
    <w:lvl w:ilvl="2">
      <w:start w:val="1"/>
      <w:numFmt w:val="decimal"/>
      <w:lvlText w:val="%1.%2.%3"/>
      <w:lvlJc w:val="left"/>
      <w:pPr>
        <w:ind w:left="720" w:hanging="720"/>
      </w:pPr>
      <w:rPr>
        <w:rFonts w:ascii="Arial" w:cs="Arial" w:eastAsia="Arial" w:hAnsi="Arial"/>
        <w:b w:val="1"/>
        <w:bCs w:val="1"/>
        <w:i w:val="0"/>
        <w:iCs w:val="0"/>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1440" w:before="240" w:line="240" w:lineRule="auto"/>
      <w:ind w:left="432" w:hanging="432"/>
      <w:jc w:val="both"/>
    </w:pPr>
    <w:rPr>
      <w:rFonts w:ascii="Arial" w:cs="Arial" w:eastAsia="Arial" w:hAnsi="Arial"/>
      <w:b w:val="1"/>
      <w:bCs w:val="1"/>
      <w:sz w:val="32"/>
      <w:szCs w:val="32"/>
    </w:rPr>
  </w:style>
  <w:style w:type="paragraph" w:styleId="Heading2">
    <w:name w:val="heading 2"/>
    <w:basedOn w:val="Normal"/>
    <w:next w:val="Normal"/>
    <w:pPr>
      <w:keepNext w:val="1"/>
      <w:spacing w:after="60" w:before="360" w:line="360" w:lineRule="auto"/>
      <w:ind w:left="576" w:hanging="576"/>
      <w:jc w:val="both"/>
    </w:pPr>
    <w:rPr>
      <w:rFonts w:ascii="Arial" w:cs="Arial" w:eastAsia="Arial" w:hAnsi="Arial"/>
      <w:b w:val="1"/>
      <w:bCs w:val="1"/>
    </w:rPr>
  </w:style>
  <w:style w:type="paragraph" w:styleId="Heading3">
    <w:name w:val="heading 3"/>
    <w:basedOn w:val="Normal"/>
    <w:next w:val="Normal"/>
    <w:pPr>
      <w:keepNext w:val="1"/>
      <w:spacing w:after="60" w:before="360" w:line="360" w:lineRule="auto"/>
      <w:ind w:left="720" w:hanging="720"/>
      <w:jc w:val="both"/>
    </w:pPr>
    <w:rPr>
      <w:rFonts w:ascii="Arial" w:cs="Arial" w:eastAsia="Arial" w:hAnsi="Arial"/>
      <w:b w:val="1"/>
      <w:bCs w:val="1"/>
    </w:rPr>
  </w:style>
  <w:style w:type="paragraph" w:styleId="Heading4">
    <w:name w:val="heading 4"/>
    <w:basedOn w:val="Normal"/>
    <w:next w:val="Normal"/>
    <w:pPr>
      <w:keepNext w:val="1"/>
      <w:spacing w:after="60" w:before="240" w:line="240" w:lineRule="auto"/>
      <w:ind w:left="864" w:hanging="864"/>
      <w:jc w:val="both"/>
    </w:pPr>
    <w:rPr/>
  </w:style>
  <w:style w:type="paragraph" w:styleId="Heading5">
    <w:name w:val="heading 5"/>
    <w:basedOn w:val="Normal"/>
    <w:next w:val="Normal"/>
    <w:pPr>
      <w:spacing w:after="60" w:before="240" w:line="240" w:lineRule="auto"/>
      <w:ind w:left="1008" w:hanging="1008"/>
      <w:jc w:val="both"/>
    </w:pPr>
    <w:rPr>
      <w:rFonts w:ascii="Arial" w:cs="Arial" w:eastAsia="Arial" w:hAnsi="Arial"/>
      <w:sz w:val="22"/>
      <w:szCs w:val="22"/>
    </w:rPr>
  </w:style>
  <w:style w:type="paragraph" w:styleId="Heading6">
    <w:name w:val="heading 6"/>
    <w:basedOn w:val="Normal"/>
    <w:next w:val="Normal"/>
    <w:pPr>
      <w:spacing w:after="60" w:before="240" w:line="240" w:lineRule="auto"/>
      <w:ind w:left="1152" w:hanging="1152"/>
      <w:jc w:val="both"/>
    </w:pPr>
    <w:rPr>
      <w:rFonts w:ascii="Arial" w:cs="Arial" w:eastAsia="Arial" w:hAnsi="Arial"/>
      <w:i w:val="1"/>
      <w:iCs w:val="1"/>
      <w:sz w:val="22"/>
      <w:szCs w:val="22"/>
    </w:rPr>
  </w:style>
  <w:style w:type="paragraph" w:styleId="Title">
    <w:name w:val="Title"/>
    <w:basedOn w:val="Normal"/>
    <w:next w:val="Normal"/>
    <w:pPr>
      <w:pageBreakBefore w:val="1"/>
      <w:jc w:val="center"/>
    </w:pPr>
    <w:rPr>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40.0" w:type="dxa"/>
        <w:left w:w="115.0" w:type="dxa"/>
        <w:bottom w:w="4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footer" Target="footer1.xml"/><Relationship Id="rId22" Type="http://schemas.openxmlformats.org/officeDocument/2006/relationships/footer" Target="footer5.xml"/><Relationship Id="rId10" Type="http://schemas.openxmlformats.org/officeDocument/2006/relationships/header" Target="header3.xml"/><Relationship Id="rId21" Type="http://schemas.openxmlformats.org/officeDocument/2006/relationships/footer" Target="footer4.xml"/><Relationship Id="rId13" Type="http://schemas.openxmlformats.org/officeDocument/2006/relationships/footer" Target="footer3.xml"/><Relationship Id="rId12" Type="http://schemas.openxmlformats.org/officeDocument/2006/relationships/footer" Target="footer2.xml"/><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hyperlink" Target="https://doi.org/10.21203/rs.3.rs-9575380/v1"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eader" Target="header5.xml"/><Relationship Id="rId6" Type="http://schemas.openxmlformats.org/officeDocument/2006/relationships/styles" Target="styles.xml"/><Relationship Id="rId18" Type="http://schemas.openxmlformats.org/officeDocument/2006/relationships/header" Target="header4.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CWmQVo4l50bxo77hCxe3PVdSA==">CgMxLjAyDmguOHl5bGRxM2lmampuMg5oLmQ2MnFsZzh1dXUyMzIOaC42ZnB4enZpb2tvcDIyDmguOHp6dDdieWVnODIwMg5oLmpsYTBzazNmZWFudDIOaC5zbTI2N2x2MTZ1MXAyDmgucG8xaGE4aDE0aDc5Mg5oLmh1MjdpYW11dmtzNDIOaC53MDU0cXNlOWg5dncyDmgubXVld3NlNml2am5zMg5oLjVxNWJqNzQ5cGg1ejIOaC41ZzBpaWpjeHZwbjQyDmguNGZsb2w1N3d6a2MyMg9pZC5yc2xvNGY3dzF2YmgyDmlkLm1hNXFrNnlrNmkyMg5pZC50ZnoxNWMxZjZxYTIOaC5ya2Jpb2h1YWp2amsyDmguZWx5eHU5OGF2OWE5Mg5oLjlkMXZtc2xmazBzZDIOaC52bXNuamQzNGlqOWUyDmguOTFnOTVsYTB5bjVsMg5oLnA5cWtsczhxN2dzajIOaC54NTM4Z2RkbzlicWsyDmguY2s4ZHI2djZhNHdmMg5oLjFpbDIwd3A2eXJydzIOaC41bDBieHRqNnUwajUyDmguNndzZmhudmk4bTMzMg5oLmd3ZzQ5bm96OGIzbTIOaC4yNTVmbGNkeHg4OGYyD2lkLjVodHh6OGNsZnRjZTIOaC5ybDU4NGFvemQ4YzUyDmgua2NtaHhmZ3RydjhiMg5oLjJrMWV4dTYzaDd2bDIOaC45YnFwMTQ4ZzN4ZzcyDmguODlmNXE2cnFmeWw2Mg9pZC5jeW4xaWM3YzVqemYyD2lkLjR4eTI0dG8ybXRnMjIPaWQuZWdweWE5NWJxemxrMg5oLml5cTQ3YzZqaXVtOTIOaC5renQ3Y2ltaTJhZzM4AHIhMVZhTFdjV19WclplS2VfMXNETGlKWTl0eFlXYk5yZ1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