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jc w:val="center"/>
      </w:pPr>
      <w:r>
        <w:rPr>
          <w:rFonts w:ascii="Arial" w:hAnsi="Arial"/>
          <w:b/>
          <w:i w:val="0"/>
          <w:color w:val="00467F"/>
          <w:sz w:val="40"/>
        </w:rPr>
        <w:t>Instruções de Envio de Dados</w:t>
      </w:r>
    </w:p>
    <w:p>
      <w:pPr>
        <w:jc w:val="center"/>
      </w:pPr>
      <w:r>
        <w:rPr>
          <w:rFonts w:ascii="Arial" w:hAnsi="Arial"/>
          <w:b/>
          <w:i w:val="0"/>
          <w:color w:val="1F497D"/>
          <w:sz w:val="32"/>
        </w:rPr>
        <w:t>CNN  ×  São Leopoldo Mandic</w:t>
      </w:r>
    </w:p>
    <w:p>
      <w:pPr>
        <w:jc w:val="center"/>
      </w:pPr>
      <w:r>
        <w:rPr>
          <w:rFonts w:ascii="Arial" w:hAnsi="Arial"/>
          <w:b w:val="0"/>
          <w:i/>
          <w:color w:val="595959"/>
          <w:sz w:val="24"/>
        </w:rPr>
        <w:t>Guia de Integração via Google Cloud Storage</w:t>
      </w:r>
    </w:p>
    <w:p>
      <w:pPr>
        <w:spacing w:before="160"/>
        <w:jc w:val="center"/>
      </w:pPr>
      <w:r>
        <w:rPr>
          <w:rFonts w:ascii="Arial" w:hAnsi="Arial"/>
          <w:b w:val="0"/>
          <w:i w:val="0"/>
          <w:color w:val="595959"/>
          <w:sz w:val="21"/>
        </w:rPr>
        <w:t>Junho de 2026</w:t>
      </w:r>
    </w:p>
    <w:p/>
    <w:p>
      <w:pPr>
        <w:spacing w:before="280" w:after="120"/>
        <w:pBdr>
          <w:bottom w:val="single" w:sz="6" w:space="1" w:color="00467F"/>
        </w:pBdr>
      </w:pPr>
      <w:r>
        <w:rPr>
          <w:rFonts w:ascii="Arial" w:hAnsi="Arial"/>
          <w:b/>
          <w:i w:val="0"/>
          <w:color w:val="00467F"/>
          <w:sz w:val="28"/>
        </w:rPr>
        <w:t>1. Visão Geral</w:t>
      </w:r>
    </w:p>
    <w:p>
      <w:pPr>
        <w:spacing w:after="120"/>
      </w:pPr>
      <w:r>
        <w:rPr>
          <w:rFonts w:ascii="Arial" w:hAnsi="Arial"/>
          <w:b w:val="0"/>
          <w:i w:val="0"/>
        </w:rPr>
        <w:t>Este documento descreve o protocolo técnico para envio de dados da CNN para a plataforma de dados da São Leopoldo Mandic via Google Cloud Storage (GCS).</w:t>
      </w:r>
    </w:p>
    <w:p>
      <w:pPr>
        <w:spacing w:after="120"/>
      </w:pPr>
      <w:r>
        <w:rPr>
          <w:rFonts w:ascii="Arial" w:hAnsi="Arial"/>
          <w:b w:val="0"/>
          <w:i w:val="0"/>
        </w:rPr>
        <w:t>A CNN receberá acesso de escrita a um bucket GCS exclusivo provisionado na conta GCP da São Leopoldo Mandic. Os dados devem ser enviados seguindo o padrão de particionamento e estrutura definidos neste guia para garantir a ingestão automática no Data Lake.</w:t>
      </w:r>
    </w:p>
    <w:p>
      <w:pPr>
        <w:spacing w:before="280" w:after="120"/>
        <w:pBdr>
          <w:bottom w:val="single" w:sz="6" w:space="1" w:color="00467F"/>
        </w:pBdr>
      </w:pPr>
      <w:r>
        <w:rPr>
          <w:rFonts w:ascii="Arial" w:hAnsi="Arial"/>
          <w:b/>
          <w:i w:val="0"/>
          <w:color w:val="00467F"/>
          <w:sz w:val="28"/>
        </w:rPr>
        <w:t>2. Recursos Disponibilizados pela São Leopoldo Mandic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0467F"/>
          </w:tcPr>
          <w:p>
            <w:r>
              <w:rPr>
                <w:rFonts w:ascii="Arial" w:hAnsi="Arial"/>
                <w:b/>
                <w:i w:val="0"/>
                <w:color w:val="FFFFFF"/>
              </w:rPr>
              <w:t>Recurso</w:t>
            </w:r>
          </w:p>
        </w:tc>
        <w:tc>
          <w:tcPr>
            <w:tcW w:type="dxa" w:w="6236"/>
            <w:shd w:val="clear" w:color="auto" w:fill="00467F"/>
          </w:tcPr>
          <w:p>
            <w:r>
              <w:rPr>
                <w:rFonts w:ascii="Arial" w:hAnsi="Arial"/>
                <w:b/>
                <w:i w:val="0"/>
                <w:color w:val="FFFFFF"/>
              </w:rPr>
              <w:t>Valor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Bucket GCS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b w:val="0"/>
                <w:i w:val="0"/>
              </w:rPr>
              <w:t>a definir — exclusivo CNN (informado pela Mandic)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Projeto GCP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b w:val="0"/>
                <w:i w:val="0"/>
              </w:rPr>
              <w:t>slmandic-datalake-hml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Conta de Serviço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b w:val="0"/>
                <w:i w:val="0"/>
              </w:rPr>
              <w:t>Disponibilizada pela equipe de dados da Mandic (.json)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Permissões concedidas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b w:val="0"/>
                <w:i w:val="0"/>
              </w:rPr>
              <w:t>storage.objects.create  |  storage.objects.get</w:t>
              <w:br/>
              <w:t>(somente no bucket designado)</w:t>
            </w:r>
          </w:p>
        </w:tc>
      </w:tr>
    </w:tbl>
    <w:p/>
    <w:p>
      <w:pPr>
        <w:spacing w:before="80" w:after="160"/>
        <w:ind w:left="283"/>
        <w:shd w:val="clear" w:color="auto" w:fill="FFF8E1"/>
      </w:pPr>
      <w:r>
        <w:rPr>
          <w:rFonts w:ascii="Arial" w:hAnsi="Arial"/>
          <w:b w:val="0"/>
          <w:i/>
          <w:color w:val="783500"/>
        </w:rPr>
        <w:t>⚠  A conta de serviço possui permissão exclusivamente no bucket designado para a CNN. Qualquer tentativa de acesso a outros recursos será negada automaticamente pelo IAM.</w:t>
      </w:r>
    </w:p>
    <w:p>
      <w:pPr>
        <w:spacing w:before="280" w:after="120"/>
        <w:pBdr>
          <w:bottom w:val="single" w:sz="6" w:space="1" w:color="00467F"/>
        </w:pBdr>
      </w:pPr>
      <w:r>
        <w:rPr>
          <w:rFonts w:ascii="Arial" w:hAnsi="Arial"/>
          <w:b/>
          <w:i w:val="0"/>
          <w:color w:val="00467F"/>
          <w:sz w:val="28"/>
        </w:rPr>
        <w:t>3. Autenticação</w:t>
      </w:r>
    </w:p>
    <w:p>
      <w:pPr>
        <w:spacing w:after="120"/>
      </w:pPr>
      <w:r>
        <w:rPr>
          <w:rFonts w:ascii="Arial" w:hAnsi="Arial"/>
          <w:b w:val="0"/>
          <w:i w:val="0"/>
        </w:rPr>
        <w:t>A CNN deve utilizar a conta de serviço (arquivo .json) disponibilizada pela equipe da Mandic para autenticar no GCP. Três abordagens são suportadas:</w:t>
      </w:r>
    </w:p>
    <w:p>
      <w:pPr>
        <w:spacing w:before="280" w:after="120"/>
      </w:pPr>
      <w:r>
        <w:rPr>
          <w:rFonts w:ascii="Arial" w:hAnsi="Arial"/>
          <w:b/>
          <w:i w:val="0"/>
          <w:color w:val="1F497D"/>
          <w:sz w:val="23"/>
        </w:rPr>
        <w:t>3.1  Via variável de ambiente (recomendado para pipelines CI/CD)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export GOOGLE_APPLICATION_CREDENTIALS="/caminho/para/sua/service_account.json"</w:t>
      </w:r>
    </w:p>
    <w:p>
      <w:pPr>
        <w:spacing w:before="280" w:after="120"/>
      </w:pPr>
      <w:r>
        <w:rPr>
          <w:rFonts w:ascii="Arial" w:hAnsi="Arial"/>
          <w:b/>
          <w:i w:val="0"/>
          <w:color w:val="1F497D"/>
          <w:sz w:val="23"/>
        </w:rPr>
        <w:t>3.2  Via código Python — arquivo em disco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from google.cloud import storage</w:t>
        <w:br/>
        <w:t>from google.oauth2 import service_account</w:t>
        <w:br/>
        <w:br/>
        <w:t>credentials = service_account.Credentials.from_service_account_file(</w:t>
        <w:br/>
        <w:t xml:space="preserve">    "/caminho/para/sua/service_account.json"</w:t>
        <w:br/>
        <w:t>)</w:t>
        <w:br/>
        <w:t>client = storage.Client(credentials=credentials)</w:t>
      </w:r>
    </w:p>
    <w:p>
      <w:pPr>
        <w:spacing w:before="280" w:after="120"/>
      </w:pPr>
      <w:r>
        <w:rPr>
          <w:rFonts w:ascii="Arial" w:hAnsi="Arial"/>
          <w:b/>
          <w:i w:val="0"/>
          <w:color w:val="1F497D"/>
          <w:sz w:val="23"/>
        </w:rPr>
        <w:t>3.3  Via código Python — JSON string em memória (Secret Manager)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import json, os</w:t>
        <w:br/>
        <w:t>from google.cloud import storage</w:t>
        <w:br/>
        <w:t>from google.oauth2 import service_account</w:t>
        <w:br/>
        <w:br/>
        <w:t>info = json.loads(os.environ["GCP_SERVICE_ACCOUNT_JSON"])</w:t>
        <w:br/>
        <w:t>credentials = service_account.Credentials.from_service_account_info(info)</w:t>
        <w:br/>
        <w:t>client = storage.Client(credentials=credentials)</w:t>
      </w:r>
    </w:p>
    <w:p>
      <w:pPr>
        <w:spacing w:before="280" w:after="120"/>
        <w:pBdr>
          <w:bottom w:val="single" w:sz="6" w:space="1" w:color="00467F"/>
        </w:pBdr>
      </w:pPr>
      <w:r>
        <w:rPr>
          <w:rFonts w:ascii="Arial" w:hAnsi="Arial"/>
          <w:b/>
          <w:i w:val="0"/>
          <w:color w:val="00467F"/>
          <w:sz w:val="28"/>
        </w:rPr>
        <w:t>4. Estrutura de Arquivos no Bucket</w:t>
      </w:r>
    </w:p>
    <w:p>
      <w:pPr>
        <w:spacing w:before="280" w:after="120"/>
      </w:pPr>
      <w:r>
        <w:rPr>
          <w:rFonts w:ascii="Arial" w:hAnsi="Arial"/>
          <w:b/>
          <w:i w:val="0"/>
          <w:color w:val="1F497D"/>
          <w:sz w:val="23"/>
        </w:rPr>
        <w:t>4.1  Formato de arquivo</w:t>
      </w:r>
    </w:p>
    <w:p>
      <w:pPr>
        <w:spacing w:after="120"/>
      </w:pPr>
      <w:r>
        <w:rPr>
          <w:rFonts w:ascii="Arial" w:hAnsi="Arial"/>
          <w:b w:val="0"/>
          <w:i w:val="0"/>
        </w:rPr>
        <w:t>Todos os arquivos devem ser enviados no formato Parquet (.parquet).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Parquet já aplica compressão interna — não é necessária compressão adicional.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Encoding: UTF-8.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Não utilizar CSV, JSON, Excel ou outros formatos.</w:t>
      </w:r>
    </w:p>
    <w:p>
      <w:pPr>
        <w:spacing w:before="280" w:after="120"/>
      </w:pPr>
      <w:r>
        <w:rPr>
          <w:rFonts w:ascii="Arial" w:hAnsi="Arial"/>
          <w:b/>
          <w:i w:val="0"/>
          <w:color w:val="1F497D"/>
          <w:sz w:val="23"/>
        </w:rPr>
        <w:t>4.2  Estrutura de diretórios — particionamento Hive-style</w:t>
      </w:r>
    </w:p>
    <w:p>
      <w:pPr>
        <w:spacing w:after="120"/>
      </w:pPr>
      <w:r>
        <w:rPr>
          <w:rFonts w:ascii="Arial" w:hAnsi="Arial"/>
          <w:b w:val="0"/>
          <w:i w:val="0"/>
        </w:rPr>
        <w:t>Os arquivos devem ser organizados em partições no estilo Hive, obedecendo à seguinte hierarquia de pastas dentro do bucket: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cnn/{nome_da_tabela}/partition_year={YYYY}/partition_month={MM}/partition_day={DD}/</w:t>
      </w:r>
    </w:p>
    <w:p>
      <w:pPr>
        <w:spacing w:after="120"/>
      </w:pPr>
      <w:r>
        <w:rPr>
          <w:rFonts w:ascii="Arial" w:hAnsi="Arial"/>
          <w:b w:val="0"/>
          <w:i w:val="0"/>
        </w:rPr>
        <w:t>Exemplos de caminhos completos: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cnn/audiencia_tv/partition_year=2026/partition_month=06/partition_day=16/data_batch_1_20260616_143022.parquet</w:t>
        <w:br/>
        <w:t>cnn/programacao/partition_year=2026/partition_month=06/partition_day=16/data_batch_1_20260616_143500.parquet</w:t>
      </w:r>
    </w:p>
    <w:p>
      <w:pPr>
        <w:spacing w:after="120"/>
      </w:pPr>
      <w:r>
        <w:rPr>
          <w:rFonts w:ascii="Arial" w:hAnsi="Arial"/>
          <w:b w:val="0"/>
          <w:i w:val="0"/>
        </w:rPr>
        <w:t>Regras obrigatórias: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0467F"/>
          </w:tcPr>
          <w:p>
            <w:r>
              <w:rPr>
                <w:rFonts w:ascii="Arial" w:hAnsi="Arial"/>
                <w:b/>
                <w:i w:val="0"/>
                <w:color w:val="FFFFFF"/>
              </w:rPr>
              <w:t>Chave de partição</w:t>
            </w:r>
          </w:p>
        </w:tc>
        <w:tc>
          <w:tcPr>
            <w:tcW w:type="dxa" w:w="3402"/>
            <w:shd w:val="clear" w:color="auto" w:fill="00467F"/>
          </w:tcPr>
          <w:p>
            <w:r>
              <w:rPr>
                <w:rFonts w:ascii="Arial" w:hAnsi="Arial"/>
                <w:b/>
                <w:i w:val="0"/>
                <w:color w:val="FFFFFF"/>
              </w:rPr>
              <w:t>Formato</w:t>
            </w:r>
          </w:p>
        </w:tc>
        <w:tc>
          <w:tcPr>
            <w:tcW w:type="dxa" w:w="2835"/>
            <w:shd w:val="clear" w:color="auto" w:fill="00467F"/>
          </w:tcPr>
          <w:p>
            <w:r>
              <w:rPr>
                <w:rFonts w:ascii="Arial" w:hAnsi="Arial"/>
                <w:b/>
                <w:i w:val="0"/>
                <w:color w:val="FFFFFF"/>
              </w:rPr>
              <w:t>Exemplo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partition_year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b w:val="0"/>
                <w:i w:val="0"/>
              </w:rPr>
              <w:t>4 dígitos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2026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partition_month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b w:val="0"/>
                <w:i w:val="0"/>
              </w:rPr>
              <w:t>2 dígitos (zero-padded)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06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partition_day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b w:val="0"/>
                <w:i w:val="0"/>
              </w:rPr>
              <w:t>2 dígitos (zero-padded)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01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i w:val="0"/>
          <w:color w:val="1F497D"/>
          <w:sz w:val="23"/>
        </w:rPr>
        <w:t>4.3  Nomenclatura dos arquivos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data_batch_{numero_do_lote}_{YYYYMMDD_HHMMSS}.parquet</w:t>
      </w:r>
    </w:p>
    <w:p>
      <w:pPr>
        <w:spacing w:after="120"/>
      </w:pPr>
      <w:r>
        <w:rPr>
          <w:rFonts w:ascii="Arial" w:hAnsi="Arial"/>
          <w:b w:val="0"/>
          <w:i w:val="0"/>
        </w:rPr>
        <w:t>Exemplos: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data_batch_1_20260616_143022.parquet</w:t>
        <w:br/>
        <w:t>data_batch_2_20260616_143045.parquet</w:t>
      </w:r>
    </w:p>
    <w:p>
      <w:pPr>
        <w:spacing w:after="120"/>
      </w:pPr>
      <w:r>
        <w:rPr>
          <w:rFonts w:ascii="Arial" w:hAnsi="Arial"/>
          <w:b w:val="0"/>
          <w:i w:val="0"/>
        </w:rPr>
        <w:t>Para envio de arquivo único (não paginado):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data_20260616_143022.parquet</w:t>
      </w:r>
    </w:p>
    <w:p>
      <w:pPr>
        <w:spacing w:before="280" w:after="120"/>
        <w:pBdr>
          <w:bottom w:val="single" w:sz="6" w:space="1" w:color="00467F"/>
        </w:pBdr>
      </w:pPr>
      <w:r>
        <w:rPr>
          <w:rFonts w:ascii="Arial" w:hAnsi="Arial"/>
          <w:b/>
          <w:i w:val="0"/>
          <w:color w:val="00467F"/>
          <w:sz w:val="28"/>
        </w:rPr>
        <w:t>5. Coluna Obrigatória: ingestion_timestamp_raw</w:t>
      </w:r>
    </w:p>
    <w:p>
      <w:pPr>
        <w:spacing w:after="120"/>
      </w:pPr>
      <w:r>
        <w:rPr>
          <w:rFonts w:ascii="Arial" w:hAnsi="Arial"/>
          <w:b w:val="0"/>
          <w:i w:val="0"/>
        </w:rPr>
        <w:t xml:space="preserve">Todos os arquivos enviados devem conter a coluna </w:t>
      </w:r>
      <w:r>
        <w:rPr>
          <w:rFonts w:ascii="Arial" w:hAnsi="Arial"/>
          <w:b/>
          <w:i w:val="0"/>
        </w:rPr>
        <w:t>ingestion_timestamp_raw</w:t>
      </w:r>
      <w:r>
        <w:rPr>
          <w:rFonts w:ascii="Arial" w:hAnsi="Arial"/>
          <w:b w:val="0"/>
          <w:i w:val="0"/>
        </w:rPr>
        <w:t>. Esta coluna é utilizada internamente pela Mandic para rastreabilidade, auditoria e controle de qualidade da ingestão.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0467F"/>
          </w:tcPr>
          <w:p>
            <w:r>
              <w:rPr>
                <w:rFonts w:ascii="Arial" w:hAnsi="Arial"/>
                <w:b/>
                <w:i w:val="0"/>
                <w:color w:val="FFFFFF"/>
              </w:rPr>
              <w:t>Campo</w:t>
            </w:r>
          </w:p>
        </w:tc>
        <w:tc>
          <w:tcPr>
            <w:tcW w:type="dxa" w:w="6236"/>
            <w:shd w:val="clear" w:color="auto" w:fill="00467F"/>
          </w:tcPr>
          <w:p>
            <w:r>
              <w:rPr>
                <w:rFonts w:ascii="Arial" w:hAnsi="Arial"/>
                <w:b/>
                <w:i w:val="0"/>
                <w:color w:val="FFFFFF"/>
              </w:rPr>
              <w:t>Especificação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Nome da coluna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b w:val="0"/>
                <w:i w:val="0"/>
              </w:rPr>
              <w:t>ingestion_timestamp_raw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Tipo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b w:val="0"/>
                <w:i w:val="0"/>
              </w:rPr>
              <w:t>datetime / TIMESTAMP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Fuso horário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b w:val="0"/>
                <w:i w:val="0"/>
              </w:rPr>
              <w:t>UTC recomendado (ISO 8601)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Valor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b w:val="0"/>
                <w:i w:val="0"/>
              </w:rPr>
              <w:t>Timestamp do momento em que o dado foi extraído/gerado na origem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Consistência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b w:val="0"/>
                <w:i w:val="0"/>
              </w:rPr>
              <w:t>Mesmo valor para todos os registros de um mesmo arquivo/lote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i w:val="0"/>
        </w:rPr>
        <w:t>Exemplo em Python: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import datetime</w:t>
        <w:br/>
        <w:t>import pandas as pd</w:t>
        <w:br/>
        <w:br/>
        <w:t>ingestion_timestamp_raw = datetime.datetime.utcnow()</w:t>
        <w:br/>
        <w:br/>
        <w:t># Adicionar a coluna ao DataFrame antes de salvar</w:t>
        <w:br/>
        <w:t>df["ingestion_timestamp_raw"] = ingestion_timestamp_raw</w:t>
      </w:r>
    </w:p>
    <w:p>
      <w:pPr>
        <w:spacing w:before="80" w:after="160"/>
        <w:ind w:left="283"/>
        <w:shd w:val="clear" w:color="auto" w:fill="FFF8E1"/>
      </w:pPr>
      <w:r>
        <w:rPr>
          <w:rFonts w:ascii="Arial" w:hAnsi="Arial"/>
          <w:b w:val="0"/>
          <w:i/>
          <w:color w:val="783500"/>
        </w:rPr>
        <w:t>⚠  A coluna ingestion_timestamp_raw deve refletir o momento da extração na origem, NÃO o momento do upload para o GCS.</w:t>
      </w:r>
    </w:p>
    <w:p>
      <w:pPr>
        <w:spacing w:before="280" w:after="120"/>
        <w:pBdr>
          <w:bottom w:val="single" w:sz="6" w:space="1" w:color="00467F"/>
        </w:pBdr>
      </w:pPr>
      <w:r>
        <w:rPr>
          <w:rFonts w:ascii="Arial" w:hAnsi="Arial"/>
          <w:b/>
          <w:i w:val="0"/>
          <w:color w:val="00467F"/>
          <w:sz w:val="28"/>
        </w:rPr>
        <w:t>6. Exemplo Completo de Envio em Python</w:t>
      </w:r>
    </w:p>
    <w:p>
      <w:pPr>
        <w:spacing w:after="120"/>
      </w:pPr>
      <w:r>
        <w:rPr>
          <w:rFonts w:ascii="Arial" w:hAnsi="Arial"/>
          <w:b w:val="0"/>
          <w:i w:val="0"/>
        </w:rPr>
        <w:t>Exemplo funcional que reúne todos os requisitos deste guia: autenticação via conta de serviço, particionamento Hive-style, adição da coluna ingestion_timestamp_raw e upload do arquivo Parquet para o bucket.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import datetime</w:t>
        <w:br/>
        <w:t>import os</w:t>
        <w:br/>
        <w:t>from tempfile import TemporaryDirectory</w:t>
        <w:br/>
        <w:br/>
        <w:t>import pandas as pd</w:t>
        <w:br/>
        <w:t>from google.cloud import storage</w:t>
        <w:br/>
        <w:t>from google.oauth2 import service_account</w:t>
        <w:br/>
        <w:br/>
        <w:t># ── Configurações ──────────────────────────────────────────────────────</w:t>
        <w:br/>
        <w:t>BUCKET_NAME          = "&lt;nome-do-bucket-cnn&gt;"  # informado pela Mandic</w:t>
        <w:br/>
        <w:t>TABLE_NAME           = "audiencia_tv"</w:t>
        <w:br/>
        <w:t>SERVICE_ACCOUNT_FILE = "/caminho/para/service_account.json"</w:t>
        <w:br/>
        <w:br/>
        <w:t># ── Autenticação ───────────────────────────────────────────────────────</w:t>
        <w:br/>
        <w:t>credentials = service_account.Credentials.from_service_account_file(SERVICE_ACCOUNT_FILE)</w:t>
        <w:br/>
        <w:t>client = storage.Client(credentials=credentials)</w:t>
        <w:br/>
        <w:br/>
        <w:t># ── Dados ──────────────────────────────────────────────────────────────</w:t>
        <w:br/>
        <w:t>df = pd.DataFrame({</w:t>
        <w:br/>
        <w:t xml:space="preserve">    "programa":      ["Jornal da CNN", "CNN Prime Time"],</w:t>
        <w:br/>
        <w:t xml:space="preserve">    "audiencia":     [1_200_000, 980_000],</w:t>
        <w:br/>
        <w:t xml:space="preserve">    "data_exibicao": ["2026-06-16", "2026-06-16"],</w:t>
        <w:br/>
        <w:t>})</w:t>
        <w:br/>
        <w:br/>
        <w:t># ── Timestamp de ingestão (mesmo valor para todo o lote) ───────────────</w:t>
        <w:br/>
        <w:t>ingestion_timestamp_raw = datetime.datetime.utcnow()</w:t>
        <w:br/>
        <w:t>df["ingestion_timestamp_raw"] = ingestion_timestamp_raw</w:t>
        <w:br/>
        <w:br/>
        <w:t># ── Particionamento ────────────────────────────────────────────────────</w:t>
        <w:br/>
        <w:t>now = datetime.datetime.utcnow()</w:t>
        <w:br/>
        <w:t>hive_partition = (</w:t>
        <w:br/>
        <w:t xml:space="preserve">    f"partition_year={now.year}/"</w:t>
        <w:br/>
        <w:t xml:space="preserve">    f"partition_month={now.month:02d}/"</w:t>
        <w:br/>
        <w:t xml:space="preserve">    f"partition_day={now.day:02d}"</w:t>
        <w:br/>
        <w:t>)</w:t>
        <w:br/>
        <w:br/>
        <w:t># ── Escrita e upload ───────────────────────────────────────────────────</w:t>
        <w:br/>
        <w:t>with TemporaryDirectory() as tmp:</w:t>
        <w:br/>
        <w:t xml:space="preserve">    ts       = now.strftime("%Y%m%d_%H%M%S")</w:t>
        <w:br/>
        <w:t xml:space="preserve">    filename = f"data_batch_1_{ts}.parquet"</w:t>
        <w:br/>
        <w:t xml:space="preserve">    local    = f"{tmp}/{filename}"</w:t>
        <w:br/>
        <w:t xml:space="preserve">    dest     = f"cnn/{TABLE_NAME}/{hive_partition}/{filename}"</w:t>
        <w:br/>
        <w:br/>
        <w:t xml:space="preserve">    df.to_parquet(local, index=False)</w:t>
        <w:br/>
        <w:br/>
        <w:t xml:space="preserve">    bucket = client.get_bucket(BUCKET_NAME)</w:t>
        <w:br/>
        <w:t xml:space="preserve">    blob   = bucket.blob(dest)</w:t>
        <w:br/>
        <w:t xml:space="preserve">    blob.upload_from_filename(local)</w:t>
        <w:br/>
        <w:br/>
        <w:t xml:space="preserve">    print(f"Arquivo enviado: gs://{BUCKET_NAME}/{dest}")</w:t>
      </w:r>
    </w:p>
    <w:p>
      <w:pPr>
        <w:spacing w:before="280" w:after="120"/>
        <w:pBdr>
          <w:bottom w:val="single" w:sz="6" w:space="1" w:color="00467F"/>
        </w:pBdr>
      </w:pPr>
      <w:r>
        <w:rPr>
          <w:rFonts w:ascii="Arial" w:hAnsi="Arial"/>
          <w:b/>
          <w:i w:val="0"/>
          <w:color w:val="00467F"/>
          <w:sz w:val="28"/>
        </w:rPr>
        <w:t>7. Checklist de Validação Antes do Envio</w:t>
      </w:r>
    </w:p>
    <w:p>
      <w:pPr>
        <w:spacing w:after="120"/>
      </w:pPr>
      <w:r>
        <w:rPr>
          <w:rFonts w:ascii="Arial" w:hAnsi="Arial"/>
          <w:b w:val="0"/>
          <w:i w:val="0"/>
        </w:rPr>
        <w:t>Antes de cada envio, verifique os itens abaixo:</w:t>
      </w:r>
    </w:p>
    <w:p>
      <w:pPr>
        <w:spacing w:after="60"/>
        <w:ind w:left="283"/>
      </w:pPr>
      <w:r>
        <w:rPr>
          <w:rFonts w:ascii="Arial" w:hAnsi="Arial"/>
          <w:b w:val="0"/>
          <w:i w:val="0"/>
        </w:rPr>
        <w:t>☐  O arquivo está no formato Parquet (.parquet)</w:t>
      </w:r>
    </w:p>
    <w:p>
      <w:pPr>
        <w:spacing w:after="60"/>
        <w:ind w:left="283"/>
      </w:pPr>
      <w:r>
        <w:rPr>
          <w:rFonts w:ascii="Arial" w:hAnsi="Arial"/>
          <w:b w:val="0"/>
          <w:i w:val="0"/>
        </w:rPr>
        <w:t>☐  A estrutura de pastas segue o padrão  cnn/{tabela}/partition_year=.../partition_month=.../partition_day=.../</w:t>
      </w:r>
    </w:p>
    <w:p>
      <w:pPr>
        <w:spacing w:after="60"/>
        <w:ind w:left="283"/>
      </w:pPr>
      <w:r>
        <w:rPr>
          <w:rFonts w:ascii="Arial" w:hAnsi="Arial"/>
          <w:b w:val="0"/>
          <w:i w:val="0"/>
        </w:rPr>
        <w:t>☐  A coluna ingestion_timestamp_raw está presente em todas as linhas</w:t>
      </w:r>
    </w:p>
    <w:p>
      <w:pPr>
        <w:spacing w:after="60"/>
        <w:ind w:left="283"/>
      </w:pPr>
      <w:r>
        <w:rPr>
          <w:rFonts w:ascii="Arial" w:hAnsi="Arial"/>
          <w:b w:val="0"/>
          <w:i w:val="0"/>
        </w:rPr>
        <w:t>☐  O valor de ingestion_timestamp_raw é consistente dentro do mesmo lote</w:t>
      </w:r>
    </w:p>
    <w:p>
      <w:pPr>
        <w:spacing w:after="60"/>
        <w:ind w:left="283"/>
      </w:pPr>
      <w:r>
        <w:rPr>
          <w:rFonts w:ascii="Arial" w:hAnsi="Arial"/>
          <w:b w:val="0"/>
          <w:i w:val="0"/>
        </w:rPr>
        <w:t>☐  O nome do arquivo segue o padrão  data_batch_{n}_{timestamp}.parquet</w:t>
      </w:r>
    </w:p>
    <w:p>
      <w:pPr>
        <w:spacing w:after="60"/>
        <w:ind w:left="283"/>
      </w:pPr>
      <w:r>
        <w:rPr>
          <w:rFonts w:ascii="Arial" w:hAnsi="Arial"/>
          <w:b w:val="0"/>
          <w:i w:val="0"/>
        </w:rPr>
        <w:t>☐  A autenticação foi feita com a conta de serviço disponibilizada pela Mandic</w:t>
      </w:r>
    </w:p>
    <w:p>
      <w:pPr>
        <w:spacing w:before="280" w:after="120"/>
        <w:pBdr>
          <w:bottom w:val="single" w:sz="6" w:space="1" w:color="00467F"/>
        </w:pBdr>
      </w:pPr>
      <w:r>
        <w:rPr>
          <w:rFonts w:ascii="Arial" w:hAnsi="Arial"/>
          <w:b/>
          <w:i w:val="0"/>
          <w:color w:val="00467F"/>
          <w:sz w:val="28"/>
        </w:rPr>
        <w:t>8. Bibliotecas Python Recomendadas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0467F"/>
          </w:tcPr>
          <w:p>
            <w:r>
              <w:rPr>
                <w:rFonts w:ascii="Arial" w:hAnsi="Arial"/>
                <w:b/>
                <w:i w:val="0"/>
                <w:color w:val="FFFFFF"/>
              </w:rPr>
              <w:t>Biblioteca</w:t>
            </w:r>
          </w:p>
        </w:tc>
        <w:tc>
          <w:tcPr>
            <w:tcW w:type="dxa" w:w="2268"/>
            <w:shd w:val="clear" w:color="auto" w:fill="00467F"/>
          </w:tcPr>
          <w:p>
            <w:r>
              <w:rPr>
                <w:rFonts w:ascii="Arial" w:hAnsi="Arial"/>
                <w:b/>
                <w:i w:val="0"/>
                <w:color w:val="FFFFFF"/>
              </w:rPr>
              <w:t>Versão mínima</w:t>
            </w:r>
          </w:p>
        </w:tc>
        <w:tc>
          <w:tcPr>
            <w:tcW w:type="dxa" w:w="3969"/>
            <w:shd w:val="clear" w:color="auto" w:fill="00467F"/>
          </w:tcPr>
          <w:p>
            <w:r>
              <w:rPr>
                <w:rFonts w:ascii="Arial" w:hAnsi="Arial"/>
                <w:b/>
                <w:i w:val="0"/>
                <w:color w:val="FFFFFF"/>
              </w:rPr>
              <w:t>Uso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google-cloud-storage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i w:val="0"/>
              </w:rPr>
              <w:t>&gt;= 2.0.0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b w:val="0"/>
                <w:i w:val="0"/>
              </w:rPr>
              <w:t>Upload de arquivos para o GCS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pandas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i w:val="0"/>
              </w:rPr>
              <w:t>&gt;= 1.5.0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b w:val="0"/>
                <w:i w:val="0"/>
              </w:rPr>
              <w:t>Manipulação de DataFrames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pyarrow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i w:val="0"/>
              </w:rPr>
              <w:t>&gt;= 12.0.0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b w:val="0"/>
                <w:i w:val="0"/>
              </w:rPr>
              <w:t>Serialização do formato Parquet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i w:val="0"/>
        </w:rPr>
        <w:t>Instalação via pip: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pip install google-cloud-storage pandas pyarrow</w:t>
      </w:r>
    </w:p>
    <w:p>
      <w:pPr>
        <w:spacing w:before="280" w:after="120"/>
        <w:pBdr>
          <w:bottom w:val="single" w:sz="6" w:space="1" w:color="00467F"/>
        </w:pBdr>
      </w:pPr>
      <w:r>
        <w:rPr>
          <w:rFonts w:ascii="Arial" w:hAnsi="Arial"/>
          <w:b/>
          <w:i w:val="0"/>
          <w:color w:val="00467F"/>
          <w:sz w:val="28"/>
        </w:rPr>
        <w:t>9. Contato e Suporte</w:t>
      </w:r>
    </w:p>
    <w:p>
      <w:pPr>
        <w:spacing w:after="120"/>
      </w:pPr>
      <w:r>
        <w:rPr>
          <w:rFonts w:ascii="Arial" w:hAnsi="Arial"/>
          <w:b w:val="0"/>
          <w:i w:val="0"/>
        </w:rPr>
        <w:t>Em caso de dúvidas sobre configuração, credenciais ou estrutura de dados, entre em contato com a equipe de Dados da São Leopoldo Mandic: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0467F"/>
          </w:tcPr>
          <w:p>
            <w:r>
              <w:rPr>
                <w:rFonts w:ascii="Arial" w:hAnsi="Arial"/>
                <w:b/>
                <w:i w:val="0"/>
                <w:color w:val="FFFFFF"/>
              </w:rPr>
            </w:r>
          </w:p>
        </w:tc>
        <w:tc>
          <w:tcPr>
            <w:tcW w:type="dxa" w:w="6236"/>
            <w:shd w:val="clear" w:color="auto" w:fill="00467F"/>
          </w:tcPr>
          <w:p>
            <w:r>
              <w:rPr>
                <w:rFonts w:ascii="Arial" w:hAnsi="Arial"/>
                <w:b/>
                <w:i w:val="0"/>
                <w:color w:val="FFFFFF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Equipe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b w:val="0"/>
                <w:i w:val="0"/>
              </w:rPr>
              <w:t>Data Platform — São Leopoldo Mandic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Responsável técnico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b w:val="0"/>
                <w:i w:val="0"/>
              </w:rPr>
              <w:t>Pedro Mingueto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</w:rPr>
              <w:t>E-mail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b w:val="0"/>
                <w:i w:val="0"/>
              </w:rPr>
              <w:t>fcamara_pedro.mingueto@slmandic.edu.br</w:t>
            </w:r>
          </w:p>
        </w:tc>
      </w:tr>
    </w:tbl>
    <w:p>
      <w:pPr>
        <w:spacing w:before="280" w:after="120"/>
        <w:pBdr>
          <w:bottom w:val="single" w:sz="6" w:space="1" w:color="00467F"/>
        </w:pBdr>
      </w:pPr>
      <w:r>
        <w:rPr>
          <w:rFonts w:ascii="Arial" w:hAnsi="Arial"/>
          <w:b/>
          <w:i w:val="0"/>
          <w:color w:val="00467F"/>
          <w:sz w:val="28"/>
        </w:rPr>
        <w:t>10. Considerações de Segurança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 xml:space="preserve">Confidencialidade: </w:t>
      </w:r>
      <w:r>
        <w:rPr>
          <w:rFonts w:ascii="Arial" w:hAnsi="Arial"/>
          <w:b w:val="0"/>
          <w:i w:val="0"/>
        </w:rPr>
        <w:t>Não compartilhe o arquivo de conta de serviço (.json) em repositórios públicos ou sistemas não autorizados.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 xml:space="preserve">Armazenamento seguro: </w:t>
      </w:r>
      <w:r>
        <w:rPr>
          <w:rFonts w:ascii="Arial" w:hAnsi="Arial"/>
          <w:b w:val="0"/>
          <w:i w:val="0"/>
        </w:rPr>
        <w:t>Armazene as credenciais em variável de ambiente ou serviço de gerenciamento de segredos (ex: GCP Secret Manager).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 xml:space="preserve">Isolamento: </w:t>
      </w:r>
      <w:r>
        <w:rPr>
          <w:rFonts w:ascii="Arial" w:hAnsi="Arial"/>
          <w:b w:val="0"/>
          <w:i w:val="0"/>
        </w:rPr>
        <w:t>O acesso concedido é exclusivo ao bucket da CNN — tentativas de acesso a outros recursos serão bloqueadas automaticamente pelo IAM.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 xml:space="preserve">Rotação: </w:t>
      </w:r>
      <w:r>
        <w:rPr>
          <w:rFonts w:ascii="Arial" w:hAnsi="Arial"/>
          <w:b w:val="0"/>
          <w:i w:val="0"/>
        </w:rPr>
        <w:t>A rotação de credenciais será comunicada com antecedência pela equipe da Mandic.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