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keepNext/>
      </w:pPr>
      <w:r>
        <w:rPr>
          <w:b w:val="false"/>
          <w:bCs w:val="false"/>
        </w:rPr>
        <w:t xml:space="preserve">ERS v2.1 — LinkAtletas — ampliação da Sprint 2</w:t>
      </w:r>
    </w:p>
    <w:p>
      <w:pPr>
        <w:spacing w:after="50"/>
      </w:pPr>
    </w:p>
    <w:p>
      <w:pPr>
        <w:widowControl/>
        <w:spacing w:after="100" w:line="260"/>
      </w:pPr>
      <w:r>
        <w:rPr>
          <w:b w:val="false"/>
          <w:bCs w:val="false"/>
        </w:rPr>
        <w:t xml:space="preserve">Data da revisão: 20/10/2026. Responsável pelo incremento: Lucca, com autoria Git </w:t>
      </w:r>
      <w:r>
        <w:rPr>
          <w:rFonts w:ascii="Courier New" w:cs="Courier New" w:eastAsia="Courier New" w:hAnsi="Courier New"/>
          <w:b w:val="false"/>
          <w:bCs w:val="false"/>
          <w:sz w:val="18"/>
          <w:szCs w:val="18"/>
        </w:rPr>
        <w:t xml:space="preserve">Lucca &lt;luccacc.contato@gmail.com&gt;</w:t>
      </w:r>
      <w:r>
        <w:rPr>
          <w:b w:val="false"/>
          <w:bCs w:val="false"/>
        </w:rPr>
        <w:t xml:space="preserve">. Demanda SAGA nº 12871, Ivi-it; Projeto Integrador Interdisciplinar II, ADS/SENAI Félix Guisard. Prazo informado para a Sprint 2: 26/10/2026. A aprovação técnica de Lucca não representa aprovação docente ou submissão acadêmica.</w:t>
      </w:r>
    </w:p>
    <w:p>
      <w:pPr>
        <w:spacing w:after="50"/>
      </w:pPr>
    </w:p>
    <w:p>
      <w:pPr>
        <w:pStyle w:val="Heading1"/>
        <w:keepNext/>
      </w:pPr>
      <w:r>
        <w:rPr>
          <w:b w:val="false"/>
          <w:bCs w:val="false"/>
        </w:rPr>
        <w:t xml:space="preserve">Histórico e fontes</w:t>
      </w:r>
    </w:p>
    <w:p>
      <w:pPr>
        <w:spacing w:after="5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EAF2E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Versão</w:t>
            </w:r>
          </w:p>
        </w:tc>
        <w:tc>
          <w:tcPr>
            <w:tcW w:type="dxa" w:w="4819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EAF2E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Referência e mudança</w:t>
            </w:r>
          </w:p>
        </w:tc>
      </w:tr>
      <w:tr>
        <w:trPr>
          <w:cantSplit/>
          <w:tblHeader w:val="off"/>
        </w:trPr>
        <w:tc>
          <w:tcPr>
            <w:tcW w:type="dxa" w:w="4819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1.0</w:t>
            </w:r>
          </w:p>
        </w:tc>
        <w:tc>
          <w:tcPr>
            <w:tcW w:type="dxa" w:w="4819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ERS original entregue na Sprint 1 (../referencias/ERS-Sprint-1-original.pdf), de 21/08/2026: 24 RF especificados, 16 RNF e 16 RN</w:t>
            </w:r>
          </w:p>
        </w:tc>
      </w:tr>
      <w:tr>
        <w:trPr>
          <w:cantSplit/>
          <w:tblHeader w:val="off"/>
        </w:trPr>
        <w:tc>
          <w:tcPr>
            <w:tcW w:type="dxa" w:w="4819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1.1</w:t>
            </w:r>
          </w:p>
        </w:tc>
        <w:tc>
          <w:tcPr>
            <w:tcW w:type="dxa" w:w="4819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Incremento web inicial (../sprint-2/ERS-v1.1.md): API, PostgreSQL e fluxo esportivo completo; evidências históricas preservadas</w:t>
            </w:r>
          </w:p>
        </w:tc>
      </w:tr>
      <w:tr>
        <w:trPr>
          <w:cantSplit/>
          <w:tblHeader w:val="off"/>
        </w:trPr>
        <w:tc>
          <w:tcPr>
            <w:tcW w:type="dxa" w:w="4819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2.0</w:t>
            </w:r>
          </w:p>
        </w:tc>
        <w:tc>
          <w:tcPr>
            <w:tcW w:type="dxa" w:w="4819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Ampliação aprovada (../superpowers/specs/2026-10-14-expansao-completa-design.md): comunicação, mídia, privacidade, recuperação, ciclos, financeiro e cliente nativo</w:t>
            </w:r>
          </w:p>
        </w:tc>
      </w:tr>
      <w:tr>
        <w:trPr>
          <w:cantSplit/>
          <w:tblHeader w:val="off"/>
        </w:trPr>
        <w:tc>
          <w:tcPr>
            <w:tcW w:type="dxa" w:w="4819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2.1</w:t>
            </w:r>
          </w:p>
        </w:tc>
        <w:tc>
          <w:tcPr>
            <w:tcW w:type="dxa" w:w="4819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Revisão dos materiais originais, DER conferido contra 36 tabelas/257 colunas/45 FKs, perfil Android local e correções de privacidade/backup; revisão e divergências (revisao-materiais.md)</w:t>
            </w:r>
          </w:p>
        </w:tc>
      </w:tr>
    </w:tbl>
    <w:p>
      <w:pPr>
        <w:spacing w:after="50"/>
      </w:pPr>
    </w:p>
    <w:p>
      <w:pPr>
        <w:widowControl/>
        <w:spacing w:after="100" w:line="260"/>
      </w:pPr>
      <w:r>
        <w:rPr>
          <w:b w:val="false"/>
          <w:bCs w:val="false"/>
        </w:rPr>
        <w:t xml:space="preserve">Outras fontes: </w:t>
      </w:r>
      <w:r>
        <w:rPr>
          <w:b w:val="false"/>
          <w:bCs w:val="false"/>
        </w:rPr>
        <w:t xml:space="preserve">proposta da demanda (../referencias/Proposta-inicial-original.pdf)</w:t>
      </w:r>
      <w:r>
        <w:rPr>
          <w:b w:val="false"/>
          <w:bCs w:val="false"/>
        </w:rPr>
        <w:t xml:space="preserve">, </w:t>
      </w:r>
      <w:r>
        <w:rPr>
          <w:b w:val="false"/>
          <w:bCs w:val="false"/>
        </w:rPr>
        <w:t xml:space="preserve">roteiro dos professores (../referencias/Roteiro-professores-original.pdf)</w:t>
      </w:r>
      <w:r>
        <w:rPr>
          <w:b w:val="false"/>
          <w:bCs w:val="false"/>
        </w:rPr>
        <w:t xml:space="preserve">, </w:t>
      </w:r>
      <w:r>
        <w:rPr>
          <w:b w:val="false"/>
          <w:bCs w:val="false"/>
        </w:rPr>
        <w:t xml:space="preserve">plano de execução (../superpowers/plans/2026-10-14-expansao-completa.md)</w:t>
      </w:r>
      <w:r>
        <w:rPr>
          <w:b w:val="false"/>
          <w:bCs w:val="false"/>
        </w:rPr>
        <w:t xml:space="preserve">. O cronograma da ERS original cita RF-25–32 sem detalhá-los; esta revisão mantém RF-01–24 e identifica novos requisitos com prefixo RF-A, sem inventar o conteúdo original ausente. PostgreSQL é o único banco relacional desta implementação.</w:t>
      </w:r>
    </w:p>
    <w:p>
      <w:pPr>
        <w:spacing w:after="50"/>
      </w:pPr>
    </w:p>
    <w:p>
      <w:pPr>
        <w:pStyle w:val="Heading1"/>
        <w:keepNext/>
      </w:pPr>
      <w:r>
        <w:rPr>
          <w:b w:val="false"/>
          <w:bCs w:val="false"/>
        </w:rPr>
        <w:t xml:space="preserve">Objetivo, atores e escopo</w:t>
      </w:r>
    </w:p>
    <w:p>
      <w:pPr>
        <w:spacing w:after="50"/>
      </w:pPr>
    </w:p>
    <w:p>
      <w:pPr>
        <w:widowControl/>
        <w:spacing w:after="100" w:line="260"/>
      </w:pPr>
      <w:r>
        <w:rPr>
          <w:b w:val="false"/>
          <w:bCs w:val="false"/>
        </w:rPr>
        <w:t xml:space="preserve">Conectar atletas a treinadores com preferências compatíveis, acompanhar o treinamento e registrar a relação profissional. Atleta administra perfil, vínculo, execução, mensagens, agenda, avaliações e privacidade. Treinador submete credenciais, aceita alunos, prescreve, responde, corrige mídia e configura plano/carteira. Administrador decide credenciais, modera avaliações e configura a comissão. Serviços externos são atores secundários: armazenamento S3, SMTP, gateway Asaas e Google Agenda/Meet quando configurado.</w:t>
      </w:r>
    </w:p>
    <w:p>
      <w:pPr>
        <w:spacing w:after="50"/>
      </w:pPr>
    </w:p>
    <w:p>
      <w:pPr>
        <w:widowControl/>
        <w:spacing w:after="100" w:line="260"/>
      </w:pPr>
      <w:r>
        <w:rPr>
          <w:b w:val="false"/>
          <w:bCs w:val="false"/>
        </w:rPr>
        <w:t xml:space="preserve">Web React e app Expo usam a mesma API Fastify/PostgreSQL. Modo </w:t>
      </w:r>
      <w:r>
        <w:rPr>
          <w:rFonts w:ascii="Courier New" w:cs="Courier New" w:eastAsia="Courier New" w:hAnsi="Courier New"/>
          <w:b w:val="false"/>
          <w:bCs w:val="false"/>
          <w:sz w:val="18"/>
          <w:szCs w:val="18"/>
        </w:rPr>
        <w:t xml:space="preserve">academic</w:t>
      </w:r>
      <w:r>
        <w:rPr>
          <w:b w:val="false"/>
          <w:bCs w:val="false"/>
        </w:rPr>
        <w:t xml:space="preserve"> registra vínculos sem cobranças; modo </w:t>
      </w:r>
      <w:r>
        <w:rPr>
          <w:rFonts w:ascii="Courier New" w:cs="Courier New" w:eastAsia="Courier New" w:hAnsi="Courier New"/>
          <w:b w:val="false"/>
          <w:bCs w:val="false"/>
          <w:sz w:val="18"/>
          <w:szCs w:val="18"/>
        </w:rPr>
        <w:t xml:space="preserve">asaas</w:t>
      </w:r>
      <w:r>
        <w:rPr>
          <w:b w:val="false"/>
          <w:bCs w:val="false"/>
        </w:rPr>
        <w:t xml:space="preserve"> exige provedor configurado e vigência financeira para novas interações. O checkout hospedado evita formulário próprio de cartão. Aprovação profissional local registra conferência manual, sem alegar consulta automática oficial. O matchmaking é determinístico e explicável; não existe modelo treinado de IA.</w:t>
      </w:r>
    </w:p>
    <w:p>
      <w:pPr>
        <w:spacing w:after="50"/>
      </w:pPr>
    </w:p>
    <w:p>
      <w:pPr>
        <w:widowControl/>
        <w:spacing w:after="100" w:line="260"/>
      </w:pPr>
      <w:r>
        <w:rPr>
          <w:b w:val="false"/>
          <w:bCs w:val="false"/>
        </w:rPr>
        <w:t xml:space="preserve">Prioridades: P0, essencial ao fluxo; P1, complemento do acompanhamento; P2, validação/evolução externa. </w:t>
      </w:r>
      <w:r>
        <w:rPr>
          <w:b/>
          <w:bCs/>
        </w:rPr>
        <w:t xml:space="preserve">Implementado</w:t>
      </w:r>
      <w:r>
        <w:rPr>
          <w:b w:val="false"/>
          <w:bCs w:val="false"/>
        </w:rPr>
        <w:t xml:space="preserve"> significa comportamento no código. </w:t>
      </w:r>
      <w:r>
        <w:rPr>
          <w:b/>
          <w:bCs/>
        </w:rPr>
        <w:t xml:space="preserve">Testado local</w:t>
      </w:r>
      <w:r>
        <w:rPr>
          <w:b w:val="false"/>
          <w:bCs w:val="false"/>
        </w:rPr>
        <w:t xml:space="preserve"> depende das evidências no </w:t>
      </w:r>
      <w:r>
        <w:rPr>
          <w:b w:val="false"/>
          <w:bCs w:val="false"/>
        </w:rPr>
        <w:t xml:space="preserve">relatório (relatorio-testes.md)</w:t>
      </w:r>
      <w:r>
        <w:rPr>
          <w:b w:val="false"/>
          <w:bCs w:val="false"/>
        </w:rPr>
        <w:t xml:space="preserve">. </w:t>
      </w:r>
      <w:r>
        <w:rPr>
          <w:b/>
          <w:bCs/>
        </w:rPr>
        <w:t xml:space="preserve">Pendente externo</w:t>
      </w:r>
      <w:r>
        <w:rPr>
          <w:b w:val="false"/>
          <w:bCs w:val="false"/>
        </w:rPr>
        <w:t xml:space="preserve"> depende de serviço/dispositivo real, não de um checkbox de código.</w:t>
      </w:r>
    </w:p>
    <w:p>
      <w:pPr>
        <w:spacing w:after="50"/>
      </w:pPr>
    </w:p>
    <w:p>
      <w:pPr>
        <w:pStyle w:val="Heading1"/>
        <w:keepNext/>
      </w:pPr>
      <w:r>
        <w:rPr>
          <w:b w:val="false"/>
          <w:bCs w:val="false"/>
        </w:rPr>
        <w:t xml:space="preserve">Requisitos funcionais priorizados</w:t>
      </w:r>
    </w:p>
    <w:p>
      <w:pPr>
        <w:spacing w:after="5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200"/>
        <w:gridCol w:w="1000"/>
        <w:gridCol w:w="5538"/>
      </w:tblGrid>
      <w:tr>
        <w:trPr>
          <w:cantSplit/>
          <w:tblHeader/>
        </w:trPr>
        <w:tc>
          <w:tcPr>
            <w:tcW w:type="dxa" w:w="9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EAF2E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17"/>
                <w:szCs w:val="17"/>
              </w:rPr>
              <w:t xml:space="preserve">ID</w:t>
            </w:r>
          </w:p>
        </w:tc>
        <w:tc>
          <w:tcPr>
            <w:tcW w:type="dxa" w:w="22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EAF2E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17"/>
                <w:szCs w:val="17"/>
              </w:rPr>
              <w:t xml:space="preserve">Requisito</w:t>
            </w:r>
          </w:p>
        </w:tc>
        <w:tc>
          <w:tcPr>
            <w:tcW w:type="dxa" w:w="10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EAF2E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17"/>
                <w:szCs w:val="17"/>
              </w:rPr>
              <w:t xml:space="preserve">Prioridade</w:t>
            </w:r>
          </w:p>
        </w:tc>
        <w:tc>
          <w:tcPr>
            <w:tcW w:type="dxa" w:w="5538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EAF2E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17"/>
                <w:szCs w:val="17"/>
              </w:rPr>
              <w:t xml:space="preserve">Comportamento e limite da versão 2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RF-01</w:t>
            </w:r>
          </w:p>
        </w:tc>
        <w:tc>
          <w:tcPr>
            <w:tcW w:type="dxa" w:w="22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Cadastro e edição de perfil do atleta</w:t>
            </w:r>
          </w:p>
        </w:tc>
        <w:tc>
          <w:tcPr>
            <w:tcW w:type="dxa" w:w="10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P0</w:t>
            </w:r>
          </w:p>
        </w:tc>
        <w:tc>
          <w:tcPr>
            <w:tcW w:type="dxa" w:w="5538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Conta, preferências e perfil; informações privadas de saúde opcionais com consentimento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RF-02</w:t>
            </w:r>
          </w:p>
        </w:tc>
        <w:tc>
          <w:tcPr>
            <w:tcW w:type="dxa" w:w="22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Cadastro e edição de perfil do treinador</w:t>
            </w:r>
          </w:p>
        </w:tc>
        <w:tc>
          <w:tcPr>
            <w:tcW w:type="dxa" w:w="10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P0</w:t>
            </w:r>
          </w:p>
        </w:tc>
        <w:tc>
          <w:tcPr>
            <w:tcW w:type="dxa" w:w="5538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Perfil profissional, modalidades, objetivos, níveis, atendimento, horários e preço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RF-03</w:t>
            </w:r>
          </w:p>
        </w:tc>
        <w:tc>
          <w:tcPr>
            <w:tcW w:type="dxa" w:w="22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Submissão de registro profissional</w:t>
            </w:r>
          </w:p>
        </w:tc>
        <w:tc>
          <w:tcPr>
            <w:tcW w:type="dxa" w:w="10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P0</w:t>
            </w:r>
          </w:p>
        </w:tc>
        <w:tc>
          <w:tcPr>
            <w:tcW w:type="dxa" w:w="5538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CREF, evidência textual e documento privado opcional, imagem/PDF validado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RF-04</w:t>
            </w:r>
          </w:p>
        </w:tc>
        <w:tc>
          <w:tcPr>
            <w:tcW w:type="dxa" w:w="22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Validação automatizada com alternativa manual</w:t>
            </w:r>
          </w:p>
        </w:tc>
        <w:tc>
          <w:tcPr>
            <w:tcW w:type="dxa" w:w="10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P0/P2</w:t>
            </w:r>
          </w:p>
        </w:tc>
        <w:tc>
          <w:tcPr>
            <w:tcW w:type="dxa" w:w="5538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Conferência manual, motivo, documento, prazo e auditoria; automação oficial depende de contrato/acesso ainda não recebido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RF-05</w:t>
            </w:r>
          </w:p>
        </w:tc>
        <w:tc>
          <w:tcPr>
            <w:tcW w:type="dxa" w:w="22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Autenticação e controle de acesso</w:t>
            </w:r>
          </w:p>
        </w:tc>
        <w:tc>
          <w:tcPr>
            <w:tcW w:type="dxa" w:w="10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P0</w:t>
            </w:r>
          </w:p>
        </w:tc>
        <w:tc>
          <w:tcPr>
            <w:tcW w:type="dxa" w:w="5538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Cookie HttpOnly web, Bearer opaco nativo, logout, recuperação por SMTP e invalidação de sessões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RF-06</w:t>
            </w:r>
          </w:p>
        </w:tc>
        <w:tc>
          <w:tcPr>
            <w:tcW w:type="dxa" w:w="22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Processamento de matchmaking</w:t>
            </w:r>
          </w:p>
        </w:tc>
        <w:tc>
          <w:tcPr>
            <w:tcW w:type="dxa" w:w="10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P0</w:t>
            </w:r>
          </w:p>
        </w:tc>
        <w:tc>
          <w:tcPr>
            <w:tcW w:type="dxa" w:w="5538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Nota explicável sobre perfil; aprendizado automático/validação estatística continuam futuros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RF-07</w:t>
            </w:r>
          </w:p>
        </w:tc>
        <w:tc>
          <w:tcPr>
            <w:tcW w:type="dxa" w:w="22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Busca e filtros de treinadores</w:t>
            </w:r>
          </w:p>
        </w:tc>
        <w:tc>
          <w:tcPr>
            <w:tcW w:type="dxa" w:w="10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P0</w:t>
            </w:r>
          </w:p>
        </w:tc>
        <w:tc>
          <w:tcPr>
            <w:tcW w:type="dxa" w:w="5538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Somente perfis aprovados, elegíveis e não vencidos/suspensos; filtros de modalidade, preço, nome e atendimento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RF-08</w:t>
            </w:r>
          </w:p>
        </w:tc>
        <w:tc>
          <w:tcPr>
            <w:tcW w:type="dxa" w:w="22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Portfólio do profissional</w:t>
            </w:r>
          </w:p>
        </w:tc>
        <w:tc>
          <w:tcPr>
            <w:tcW w:type="dxa" w:w="10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P1</w:t>
            </w:r>
          </w:p>
        </w:tc>
        <w:tc>
          <w:tcPr>
            <w:tcW w:type="dxa" w:w="5538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Bio, modalidades, preço, CREF, compatibilidade e avaliações publicadas; não há curadoria pública de arquivos privados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RF-09</w:t>
            </w:r>
          </w:p>
        </w:tc>
        <w:tc>
          <w:tcPr>
            <w:tcW w:type="dxa" w:w="22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Solicitação de contratação e assinatura</w:t>
            </w:r>
          </w:p>
        </w:tc>
        <w:tc>
          <w:tcPr>
            <w:tcW w:type="dxa" w:w="10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P0</w:t>
            </w:r>
          </w:p>
        </w:tc>
        <w:tc>
          <w:tcPr>
            <w:tcW w:type="dxa" w:w="5538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Solicitação de vínculo; aceite do treinador; intenção financeira e checkout recorrente em modo Asaas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RF-10</w:t>
            </w:r>
          </w:p>
        </w:tc>
        <w:tc>
          <w:tcPr>
            <w:tcW w:type="dxa" w:w="22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Aceite/recusa de aluno</w:t>
            </w:r>
          </w:p>
        </w:tc>
        <w:tc>
          <w:tcPr>
            <w:tcW w:type="dxa" w:w="10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P0</w:t>
            </w:r>
          </w:p>
        </w:tc>
        <w:tc>
          <w:tcPr>
            <w:tcW w:type="dxa" w:w="5538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Decisão exclusiva do treinador destinatário, transação e histórico por ciclo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RF-11</w:t>
            </w:r>
          </w:p>
        </w:tc>
        <w:tc>
          <w:tcPr>
            <w:tcW w:type="dxa" w:w="22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Pagamento recorrente</w:t>
            </w:r>
          </w:p>
        </w:tc>
        <w:tc>
          <w:tcPr>
            <w:tcW w:type="dxa" w:w="10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P1/P2</w:t>
            </w:r>
          </w:p>
        </w:tc>
        <w:tc>
          <w:tcPr>
            <w:tcW w:type="dxa" w:w="5538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Adaptador real Asaas, intenção/assinatura, eventos autenticados; sandbox real e cobrança real ainda requerem acessos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RF-12</w:t>
            </w:r>
          </w:p>
        </w:tc>
        <w:tc>
          <w:tcPr>
            <w:tcW w:type="dxa" w:w="22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Split financeiro</w:t>
            </w:r>
          </w:p>
        </w:tc>
        <w:tc>
          <w:tcPr>
            <w:tcW w:type="dxa" w:w="10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P1/P2</w:t>
            </w:r>
          </w:p>
        </w:tc>
        <w:tc>
          <w:tcPr>
            <w:tcW w:type="dxa" w:w="5538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Carteira recebedora, comissão em basis points, solicitação de split e registros de evento; participação estimada não é repasse bancário homologado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RF-13</w:t>
            </w:r>
          </w:p>
        </w:tc>
        <w:tc>
          <w:tcPr>
            <w:tcW w:type="dxa" w:w="22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Inadimplência e carência</w:t>
            </w:r>
          </w:p>
        </w:tc>
        <w:tc>
          <w:tcPr>
            <w:tcW w:type="dxa" w:w="10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P1</w:t>
            </w:r>
          </w:p>
        </w:tc>
        <w:tc>
          <w:tcPr>
            <w:tcW w:type="dxa" w:w="5538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Estados financeiros, prazo de carência, suspensão, jobs e conciliação; cenários de falha controlados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RF-14</w:t>
            </w:r>
          </w:p>
        </w:tc>
        <w:tc>
          <w:tcPr>
            <w:tcW w:type="dxa" w:w="22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Prescrição de treinos</w:t>
            </w:r>
          </w:p>
        </w:tc>
        <w:tc>
          <w:tcPr>
            <w:tcW w:type="dxa" w:w="10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P0</w:t>
            </w:r>
          </w:p>
        </w:tc>
        <w:tc>
          <w:tcPr>
            <w:tcW w:type="dxa" w:w="5538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Blocos, modalidade, data, rascunho/publicação; exige vínculo e acesso financeiro/profissional adequados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RF-15</w:t>
            </w:r>
          </w:p>
        </w:tc>
        <w:tc>
          <w:tcPr>
            <w:tcW w:type="dxa" w:w="22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Vídeos demonstrativos</w:t>
            </w:r>
          </w:p>
        </w:tc>
        <w:tc>
          <w:tcPr>
            <w:tcW w:type="dxa" w:w="10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P1</w:t>
            </w:r>
          </w:p>
        </w:tc>
        <w:tc>
          <w:tcPr>
            <w:tcW w:type="dxa" w:w="5538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Referência HTTPS por bloco e upload privado de orientação ligado à ficha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RF-16</w:t>
            </w:r>
          </w:p>
        </w:tc>
        <w:tc>
          <w:tcPr>
            <w:tcW w:type="dxa" w:w="22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Consulta de treinos prescritos</w:t>
            </w:r>
          </w:p>
        </w:tc>
        <w:tc>
          <w:tcPr>
            <w:tcW w:type="dxa" w:w="10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P0</w:t>
            </w:r>
          </w:p>
        </w:tc>
        <w:tc>
          <w:tcPr>
            <w:tcW w:type="dxa" w:w="5538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Rascunhos privados do treinador, publicados para o atleta autorizado; histórico vinculado ao ciclo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RF-17</w:t>
            </w:r>
          </w:p>
        </w:tc>
        <w:tc>
          <w:tcPr>
            <w:tcW w:type="dxa" w:w="22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Registro de execução e feedback</w:t>
            </w:r>
          </w:p>
        </w:tc>
        <w:tc>
          <w:tcPr>
            <w:tcW w:type="dxa" w:w="10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P0</w:t>
            </w:r>
          </w:p>
        </w:tc>
        <w:tc>
          <w:tcPr>
            <w:tcW w:type="dxa" w:w="5538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Blocos realizados, métricas validadas, esforço 1–10 e observações; payload privado cifrado; atualização de execução única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RF-18</w:t>
            </w:r>
          </w:p>
        </w:tc>
        <w:tc>
          <w:tcPr>
            <w:tcW w:type="dxa" w:w="22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Vídeo de performance do atleta</w:t>
            </w:r>
          </w:p>
        </w:tc>
        <w:tc>
          <w:tcPr>
            <w:tcW w:type="dxa" w:w="10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P1</w:t>
            </w:r>
          </w:p>
        </w:tc>
        <w:tc>
          <w:tcPr>
            <w:tcW w:type="dxa" w:w="5538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Upload privado com consentimento específico, validação e correção técnica pelo treinador; revogação elimina mídia conforme política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RF-19</w:t>
            </w:r>
          </w:p>
        </w:tc>
        <w:tc>
          <w:tcPr>
            <w:tcW w:type="dxa" w:w="22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Mensagens em tempo real</w:t>
            </w:r>
          </w:p>
        </w:tc>
        <w:tc>
          <w:tcPr>
            <w:tcW w:type="dxa" w:w="10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P1</w:t>
            </w:r>
          </w:p>
        </w:tc>
        <w:tc>
          <w:tcPr>
            <w:tcW w:type="dxa" w:w="5538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Histórico cifrado e paginado, WebSocket autenticado, anexo privado, leitura e reconexão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RF-20</w:t>
            </w:r>
          </w:p>
        </w:tc>
        <w:tc>
          <w:tcPr>
            <w:tcW w:type="dxa" w:w="22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Avaliação pública do treinador</w:t>
            </w:r>
          </w:p>
        </w:tc>
        <w:tc>
          <w:tcPr>
            <w:tcW w:type="dxa" w:w="10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P1</w:t>
            </w:r>
          </w:p>
        </w:tc>
        <w:tc>
          <w:tcPr>
            <w:tcW w:type="dxa" w:w="5538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Nota 1–5 e texto por atleta em vínculo elegível, uma por ciclo, edição autorizada e média de conteúdo visível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RF-21</w:t>
            </w:r>
          </w:p>
        </w:tc>
        <w:tc>
          <w:tcPr>
            <w:tcW w:type="dxa" w:w="22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Resposta a avaliações</w:t>
            </w:r>
          </w:p>
        </w:tc>
        <w:tc>
          <w:tcPr>
            <w:tcW w:type="dxa" w:w="10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P1</w:t>
            </w:r>
          </w:p>
        </w:tc>
        <w:tc>
          <w:tcPr>
            <w:tcW w:type="dxa" w:w="5538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Somente treinador avaliado responde; denúncia e moderação auditada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RF-22</w:t>
            </w:r>
          </w:p>
        </w:tc>
        <w:tc>
          <w:tcPr>
            <w:tcW w:type="dxa" w:w="22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Cancelamento de assinatura/contrato</w:t>
            </w:r>
          </w:p>
        </w:tc>
        <w:tc>
          <w:tcPr>
            <w:tcW w:type="dxa" w:w="10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P1</w:t>
            </w:r>
          </w:p>
        </w:tc>
        <w:tc>
          <w:tcPr>
            <w:tcW w:type="dxa" w:w="5538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Retirada pendente, encerramento por participante, confirmação do provedor e preservação de período pago; novo ciclo preserva histórico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RF-23</w:t>
            </w:r>
          </w:p>
        </w:tc>
        <w:tc>
          <w:tcPr>
            <w:tcW w:type="dxa" w:w="22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Carteira de alunos</w:t>
            </w:r>
          </w:p>
        </w:tc>
        <w:tc>
          <w:tcPr>
            <w:tcW w:type="dxa" w:w="10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P0</w:t>
            </w:r>
          </w:p>
        </w:tc>
        <w:tc>
          <w:tcPr>
            <w:tcW w:type="dxa" w:w="5538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Solicitações, ciclos, prescrição, execução, conversa, agenda e acompanhamento financeiro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RF-24</w:t>
            </w:r>
          </w:p>
        </w:tc>
        <w:tc>
          <w:tcPr>
            <w:tcW w:type="dxa" w:w="22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Métodos de pagamento</w:t>
            </w:r>
          </w:p>
        </w:tc>
        <w:tc>
          <w:tcPr>
            <w:tcW w:type="dxa" w:w="10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P1/P2</w:t>
            </w:r>
          </w:p>
        </w:tc>
        <w:tc>
          <w:tcPr>
            <w:tcW w:type="dxa" w:w="5538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Meio de pagamento gerenciado no checkout do provedor; sem cartão bruto na aplicação; homologação externa pendente</w:t>
            </w:r>
          </w:p>
        </w:tc>
      </w:tr>
    </w:tbl>
    <w:p>
      <w:pPr>
        <w:spacing w:after="50"/>
      </w:pPr>
    </w:p>
    <w:p>
      <w:pPr>
        <w:pStyle w:val="Heading2"/>
        <w:keepNext/>
      </w:pPr>
      <w:r>
        <w:rPr>
          <w:b w:val="false"/>
          <w:bCs w:val="false"/>
        </w:rPr>
        <w:t xml:space="preserve">Requisitos adicionais explicitamente definidos nesta ampliação</w:t>
      </w:r>
    </w:p>
    <w:p>
      <w:pPr>
        <w:spacing w:after="5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200"/>
        <w:gridCol w:w="1000"/>
        <w:gridCol w:w="5538"/>
      </w:tblGrid>
      <w:tr>
        <w:trPr>
          <w:cantSplit/>
          <w:tblHeader/>
        </w:trPr>
        <w:tc>
          <w:tcPr>
            <w:tcW w:type="dxa" w:w="9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EAF2E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17"/>
                <w:szCs w:val="17"/>
              </w:rPr>
              <w:t xml:space="preserve">ID</w:t>
            </w:r>
          </w:p>
        </w:tc>
        <w:tc>
          <w:tcPr>
            <w:tcW w:type="dxa" w:w="22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EAF2E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17"/>
                <w:szCs w:val="17"/>
              </w:rPr>
              <w:t xml:space="preserve">Requisito</w:t>
            </w:r>
          </w:p>
        </w:tc>
        <w:tc>
          <w:tcPr>
            <w:tcW w:type="dxa" w:w="10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EAF2E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17"/>
                <w:szCs w:val="17"/>
              </w:rPr>
              <w:t xml:space="preserve">Prioridade</w:t>
            </w:r>
          </w:p>
        </w:tc>
        <w:tc>
          <w:tcPr>
            <w:tcW w:type="dxa" w:w="5538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EAF2E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17"/>
                <w:szCs w:val="17"/>
              </w:rPr>
              <w:t xml:space="preserve">Implementação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RF-A01</w:t>
            </w:r>
          </w:p>
        </w:tc>
        <w:tc>
          <w:tcPr>
            <w:tcW w:type="dxa" w:w="22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Recuperar acesso por e-mail</w:t>
            </w:r>
          </w:p>
        </w:tc>
        <w:tc>
          <w:tcPr>
            <w:tcW w:type="dxa" w:w="10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P0</w:t>
            </w:r>
          </w:p>
        </w:tc>
        <w:tc>
          <w:tcPr>
            <w:tcW w:type="dxa" w:w="5538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Token aleatório de uso único, hash SQL, 30 minutos, outbox SMTP e sessões revogadas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RF-A02</w:t>
            </w:r>
          </w:p>
        </w:tc>
        <w:tc>
          <w:tcPr>
            <w:tcW w:type="dxa" w:w="22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Notificações internas persistidas</w:t>
            </w:r>
          </w:p>
        </w:tc>
        <w:tc>
          <w:tcPr>
            <w:tcW w:type="dxa" w:w="10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P1</w:t>
            </w:r>
          </w:p>
        </w:tc>
        <w:tc>
          <w:tcPr>
            <w:tcW w:type="dxa" w:w="5538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Lista por destinatário, contador e leitura individual/em lote, publicação em tempo real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RF-A03</w:t>
            </w:r>
          </w:p>
        </w:tc>
        <w:tc>
          <w:tcPr>
            <w:tcW w:type="dxa" w:w="22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Consultorias e agenda</w:t>
            </w:r>
          </w:p>
        </w:tc>
        <w:tc>
          <w:tcPr>
            <w:tcW w:type="dxa" w:w="10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P1</w:t>
            </w:r>
          </w:p>
        </w:tc>
        <w:tc>
          <w:tcPr>
            <w:tcW w:type="dxa" w:w="5538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Criar, reagendar, cancelar, concluir; bloquear sobreposição das agendas dos participantes; histórico e referência Google opcional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RF-A04</w:t>
            </w:r>
          </w:p>
        </w:tc>
        <w:tc>
          <w:tcPr>
            <w:tcW w:type="dxa" w:w="22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Consentimento, exportação e encerramento</w:t>
            </w:r>
          </w:p>
        </w:tc>
        <w:tc>
          <w:tcPr>
            <w:tcW w:type="dxa" w:w="10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P0</w:t>
            </w:r>
          </w:p>
        </w:tc>
        <w:tc>
          <w:tcPr>
            <w:tcW w:type="dxa" w:w="5538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Finalidades versionadas, dados próprios em JSON, senha para encerramento, anonimização e controle de retenção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RF-A05</w:t>
            </w:r>
          </w:p>
        </w:tc>
        <w:tc>
          <w:tcPr>
            <w:tcW w:type="dxa" w:w="22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Expirar/suspender credenciais profissionais</w:t>
            </w:r>
          </w:p>
        </w:tc>
        <w:tc>
          <w:tcPr>
            <w:tcW w:type="dxa" w:w="10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P0</w:t>
            </w:r>
          </w:p>
        </w:tc>
        <w:tc>
          <w:tcPr>
            <w:tcW w:type="dxa" w:w="5538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Prazo, job de expiração, suspensão/revogação motivada e remoção da descoberta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RF-A06</w:t>
            </w:r>
          </w:p>
        </w:tc>
        <w:tc>
          <w:tcPr>
            <w:tcW w:type="dxa" w:w="22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App do atleta</w:t>
            </w:r>
          </w:p>
        </w:tc>
        <w:tc>
          <w:tcPr>
            <w:tcW w:type="dxa" w:w="10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P1/P2</w:t>
            </w:r>
          </w:p>
        </w:tc>
        <w:tc>
          <w:tcPr>
            <w:tcW w:type="dxa" w:w="5538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React Native/Expo, mesma API, token em SecureStore; tipos/bundles e homologação Android/iOS são evidências distintas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RF-A07</w:t>
            </w:r>
          </w:p>
        </w:tc>
        <w:tc>
          <w:tcPr>
            <w:tcW w:type="dxa" w:w="22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Operação e recuperação</w:t>
            </w:r>
          </w:p>
        </w:tc>
        <w:tc>
          <w:tcPr>
            <w:tcW w:type="dxa" w:w="10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P1</w:t>
            </w:r>
          </w:p>
        </w:tc>
        <w:tc>
          <w:tcPr>
            <w:tcW w:type="dxa" w:w="5538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Container, proxy TLS, configuração de segredos, migrations, tarefas, backup/restauração e CI conforme artefatos e testes efetivos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RF-A08</w:t>
            </w:r>
          </w:p>
        </w:tc>
        <w:tc>
          <w:tcPr>
            <w:tcW w:type="dxa" w:w="22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Moderação de conteúdo</w:t>
            </w:r>
          </w:p>
        </w:tc>
        <w:tc>
          <w:tcPr>
            <w:tcW w:type="dxa" w:w="10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P1</w:t>
            </w:r>
          </w:p>
        </w:tc>
        <w:tc>
          <w:tcPr>
            <w:tcW w:type="dxa" w:w="5538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Denúncia de avaliação, ocultação/restauração pelo administrador e histórico motivado</w:t>
            </w:r>
          </w:p>
        </w:tc>
      </w:tr>
    </w:tbl>
    <w:p>
      <w:pPr>
        <w:spacing w:after="50"/>
      </w:pPr>
    </w:p>
    <w:p>
      <w:pPr>
        <w:pStyle w:val="Heading1"/>
        <w:keepNext/>
      </w:pPr>
      <w:r>
        <w:rPr>
          <w:b w:val="false"/>
          <w:bCs w:val="false"/>
        </w:rPr>
        <w:t xml:space="preserve">Fluxos textuais, alternativas e exceções</w:t>
      </w:r>
    </w:p>
    <w:p>
      <w:pPr>
        <w:spacing w:after="50"/>
      </w:pPr>
    </w:p>
    <w:p>
      <w:pPr>
        <w:pStyle w:val="Heading2"/>
        <w:keepNext/>
      </w:pPr>
      <w:r>
        <w:rPr>
          <w:b w:val="false"/>
          <w:bCs w:val="false"/>
        </w:rPr>
        <w:t xml:space="preserve">UC-01 — Conta, perfil e recuperação (RF-01,02,05,A01)</w:t>
      </w:r>
    </w:p>
    <w:p>
      <w:pPr>
        <w:spacing w:after="50"/>
      </w:pPr>
    </w:p>
    <w:p>
      <w:pPr>
        <w:widowControl/>
        <w:spacing w:after="100" w:line="260"/>
      </w:pPr>
      <w:r>
        <w:rPr>
          <w:b w:val="false"/>
          <w:bCs w:val="false"/>
        </w:rPr>
        <w:t xml:space="preserve">Pré-condição: visitante sem sessão ou titular autenticado. Fluxo principal: preencher nome/e-mail/senha e papel permitido → validar/normalizar → gravar usuário/perfil → iniciar sessão → completar preferências → salvar. Alternativa de entrada: credenciais existentes. Subfluxo de recuperação: informar e-mail → receber resposta genérica → outbox SMTP envia link com token no fragmento → informar nova senha → bloquear/verificar token → atualizar hash e invalidar todas as sessões. Pós-condição: senha e perfil persistidos. Exceções: duplicidade 409; credenciais 401; token expirado/usado 400; administrador não pode ser escolhido no cadastro. Cliente nativo recebe token opaco e guarda em SecureStore; browser não armazena token em localStorage.</w:t>
      </w:r>
    </w:p>
    <w:p>
      <w:pPr>
        <w:spacing w:after="50"/>
      </w:pPr>
    </w:p>
    <w:p>
      <w:pPr>
        <w:pStyle w:val="Heading2"/>
        <w:keepNext/>
      </w:pPr>
      <w:r>
        <w:rPr>
          <w:b w:val="false"/>
          <w:bCs w:val="false"/>
        </w:rPr>
        <w:t xml:space="preserve">UC-02 — Credenciais profissionais (RF-03,04,A05)</w:t>
      </w:r>
    </w:p>
    <w:p>
      <w:pPr>
        <w:spacing w:after="50"/>
      </w:pPr>
    </w:p>
    <w:p>
      <w:pPr>
        <w:widowControl/>
        <w:spacing w:after="100" w:line="260"/>
      </w:pPr>
      <w:r>
        <w:rPr>
          <w:b w:val="false"/>
          <w:bCs w:val="false"/>
        </w:rPr>
        <w:t xml:space="preserve">Treinador com perfil completo informa CREF/evidência e pode anexar documento privado validado → submissão pendente → administrador confere evidência → decide com motivo e prazo → grava decisão/auditoria → perfil aprovado entra na descoberta. Alternativa: recusa e nova submissão; prazo expira em job ou administrador suspende/revoga. Exceções: terceiro/atleta não submete; treinador não decide; documento alheio inválido; decisão repetida gera conflito. Somente titular e administrador autorizado veem documento. Consulta oficial automática permanece dependente de serviço autorizado.</w:t>
      </w:r>
    </w:p>
    <w:p>
      <w:pPr>
        <w:spacing w:after="50"/>
      </w:pPr>
    </w:p>
    <w:p>
      <w:pPr>
        <w:pStyle w:val="Heading2"/>
        <w:keepNext/>
      </w:pPr>
      <w:r>
        <w:rPr>
          <w:b w:val="false"/>
          <w:bCs w:val="false"/>
        </w:rPr>
        <w:t xml:space="preserve">UC-03 — Descoberta, contratação e ciclo (RF-06–10,23)</w:t>
      </w:r>
    </w:p>
    <w:p>
      <w:pPr>
        <w:spacing w:after="50"/>
      </w:pPr>
    </w:p>
    <w:p>
      <w:pPr>
        <w:widowControl/>
        <w:spacing w:after="100" w:line="260"/>
      </w:pPr>
      <w:r>
        <w:rPr>
          <w:b w:val="false"/>
          <w:bCs w:val="false"/>
        </w:rPr>
        <w:t xml:space="preserve">Atleta preenche preferências → busca aprovados compatíveis → vê nota e razões → solicita → treinador aceita/recusa. Uma solicitação vigente por par é permitida. Ciclo recusado/encerrado permite novo ciclo com identificador próprio, sem mover fichas antigas. A nota considera objetivos 30, nível 20, orçamento 25 e disponibilidade 25; modalidade/aprovação são filtros; presencial considera cidade. Alternativas: filtros sem resultado ou revisão das preferências. Exceções: profissional inelegível, papel/propriedade incorretos, duplicidade ou aceite concorrente. Disponibilidade pontua a nota; não representa horário reservado.</w:t>
      </w:r>
    </w:p>
    <w:p>
      <w:pPr>
        <w:spacing w:after="50"/>
      </w:pPr>
    </w:p>
    <w:p>
      <w:pPr>
        <w:pStyle w:val="Heading2"/>
        <w:keepNext/>
      </w:pPr>
      <w:r>
        <w:rPr>
          <w:b w:val="false"/>
          <w:bCs w:val="false"/>
        </w:rPr>
        <w:t xml:space="preserve">UC-04 — Assinatura, pagamento e conciliação (RF-09,11–13,24)</w:t>
      </w:r>
    </w:p>
    <w:p>
      <w:pPr>
        <w:spacing w:after="50"/>
      </w:pPr>
    </w:p>
    <w:p>
      <w:pPr>
        <w:widowControl/>
        <w:spacing w:after="100" w:line="260"/>
      </w:pPr>
      <w:r>
        <w:rPr>
          <w:b w:val="false"/>
          <w:bCs w:val="false"/>
        </w:rPr>
        <w:t xml:space="preserve">Pré-condição: ciclo aceito e modo Asaas habilitado, plano/carteira configurados. Atleta prepara checkout → servidor grava intenção e identificador → envia requisição de assinatura/split ao provedor → mostra URL hospedada → usuário conclui no gateway → webhook autentica </w:t>
      </w:r>
      <w:r>
        <w:rPr>
          <w:rFonts w:ascii="Courier New" w:cs="Courier New" w:eastAsia="Courier New" w:hAnsi="Courier New"/>
          <w:b w:val="false"/>
          <w:bCs w:val="false"/>
          <w:sz w:val="18"/>
          <w:szCs w:val="18"/>
        </w:rPr>
        <w:t xml:space="preserve">asaas-access-token</w:t>
      </w:r>
      <w:r>
        <w:rPr>
          <w:b w:val="false"/>
          <w:bCs w:val="false"/>
        </w:rPr>
        <w:t xml:space="preserve"> → persiste evento único → aplica transição e vigência → jobs processam pendências/carência/conciliação. Redirect não comprova pagamento. Alternativa: modo acadêmico mostra ausência de cobrança; sem credenciais informa indisponibilidade. Exceções: duplicata devolve intenção existente; timeout fica incerto; evento desconhecido permanece para conciliação; evento antigo não reduz período pago; falha não vira sucesso. Reenvio externo incerto não é feito cegamente.</w:t>
      </w:r>
    </w:p>
    <w:p>
      <w:pPr>
        <w:spacing w:after="50"/>
      </w:pPr>
    </w:p>
    <w:p>
      <w:pPr>
        <w:pStyle w:val="Heading2"/>
        <w:keepNext/>
      </w:pPr>
      <w:r>
        <w:rPr>
          <w:b w:val="false"/>
          <w:bCs w:val="false"/>
        </w:rPr>
        <w:t xml:space="preserve">UC-05 — Prescrição, execução e mídia (RF-14–18)</w:t>
      </w:r>
    </w:p>
    <w:p>
      <w:pPr>
        <w:spacing w:after="50"/>
      </w:pPr>
    </w:p>
    <w:p>
      <w:pPr>
        <w:widowControl/>
        <w:spacing w:after="100" w:line="260"/>
      </w:pPr>
      <w:r>
        <w:rPr>
          <w:b w:val="false"/>
          <w:bCs w:val="false"/>
        </w:rPr>
        <w:t xml:space="preserve">Treinador com acesso válido seleciona atleta → define ficha/blocos → salva rascunho ou publica → atleta consulta publicado → executa blocos e informa métricas/esforço → servidor valida catálogo e cifra payload → treinador consulta retorno. Subfluxo de mídia: selecionar finalidade/recurso → conferir papel/vínculo/consentimento → validar assinatura/MIME/extensão/limite → cifrar AES-256-GCM → armazenar S3 privado e metadados → download autorizado recupera original → treinador registra correção de performance. Alternativas: execução parcial; atualizar registro; link HTTPS de referência. Exceções: vínculo inativo, métrica indevida, índice inválido, arquivo falso, tamanho excedido, ausência/revogação de consentimento e terceiro são negados. Revogação remove mídia de performance do titular. Novos treinos não são criados depois do encerramento efetivo.</w:t>
      </w:r>
    </w:p>
    <w:p>
      <w:pPr>
        <w:spacing w:after="50"/>
      </w:pPr>
    </w:p>
    <w:p>
      <w:pPr>
        <w:pStyle w:val="Heading2"/>
        <w:keepNext/>
      </w:pPr>
      <w:r>
        <w:rPr>
          <w:b w:val="false"/>
          <w:bCs w:val="false"/>
        </w:rPr>
        <w:t xml:space="preserve">UC-06 — Mensagens e notificações (RF-19,A02)</w:t>
      </w:r>
    </w:p>
    <w:p>
      <w:pPr>
        <w:spacing w:after="50"/>
      </w:pPr>
    </w:p>
    <w:p>
      <w:pPr>
        <w:widowControl/>
        <w:spacing w:after="100" w:line="260"/>
      </w:pPr>
      <w:r>
        <w:rPr>
          <w:b w:val="false"/>
          <w:bCs w:val="false"/>
        </w:rPr>
        <w:t xml:space="preserve">Participante abre conversa → consulta histórico persistido/paginado → sessão autoriza WebSocket → envia texto/anexo REST → servidor confirma commit → publica para as partes e notifica destinatário → destinatário confirma leitura até cursor. Reconexão consulta novamente o banco. Exceções: terceiro não acessa conversa; vínculo encerrado não envia; sessão revogada fecha conexão; origem browser indevida é recusada; anexo precisa pertencer ao remetente e ciclo. Notificações só podem ser lidas/marcadas pelo destinatário. Uma instância de API utiliza publicação em memória após persistência; múltiplas instâncias precisam de broker ainda não homologado.</w:t>
      </w:r>
    </w:p>
    <w:p>
      <w:pPr>
        <w:spacing w:after="50"/>
      </w:pPr>
    </w:p>
    <w:p>
      <w:pPr>
        <w:pStyle w:val="Heading2"/>
        <w:keepNext/>
      </w:pPr>
      <w:r>
        <w:rPr>
          <w:b w:val="false"/>
          <w:bCs w:val="false"/>
        </w:rPr>
        <w:t xml:space="preserve">UC-07 — Avaliar, responder e moderar (RF-20,21,A08)</w:t>
      </w:r>
    </w:p>
    <w:p>
      <w:pPr>
        <w:spacing w:after="50"/>
      </w:pPr>
    </w:p>
    <w:p>
      <w:pPr>
        <w:widowControl/>
        <w:spacing w:after="100" w:line="260"/>
      </w:pPr>
      <w:r>
        <w:rPr>
          <w:b w:val="false"/>
          <w:bCs w:val="false"/>
        </w:rPr>
        <w:t xml:space="preserve">Atleta em vínculo ativo pelo período mínimo (</w:t>
      </w:r>
      <w:r>
        <w:rPr>
          <w:rFonts w:ascii="Courier New" w:cs="Courier New" w:eastAsia="Courier New" w:hAnsi="Courier New"/>
          <w:b w:val="false"/>
          <w:bCs w:val="false"/>
          <w:sz w:val="18"/>
          <w:szCs w:val="18"/>
        </w:rPr>
        <w:t xml:space="preserve">REVIEW_MIN_DAYS=7</w:t>
      </w:r>
      <w:r>
        <w:rPr>
          <w:b w:val="false"/>
          <w:bCs w:val="false"/>
        </w:rPr>
        <w:t xml:space="preserve"> por padrão) escolhe nota e relata experiência → uma avaliação por ciclo é persistida → calcula-se média dos publicados. Autor edita; treinador avaliado responde. Usuário denuncia → administrador registra motivo e oculta/restaura → média/lista pública deixam de expor o oculto. Exceções: avaliação precoce, terceiro editando, resposta por profissional diferente, duplicidade e justificativa curta falham. Configuração de teste com período menor deve ser identificada como teste, nunca como regra real executada sete dias.</w:t>
      </w:r>
    </w:p>
    <w:p>
      <w:pPr>
        <w:spacing w:after="50"/>
      </w:pPr>
    </w:p>
    <w:p>
      <w:pPr>
        <w:pStyle w:val="Heading2"/>
        <w:keepNext/>
      </w:pPr>
      <w:r>
        <w:rPr>
          <w:b w:val="false"/>
          <w:bCs w:val="false"/>
        </w:rPr>
        <w:t xml:space="preserve">UC-08 — Consultoria e agenda (RF-A03)</w:t>
      </w:r>
    </w:p>
    <w:p>
      <w:pPr>
        <w:spacing w:after="50"/>
      </w:pPr>
    </w:p>
    <w:p>
      <w:pPr>
        <w:widowControl/>
        <w:spacing w:after="100" w:line="260"/>
      </w:pPr>
      <w:r>
        <w:rPr>
          <w:b w:val="false"/>
          <w:bCs w:val="false"/>
        </w:rPr>
        <w:t xml:space="preserve">Participante de vínculo válido define início/duração/objetivo → servidor bloqueia agendas em ordem, verifica sobreposição e grava encontro → envia notificação. Alternativas: reagendar/cancelar com motivo; treinador registra conclusão após início. Sem Google, agenda local informa ausência de reunião externa. Com Client ID e ação explícita do treinador, OAuth cria evento/Meet na própria agenda e API guarda referência; nenhum teste envia convites reais. Reagendamento/cancelamento local exige ajustar também o evento externo enquanto sincronização automática não estiver homologada. Exceções: terceiro, horário passado, sobreposição ou motivo ausente são recusados.</w:t>
      </w:r>
    </w:p>
    <w:p>
      <w:pPr>
        <w:spacing w:after="50"/>
      </w:pPr>
    </w:p>
    <w:p>
      <w:pPr>
        <w:pStyle w:val="Heading2"/>
        <w:keepNext/>
      </w:pPr>
      <w:r>
        <w:rPr>
          <w:b w:val="false"/>
          <w:bCs w:val="false"/>
        </w:rPr>
        <w:t xml:space="preserve">UC-09 — Encerrar vínculo (RF-22)</w:t>
      </w:r>
    </w:p>
    <w:p>
      <w:pPr>
        <w:spacing w:after="50"/>
      </w:pPr>
    </w:p>
    <w:p>
      <w:pPr>
        <w:widowControl/>
        <w:spacing w:after="100" w:line="260"/>
      </w:pPr>
      <w:r>
        <w:rPr>
          <w:b w:val="false"/>
          <w:bCs w:val="false"/>
        </w:rPr>
        <w:t xml:space="preserve">Participante informa motivo e confirma → servidor autoriza titularidade e bloqueia ciclo → no acadêmico encerra imediatamente; no Asaas solicita cancelamento da renovação → confirma provedor/guarda vigência paga → encerra acesso ao fim do período. Histórico permanece autorizado; novo ciclo não altera anterior. Repetição é idempotente. Falha/resultado incerto do provedor mantém estado pendente e requer conciliação. Segurança/suspensão profissional pode bloquear novas interações independentemente do período pago, com auditoria.</w:t>
      </w:r>
    </w:p>
    <w:p>
      <w:pPr>
        <w:spacing w:after="50"/>
      </w:pPr>
    </w:p>
    <w:p>
      <w:pPr>
        <w:pStyle w:val="Heading2"/>
        <w:keepNext/>
      </w:pPr>
      <w:r>
        <w:rPr>
          <w:b w:val="false"/>
          <w:bCs w:val="false"/>
        </w:rPr>
        <w:t xml:space="preserve">UC-10 — Privacidade (RF-01,A04)</w:t>
      </w:r>
    </w:p>
    <w:p>
      <w:pPr>
        <w:spacing w:after="50"/>
      </w:pPr>
    </w:p>
    <w:p>
      <w:pPr>
        <w:widowControl/>
        <w:spacing w:after="100" w:line="260"/>
      </w:pPr>
      <w:r>
        <w:rPr>
          <w:b w:val="false"/>
          <w:bCs w:val="false"/>
        </w:rPr>
        <w:t xml:space="preserve">Titular consulta política/finalidades → concede/revoga consentimento versionado → dados privados de saúde exigem consentimento → exporta seus dados → confirma senha e pede encerramento → concilia financeiro, remove arquivos/conteúdo privado e anonimiza conta → invalida sessões → administrador consulta resultado. Alternativa: exportação sem encerramento. Exceções: senha errada; conta com assinatura não conciliada; falha de remoção de arquivo não é apresentada como encerramento concluído. Retenção acadêmica minimizada é descrita na política; prazo legal e conformidade integral não são presumidos. Backups restaurados precisam reaplicar pedidos de eliminação.</w:t>
      </w:r>
    </w:p>
    <w:p>
      <w:pPr>
        <w:spacing w:after="50"/>
      </w:pPr>
    </w:p>
    <w:p>
      <w:pPr>
        <w:pStyle w:val="Heading1"/>
        <w:keepNext/>
      </w:pPr>
      <w:r>
        <w:rPr>
          <w:b w:val="false"/>
          <w:bCs w:val="false"/>
        </w:rPr>
        <w:t xml:space="preserve">Requisitos não funcionais e cenários de verificação</w:t>
      </w:r>
    </w:p>
    <w:p>
      <w:pPr>
        <w:spacing w:after="50"/>
      </w:pPr>
    </w:p>
    <w:p>
      <w:pPr>
        <w:widowControl/>
        <w:spacing w:after="100" w:line="260"/>
      </w:pPr>
      <w:r>
        <w:rPr>
          <w:b w:val="false"/>
          <w:bCs w:val="false"/>
        </w:rPr>
        <w:t xml:space="preserve">Procedimentos são critérios de aceite, não resultados presumidos. Para cada execução consulte ambiente/data e limites no relatório.</w:t>
      </w:r>
    </w:p>
    <w:p>
      <w:pPr>
        <w:spacing w:after="5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2"/>
        <w:gridCol w:w="3214"/>
      </w:tblGrid>
      <w:tr>
        <w:trPr>
          <w:cantSplit/>
          <w:tblHeader/>
        </w:trPr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EAF2E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EAF2E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Cenário e critério</w:t>
            </w:r>
          </w:p>
        </w:tc>
        <w:tc>
          <w:tcPr>
            <w:tcW w:type="dxa" w:w="3214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EAF2E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Alcance/limite</w:t>
            </w:r>
          </w:p>
        </w:tc>
      </w:tr>
      <w:tr>
        <w:trPr>
          <w:cantSplit/>
          <w:tblHeader w:val="off"/>
        </w:trPr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RNF-01 LGPD</w:t>
            </w:r>
          </w:p>
        </w:tc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Conceder/revogar, exportar só dados próprios, reautenticar exclusão, negar terceiros; conferir SQL/objetos</w:t>
            </w:r>
          </w:p>
        </w:tc>
        <w:tc>
          <w:tcPr>
            <w:tcW w:type="dxa" w:w="3214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Controles de privacidade locais; parecer jurídico e operação pública não homologados</w:t>
            </w:r>
          </w:p>
        </w:tc>
      </w:tr>
      <w:tr>
        <w:trPr>
          <w:cantSplit/>
          <w:tblHeader w:val="off"/>
        </w:trPr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RNF-02 Criptografia saúde/biometria</w:t>
            </w:r>
          </w:p>
        </w:tc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Consultar SQL/S3: ausência de texto em claro; decrypt roundtrip; IV/tag íntegros; executar TLS local</w:t>
            </w:r>
          </w:p>
        </w:tc>
        <w:tc>
          <w:tcPr>
            <w:tcW w:type="dxa" w:w="3214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AES-256-GCM e gestão de chave implementados; relatório deve distinguir TLS local de domínio público</w:t>
            </w:r>
          </w:p>
        </w:tc>
      </w:tr>
      <w:tr>
        <w:trPr>
          <w:cantSplit/>
          <w:tblHeader w:val="off"/>
        </w:trPr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RNF-03 Auditoria profissional</w:t>
            </w:r>
          </w:p>
        </w:tc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Decidir/suspender/expirar; conferir revisor, motivo, prazo e referência; decisão/auditoria transacionais</w:t>
            </w:r>
          </w:p>
        </w:tc>
        <w:tc>
          <w:tcPr>
            <w:tcW w:type="dxa" w:w="3214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Administrador direto do banco continua fora da garantia de imutabilidade</w:t>
            </w:r>
          </w:p>
        </w:tc>
      </w:tr>
      <w:tr>
        <w:trPr>
          <w:cantSplit/>
          <w:tblHeader w:val="off"/>
        </w:trPr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RNF-04 Ocultar não validados</w:t>
            </w:r>
          </w:p>
        </w:tc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Pendentes, suspensos/vencidos/rejeitados fora da busca e ações protegidas</w:t>
            </w:r>
          </w:p>
        </w:tc>
        <w:tc>
          <w:tcPr>
            <w:tcW w:type="dxa" w:w="3214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Regra no servidor; uma lista já aberta precisa ser consultada novamente</w:t>
            </w:r>
          </w:p>
        </w:tc>
      </w:tr>
      <w:tr>
        <w:trPr>
          <w:cantSplit/>
          <w:tblHeader w:val="off"/>
        </w:trPr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RNF-05 Cartão/PCI</w:t>
            </w:r>
          </w:p>
        </w:tc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Conferir checkout hospedado, ausência de PAN/CVV SQL/logs e minimização do webhook</w:t>
            </w:r>
          </w:p>
        </w:tc>
        <w:tc>
          <w:tcPr>
            <w:tcW w:type="dxa" w:w="3214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Adaptador e teste HTTP controlado; não certifica PCI ou conta gateway real</w:t>
            </w:r>
          </w:p>
        </w:tc>
      </w:tr>
      <w:tr>
        <w:trPr>
          <w:cantSplit/>
          <w:tblHeader w:val="off"/>
        </w:trPr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RNF-06 Match até 2 s</w:t>
            </w:r>
          </w:p>
        </w:tc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Dataset/ambiente declarados; aquecer, medir concorrência e p50/p95/p99; p95 ≤2 s no cenário</w:t>
            </w:r>
          </w:p>
        </w:tc>
        <w:tc>
          <w:tcPr>
            <w:tcW w:type="dxa" w:w="3214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Resultado somente após execução de carga, sem extrapolar base sintética</w:t>
            </w:r>
          </w:p>
        </w:tc>
      </w:tr>
      <w:tr>
        <w:trPr>
          <w:cantSplit/>
          <w:tblHeader w:val="off"/>
        </w:trPr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RNF-07 Métricas extensíveis</w:t>
            </w:r>
          </w:p>
        </w:tc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Consultar catálogo, gravar chaves válidas e rejeitar desconhecidas/fora de limite; tela dinâmica</w:t>
            </w:r>
          </w:p>
        </w:tc>
        <w:tc>
          <w:tcPr>
            <w:tcW w:type="dxa" w:w="3214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Modalidades principais fixadas em contratos; catálogo administrativo/novos esportes ainda podem exigir código/migração</w:t>
            </w:r>
          </w:p>
        </w:tc>
      </w:tr>
      <w:tr>
        <w:trPr>
          <w:cantSplit/>
          <w:tblHeader w:val="off"/>
        </w:trPr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RNF-08 Escala/70%</w:t>
            </w:r>
          </w:p>
        </w:tc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Testar expansão/balanceamento em nuvem e medir recursos</w:t>
            </w:r>
          </w:p>
        </w:tc>
        <w:tc>
          <w:tcPr>
            <w:tcW w:type="dxa" w:w="3214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Não homologado; Docker/TLS e carga local não provam autoescala</w:t>
            </w:r>
          </w:p>
        </w:tc>
      </w:tr>
      <w:tr>
        <w:trPr>
          <w:cantSplit/>
          <w:tblHeader w:val="off"/>
        </w:trPr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RNF-09 App responsivo</w:t>
            </w:r>
          </w:p>
        </w:tc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Web em 390/1440 sem overflow; cliente Expo tipos/bundles</w:t>
            </w:r>
          </w:p>
        </w:tc>
        <w:tc>
          <w:tcPr>
            <w:tcW w:type="dxa" w:w="3214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Bundle não equivale a instalação nem teste em dispositivo</w:t>
            </w:r>
          </w:p>
        </w:tc>
      </w:tr>
      <w:tr>
        <w:trPr>
          <w:cantSplit/>
          <w:tblHeader w:val="off"/>
        </w:trPr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RNF-10 Usabilidade</w:t>
            </w:r>
          </w:p>
        </w:tc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Prescrever/publicar, reabrir rascunho, teclado/foco; instruções e confirmações claras</w:t>
            </w:r>
          </w:p>
        </w:tc>
        <w:tc>
          <w:tcPr>
            <w:tcW w:type="dxa" w:w="3214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Rascunho explícito; autosave contínuo ainda não implementado</w:t>
            </w:r>
          </w:p>
        </w:tc>
      </w:tr>
      <w:tr>
        <w:trPr>
          <w:cantSplit/>
          <w:tblHeader w:val="off"/>
        </w:trPr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RNF-11 Feedback visual</w:t>
            </w:r>
          </w:p>
        </w:tc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Erro de rede/validação, estado de envio e sucesso após resposta positiva; sem falso pagamento</w:t>
            </w:r>
          </w:p>
        </w:tc>
        <w:tc>
          <w:tcPr>
            <w:tcW w:type="dxa" w:w="3214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E2E efetivo e capturas conforme relatório</w:t>
            </w:r>
          </w:p>
        </w:tc>
      </w:tr>
      <w:tr>
        <w:trPr>
          <w:cantSplit/>
          <w:tblHeader w:val="off"/>
        </w:trPr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RNF-12 Android/iOS</w:t>
            </w:r>
          </w:p>
        </w:tc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Compilar/instalar em versões definidas, executar armazenamento/upload/chat/treino</w:t>
            </w:r>
          </w:p>
        </w:tc>
        <w:tc>
          <w:tcPr>
            <w:tcW w:type="dxa" w:w="3214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APK Android compilado na CI; fluxo completo em aparelhos e distribuição pendentes. IPA requer Xcode/serviço e credenciais</w:t>
            </w:r>
          </w:p>
        </w:tc>
      </w:tr>
      <w:tr>
        <w:trPr>
          <w:cantSplit/>
          <w:tblHeader w:val="off"/>
        </w:trPr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RNF-13 Navegadores</w:t>
            </w:r>
          </w:p>
        </w:tc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Fluxo em Chromium/Firefox/WebKit; registrar versões e axe</w:t>
            </w:r>
          </w:p>
        </w:tc>
        <w:tc>
          <w:tcPr>
            <w:tcW w:type="dxa" w:w="3214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Engines testados não são automaticamente Edge/Safari reais; leitor de tela exige avaliação própria</w:t>
            </w:r>
          </w:p>
        </w:tc>
      </w:tr>
      <w:tr>
        <w:trPr>
          <w:cantSplit/>
          <w:tblHeader w:val="off"/>
        </w:trPr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RNF-14 REST/OpenAPI</w:t>
            </w:r>
          </w:p>
        </w:tc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Swagger runtime e schemas reais; exemplo inválido devolve campo/erro</w:t>
            </w:r>
          </w:p>
        </w:tc>
        <w:tc>
          <w:tcPr>
            <w:tcW w:type="dxa" w:w="3214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API compartilhada web/nativo, sem segredos no cliente</w:t>
            </w:r>
          </w:p>
        </w:tc>
      </w:tr>
      <w:tr>
        <w:trPr>
          <w:cantSplit/>
          <w:tblHeader w:val="off"/>
        </w:trPr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RNF-15 Idempotência financeira</w:t>
            </w:r>
          </w:p>
        </w:tc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Checkout concorrente, webhook repetido/antigo, timeout e cancelamento incerto; conciliar sem duplicar</w:t>
            </w:r>
          </w:p>
        </w:tc>
        <w:tc>
          <w:tcPr>
            <w:tcW w:type="dxa" w:w="3214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HTTP controlado; repetir em sandbox real antes da ativação</w:t>
            </w:r>
          </w:p>
        </w:tc>
      </w:tr>
      <w:tr>
        <w:trPr>
          <w:cantSplit/>
          <w:tblHeader w:val="off"/>
        </w:trPr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RNF-16 Logs sanitizados</w:t>
            </w:r>
          </w:p>
        </w:tc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Marcadores sensíveis não aparecem em logs públicos; token reset em fragmento, Bearer fora de URL</w:t>
            </w:r>
          </w:p>
        </w:tc>
        <w:tc>
          <w:tcPr>
            <w:tcW w:type="dxa" w:w="3214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Revisão/teste local não substituem monitoramento/auditoria independente</w:t>
            </w:r>
          </w:p>
        </w:tc>
      </w:tr>
    </w:tbl>
    <w:p>
      <w:pPr>
        <w:spacing w:after="50"/>
      </w:pPr>
    </w:p>
    <w:p>
      <w:pPr>
        <w:pStyle w:val="Heading1"/>
        <w:keepNext/>
      </w:pPr>
      <w:r>
        <w:rPr>
          <w:b w:val="false"/>
          <w:bCs w:val="false"/>
        </w:rPr>
        <w:t xml:space="preserve">Regras de negócio preservadas e ajustes</w:t>
      </w:r>
    </w:p>
    <w:p>
      <w:pPr>
        <w:spacing w:after="5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EAF2E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W w:type="dxa" w:w="4819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EAF2E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Regra e implementação</w:t>
            </w:r>
          </w:p>
        </w:tc>
      </w:tr>
      <w:tr>
        <w:trPr>
          <w:cantSplit/>
          <w:tblHeader w:val="off"/>
        </w:trPr>
        <w:tc>
          <w:tcPr>
            <w:tcW w:type="dxa" w:w="4819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RN-01</w:t>
            </w:r>
          </w:p>
        </w:tc>
        <w:tc>
          <w:tcPr>
            <w:tcW w:type="dxa" w:w="4819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Somente treinador aprovado/elegível aparece na descoberta</w:t>
            </w:r>
          </w:p>
        </w:tc>
      </w:tr>
      <w:tr>
        <w:trPr>
          <w:cantSplit/>
          <w:tblHeader w:val="off"/>
        </w:trPr>
        <w:tc>
          <w:tcPr>
            <w:tcW w:type="dxa" w:w="4819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RN-02</w:t>
            </w:r>
          </w:p>
        </w:tc>
        <w:tc>
          <w:tcPr>
            <w:tcW w:type="dxa" w:w="4819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Aprovação registra administrador, horário, origem manual, motivo, prazo e documento quando fornecido</w:t>
            </w:r>
          </w:p>
        </w:tc>
      </w:tr>
      <w:tr>
        <w:trPr>
          <w:cantSplit/>
          <w:tblHeader w:val="off"/>
        </w:trPr>
        <w:tc>
          <w:tcPr>
            <w:tcW w:type="dxa" w:w="4819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RN-03</w:t>
            </w:r>
          </w:p>
        </w:tc>
        <w:tc>
          <w:tcPr>
            <w:tcW w:type="dxa" w:w="4819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Expiração, suspensão e revogação retiram visibilidade e bloqueiam novas ações protegidas</w:t>
            </w:r>
          </w:p>
        </w:tc>
      </w:tr>
      <w:tr>
        <w:trPr>
          <w:cantSplit/>
          <w:tblHeader w:val="off"/>
        </w:trPr>
        <w:tc>
          <w:tcPr>
            <w:tcW w:type="dxa" w:w="4819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RN-04</w:t>
            </w:r>
          </w:p>
        </w:tc>
        <w:tc>
          <w:tcPr>
            <w:tcW w:type="dxa" w:w="4819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Mensalidade em modo Asaas solicita split para carteira elegível; só evento autenticado confirma estado financeiro</w:t>
            </w:r>
          </w:p>
        </w:tc>
      </w:tr>
      <w:tr>
        <w:trPr>
          <w:cantSplit/>
          <w:tblHeader w:val="off"/>
        </w:trPr>
        <w:tc>
          <w:tcPr>
            <w:tcW w:type="dxa" w:w="4819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RN-05</w:t>
            </w:r>
          </w:p>
        </w:tc>
        <w:tc>
          <w:tcPr>
            <w:tcW w:type="dxa" w:w="4819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Administrador configura comissão 0–50% (basis points) e carência 0–30 dias</w:t>
            </w:r>
          </w:p>
        </w:tc>
      </w:tr>
      <w:tr>
        <w:trPr>
          <w:cantSplit/>
          <w:tblHeader w:val="off"/>
        </w:trPr>
        <w:tc>
          <w:tcPr>
            <w:tcW w:type="dxa" w:w="4819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RN-06</w:t>
            </w:r>
          </w:p>
        </w:tc>
        <w:tc>
          <w:tcPr>
            <w:tcW w:type="dxa" w:w="4819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Pendência financeira mantém jobs/eventos e conciliação; carência vencida bloqueia novas interações; resultado incerto não é reemitido cegamente</w:t>
            </w:r>
          </w:p>
        </w:tc>
      </w:tr>
      <w:tr>
        <w:trPr>
          <w:cantSplit/>
          <w:tblHeader w:val="off"/>
        </w:trPr>
        <w:tc>
          <w:tcPr>
            <w:tcW w:type="dxa" w:w="4819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RN-07</w:t>
            </w:r>
          </w:p>
        </w:tc>
        <w:tc>
          <w:tcPr>
            <w:tcW w:type="dxa" w:w="4819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Eventos/chaves de provedor únicos, intenção única por ciclo e lock transacional impedem duplicação local</w:t>
            </w:r>
          </w:p>
        </w:tc>
      </w:tr>
      <w:tr>
        <w:trPr>
          <w:cantSplit/>
          <w:tblHeader w:val="off"/>
        </w:trPr>
        <w:tc>
          <w:tcPr>
            <w:tcW w:type="dxa" w:w="4819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RN-08</w:t>
            </w:r>
          </w:p>
        </w:tc>
        <w:tc>
          <w:tcPr>
            <w:tcW w:type="dxa" w:w="4819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Match considera modalidade, nível, objetivos, orçamento e horários, com razões explícitas</w:t>
            </w:r>
          </w:p>
        </w:tc>
      </w:tr>
      <w:tr>
        <w:trPr>
          <w:cantSplit/>
          <w:tblHeader w:val="off"/>
        </w:trPr>
        <w:tc>
          <w:tcPr>
            <w:tcW w:type="dxa" w:w="4819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RN-09</w:t>
            </w:r>
          </w:p>
        </w:tc>
        <w:tc>
          <w:tcPr>
            <w:tcW w:type="dxa" w:w="4819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Disponibilidade compõe pontuação; não reserva agenda. Recusa não reduz nota. Esta é mudança documentada da redação original</w:t>
            </w:r>
          </w:p>
        </w:tc>
      </w:tr>
      <w:tr>
        <w:trPr>
          <w:cantSplit/>
          <w:tblHeader w:val="off"/>
        </w:trPr>
        <w:tc>
          <w:tcPr>
            <w:tcW w:type="dxa" w:w="4819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RN-10</w:t>
            </w:r>
          </w:p>
        </w:tc>
        <w:tc>
          <w:tcPr>
            <w:tcW w:type="dxa" w:w="4819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Solicitação/decisão e interações persistem; treinamento/retroalimentação automática do match permanece futuro</w:t>
            </w:r>
          </w:p>
        </w:tc>
      </w:tr>
      <w:tr>
        <w:trPr>
          <w:cantSplit/>
          <w:tblHeader w:val="off"/>
        </w:trPr>
        <w:tc>
          <w:tcPr>
            <w:tcW w:type="dxa" w:w="4819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RN-11</w:t>
            </w:r>
          </w:p>
        </w:tc>
        <w:tc>
          <w:tcPr>
            <w:tcW w:type="dxa" w:w="4819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Novas prescrições exigem ciclo ativo e acesso profissional/financeiro válido</w:t>
            </w:r>
          </w:p>
        </w:tc>
      </w:tr>
      <w:tr>
        <w:trPr>
          <w:cantSplit/>
          <w:tblHeader w:val="off"/>
        </w:trPr>
        <w:tc>
          <w:tcPr>
            <w:tcW w:type="dxa" w:w="4819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RN-12</w:t>
            </w:r>
          </w:p>
        </w:tc>
        <w:tc>
          <w:tcPr>
            <w:tcW w:type="dxa" w:w="4819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Métricas respeitam chave, unidade e limites da modalidade; execução é única por ficha</w:t>
            </w:r>
          </w:p>
        </w:tc>
      </w:tr>
      <w:tr>
        <w:trPr>
          <w:cantSplit/>
          <w:tblHeader w:val="off"/>
        </w:trPr>
        <w:tc>
          <w:tcPr>
            <w:tcW w:type="dxa" w:w="4819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RN-13</w:t>
            </w:r>
          </w:p>
        </w:tc>
        <w:tc>
          <w:tcPr>
            <w:tcW w:type="dxa" w:w="4819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Avaliação exige vínculo ativo há sete dias por padrão; uma por ciclo; alteração da configuração precisa ser explicitada</w:t>
            </w:r>
          </w:p>
        </w:tc>
      </w:tr>
      <w:tr>
        <w:trPr>
          <w:cantSplit/>
          <w:tblHeader w:val="off"/>
        </w:trPr>
        <w:tc>
          <w:tcPr>
            <w:tcW w:type="dxa" w:w="4819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RN-14</w:t>
            </w:r>
          </w:p>
        </w:tc>
        <w:tc>
          <w:tcPr>
            <w:tcW w:type="dxa" w:w="4819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Saúde e performance exigem consentimento separado e finalidade, com revogação registrada</w:t>
            </w:r>
          </w:p>
        </w:tc>
      </w:tr>
      <w:tr>
        <w:trPr>
          <w:cantSplit/>
          <w:tblHeader w:val="off"/>
        </w:trPr>
        <w:tc>
          <w:tcPr>
            <w:tcW w:type="dxa" w:w="4819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RN-15</w:t>
            </w:r>
          </w:p>
        </w:tc>
        <w:tc>
          <w:tcPr>
            <w:tcW w:type="dxa" w:w="4819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Conteúdo privado utiliza AES-256-GCM em repouso e HTTPS na implantação configurada; chave fora do Git e preservada no backup</w:t>
            </w:r>
          </w:p>
        </w:tc>
      </w:tr>
      <w:tr>
        <w:trPr>
          <w:cantSplit/>
          <w:tblHeader w:val="off"/>
        </w:trPr>
        <w:tc>
          <w:tcPr>
            <w:tcW w:type="dxa" w:w="4819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RN-16</w:t>
            </w:r>
          </w:p>
        </w:tc>
        <w:tc>
          <w:tcPr>
            <w:tcW w:type="dxa" w:w="4819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Cartão bruto não é coletado/armazenado pela aplicação; meio de pagamento gerenciado pelo checkout hospedado</w:t>
            </w:r>
          </w:p>
        </w:tc>
      </w:tr>
    </w:tbl>
    <w:p>
      <w:pPr>
        <w:spacing w:after="50"/>
      </w:pPr>
    </w:p>
    <w:p>
      <w:pPr>
        <w:pStyle w:val="Heading1"/>
        <w:keepNext/>
      </w:pPr>
      <w:r>
        <w:rPr>
          <w:b w:val="false"/>
          <w:bCs w:val="false"/>
        </w:rPr>
        <w:t xml:space="preserve">Dados e invariantes</w:t>
      </w:r>
    </w:p>
    <w:p>
      <w:pPr>
        <w:spacing w:after="50"/>
      </w:pPr>
    </w:p>
    <w:p>
      <w:pPr>
        <w:widowControl/>
        <w:spacing w:after="100" w:line="260"/>
      </w:pPr>
      <w:r>
        <w:rPr>
          <w:b w:val="false"/>
          <w:bCs w:val="false"/>
        </w:rPr>
        <w:t xml:space="preserve">Migrações cumulativas </w:t>
      </w:r>
      <w:r>
        <w:rPr>
          <w:b w:val="false"/>
          <w:bCs w:val="false"/>
        </w:rPr>
        <w:t xml:space="preserve">001–005 (../../server/db/migrations/)</w:t>
      </w:r>
      <w:r>
        <w:rPr>
          <w:b w:val="false"/>
          <w:bCs w:val="false"/>
        </w:rPr>
        <w:t xml:space="preserve">: usuário/perfil/sessão; verificação/auditoria; ciclos de contrato; treino/blocos/métricas/execução; consents/history/private_health; media/feedback; reset/outbox/privacy/auditoria; messages/notifications/reviews/reports/moderation/consultations/history; billing_settings/wallets/plans/subscriptions/payments/splits/events/jobs/audit. Chaves estrangeiras, índices e unicidade protegem referências, execução, review por ciclo e evento financeiro.</w:t>
      </w:r>
    </w:p>
    <w:p>
      <w:pPr>
        <w:spacing w:after="50"/>
      </w:pPr>
    </w:p>
    <w:p>
      <w:pPr>
        <w:widowControl/>
        <w:spacing w:after="100" w:line="260"/>
      </w:pPr>
      <w:r>
        <w:rPr>
          <w:b w:val="false"/>
          <w:bCs w:val="false"/>
        </w:rPr>
        <w:t xml:space="preserve">Verificação: </w:t>
      </w:r>
      <w:r>
        <w:rPr>
          <w:rFonts w:ascii="Courier New" w:cs="Courier New" w:eastAsia="Courier New" w:hAnsi="Courier New"/>
          <w:b w:val="false"/>
          <w:bCs w:val="false"/>
          <w:sz w:val="18"/>
          <w:szCs w:val="18"/>
        </w:rPr>
        <w:t xml:space="preserve">unsubmitted</w:t>
      </w:r>
      <w:r>
        <w:rPr>
          <w:b w:val="false"/>
          <w:bCs w:val="false"/>
        </w:rPr>
        <w:t xml:space="preserve">, </w:t>
      </w:r>
      <w:r>
        <w:rPr>
          <w:rFonts w:ascii="Courier New" w:cs="Courier New" w:eastAsia="Courier New" w:hAnsi="Courier New"/>
          <w:b w:val="false"/>
          <w:bCs w:val="false"/>
          <w:sz w:val="18"/>
          <w:szCs w:val="18"/>
        </w:rPr>
        <w:t xml:space="preserve">pending</w:t>
      </w:r>
      <w:r>
        <w:rPr>
          <w:b w:val="false"/>
          <w:bCs w:val="false"/>
        </w:rPr>
        <w:t xml:space="preserve">, </w:t>
      </w:r>
      <w:r>
        <w:rPr>
          <w:rFonts w:ascii="Courier New" w:cs="Courier New" w:eastAsia="Courier New" w:hAnsi="Courier New"/>
          <w:b w:val="false"/>
          <w:bCs w:val="false"/>
          <w:sz w:val="18"/>
          <w:szCs w:val="18"/>
        </w:rPr>
        <w:t xml:space="preserve">approved</w:t>
      </w:r>
      <w:r>
        <w:rPr>
          <w:b w:val="false"/>
          <w:bCs w:val="false"/>
        </w:rPr>
        <w:t xml:space="preserve">, </w:t>
      </w:r>
      <w:r>
        <w:rPr>
          <w:rFonts w:ascii="Courier New" w:cs="Courier New" w:eastAsia="Courier New" w:hAnsi="Courier New"/>
          <w:b w:val="false"/>
          <w:bCs w:val="false"/>
          <w:sz w:val="18"/>
          <w:szCs w:val="18"/>
        </w:rPr>
        <w:t xml:space="preserve">rejected</w:t>
      </w:r>
      <w:r>
        <w:rPr>
          <w:b w:val="false"/>
          <w:bCs w:val="false"/>
        </w:rPr>
        <w:t xml:space="preserve">, </w:t>
      </w:r>
      <w:r>
        <w:rPr>
          <w:rFonts w:ascii="Courier New" w:cs="Courier New" w:eastAsia="Courier New" w:hAnsi="Courier New"/>
          <w:b w:val="false"/>
          <w:bCs w:val="false"/>
          <w:sz w:val="18"/>
          <w:szCs w:val="18"/>
        </w:rPr>
        <w:t xml:space="preserve">suspended</w:t>
      </w:r>
      <w:r>
        <w:rPr>
          <w:b w:val="false"/>
          <w:bCs w:val="false"/>
        </w:rPr>
        <w:t xml:space="preserve">, </w:t>
      </w:r>
      <w:r>
        <w:rPr>
          <w:rFonts w:ascii="Courier New" w:cs="Courier New" w:eastAsia="Courier New" w:hAnsi="Courier New"/>
          <w:b w:val="false"/>
          <w:bCs w:val="false"/>
          <w:sz w:val="18"/>
          <w:szCs w:val="18"/>
        </w:rPr>
        <w:t xml:space="preserve">expired</w:t>
      </w:r>
      <w:r>
        <w:rPr>
          <w:b w:val="false"/>
          <w:bCs w:val="false"/>
        </w:rPr>
        <w:t xml:space="preserve">. Contrato: </w:t>
      </w:r>
      <w:r>
        <w:rPr>
          <w:rFonts w:ascii="Courier New" w:cs="Courier New" w:eastAsia="Courier New" w:hAnsi="Courier New"/>
          <w:b w:val="false"/>
          <w:bCs w:val="false"/>
          <w:sz w:val="18"/>
          <w:szCs w:val="18"/>
        </w:rPr>
        <w:t xml:space="preserve">pending</w:t>
      </w:r>
      <w:r>
        <w:rPr>
          <w:b w:val="false"/>
          <w:bCs w:val="false"/>
        </w:rPr>
        <w:t xml:space="preserve">, </w:t>
      </w:r>
      <w:r>
        <w:rPr>
          <w:rFonts w:ascii="Courier New" w:cs="Courier New" w:eastAsia="Courier New" w:hAnsi="Courier New"/>
          <w:b w:val="false"/>
          <w:bCs w:val="false"/>
          <w:sz w:val="18"/>
          <w:szCs w:val="18"/>
        </w:rPr>
        <w:t xml:space="preserve">active</w:t>
      </w:r>
      <w:r>
        <w:rPr>
          <w:b w:val="false"/>
          <w:bCs w:val="false"/>
        </w:rPr>
        <w:t xml:space="preserve">, </w:t>
      </w:r>
      <w:r>
        <w:rPr>
          <w:rFonts w:ascii="Courier New" w:cs="Courier New" w:eastAsia="Courier New" w:hAnsi="Courier New"/>
          <w:b w:val="false"/>
          <w:bCs w:val="false"/>
          <w:sz w:val="18"/>
          <w:szCs w:val="18"/>
        </w:rPr>
        <w:t xml:space="preserve">rejected</w:t>
      </w:r>
      <w:r>
        <w:rPr>
          <w:b w:val="false"/>
          <w:bCs w:val="false"/>
        </w:rPr>
        <w:t xml:space="preserve">, </w:t>
      </w:r>
      <w:r>
        <w:rPr>
          <w:rFonts w:ascii="Courier New" w:cs="Courier New" w:eastAsia="Courier New" w:hAnsi="Courier New"/>
          <w:b w:val="false"/>
          <w:bCs w:val="false"/>
          <w:sz w:val="18"/>
          <w:szCs w:val="18"/>
        </w:rPr>
        <w:t xml:space="preserve">cancelled</w:t>
      </w:r>
      <w:r>
        <w:rPr>
          <w:b w:val="false"/>
          <w:bCs w:val="false"/>
        </w:rPr>
        <w:t xml:space="preserve">, </w:t>
      </w:r>
      <w:r>
        <w:rPr>
          <w:rFonts w:ascii="Courier New" w:cs="Courier New" w:eastAsia="Courier New" w:hAnsi="Courier New"/>
          <w:b w:val="false"/>
          <w:bCs w:val="false"/>
          <w:sz w:val="18"/>
          <w:szCs w:val="18"/>
        </w:rPr>
        <w:t xml:space="preserve">suspended</w:t>
      </w:r>
      <w:r>
        <w:rPr>
          <w:b w:val="false"/>
          <w:bCs w:val="false"/>
        </w:rPr>
        <w:t xml:space="preserve">; índice parcial permite um vigente por par. Treino: </w:t>
      </w:r>
      <w:r>
        <w:rPr>
          <w:rFonts w:ascii="Courier New" w:cs="Courier New" w:eastAsia="Courier New" w:hAnsi="Courier New"/>
          <w:b w:val="false"/>
          <w:bCs w:val="false"/>
          <w:sz w:val="18"/>
          <w:szCs w:val="18"/>
        </w:rPr>
        <w:t xml:space="preserve">draft</w:t>
      </w:r>
      <w:r>
        <w:rPr>
          <w:b w:val="false"/>
          <w:bCs w:val="false"/>
        </w:rPr>
        <w:t xml:space="preserve">/</w:t>
      </w:r>
      <w:r>
        <w:rPr>
          <w:rFonts w:ascii="Courier New" w:cs="Courier New" w:eastAsia="Courier New" w:hAnsi="Courier New"/>
          <w:b w:val="false"/>
          <w:bCs w:val="false"/>
          <w:sz w:val="18"/>
          <w:szCs w:val="18"/>
        </w:rPr>
        <w:t xml:space="preserve">published</w:t>
      </w:r>
      <w:r>
        <w:rPr>
          <w:b w:val="false"/>
          <w:bCs w:val="false"/>
        </w:rPr>
        <w:t xml:space="preserve">. Financeiro: </w:t>
      </w:r>
      <w:r>
        <w:rPr>
          <w:rFonts w:ascii="Courier New" w:cs="Courier New" w:eastAsia="Courier New" w:hAnsi="Courier New"/>
          <w:b w:val="false"/>
          <w:bCs w:val="false"/>
          <w:sz w:val="18"/>
          <w:szCs w:val="18"/>
        </w:rPr>
        <w:t xml:space="preserve">awaiting_payment</w:t>
      </w:r>
      <w:r>
        <w:rPr>
          <w:b w:val="false"/>
          <w:bCs w:val="false"/>
        </w:rPr>
        <w:t xml:space="preserve">, </w:t>
      </w:r>
      <w:r>
        <w:rPr>
          <w:rFonts w:ascii="Courier New" w:cs="Courier New" w:eastAsia="Courier New" w:hAnsi="Courier New"/>
          <w:b w:val="false"/>
          <w:bCs w:val="false"/>
          <w:sz w:val="18"/>
          <w:szCs w:val="18"/>
        </w:rPr>
        <w:t xml:space="preserve">regular</w:t>
      </w:r>
      <w:r>
        <w:rPr>
          <w:b w:val="false"/>
          <w:bCs w:val="false"/>
        </w:rPr>
        <w:t xml:space="preserve">, </w:t>
      </w:r>
      <w:r>
        <w:rPr>
          <w:rFonts w:ascii="Courier New" w:cs="Courier New" w:eastAsia="Courier New" w:hAnsi="Courier New"/>
          <w:b w:val="false"/>
          <w:bCs w:val="false"/>
          <w:sz w:val="18"/>
          <w:szCs w:val="18"/>
        </w:rPr>
        <w:t xml:space="preserve">grace</w:t>
      </w:r>
      <w:r>
        <w:rPr>
          <w:b w:val="false"/>
          <w:bCs w:val="false"/>
        </w:rPr>
        <w:t xml:space="preserve">, </w:t>
      </w:r>
      <w:r>
        <w:rPr>
          <w:rFonts w:ascii="Courier New" w:cs="Courier New" w:eastAsia="Courier New" w:hAnsi="Courier New"/>
          <w:b w:val="false"/>
          <w:bCs w:val="false"/>
          <w:sz w:val="18"/>
          <w:szCs w:val="18"/>
        </w:rPr>
        <w:t xml:space="preserve">suspended</w:t>
      </w:r>
      <w:r>
        <w:rPr>
          <w:b w:val="false"/>
          <w:bCs w:val="false"/>
        </w:rPr>
        <w:t xml:space="preserve">, </w:t>
      </w:r>
      <w:r>
        <w:rPr>
          <w:rFonts w:ascii="Courier New" w:cs="Courier New" w:eastAsia="Courier New" w:hAnsi="Courier New"/>
          <w:b w:val="false"/>
          <w:bCs w:val="false"/>
          <w:sz w:val="18"/>
          <w:szCs w:val="18"/>
        </w:rPr>
        <w:t xml:space="preserve">cancellation_requested</w:t>
      </w:r>
      <w:r>
        <w:rPr>
          <w:b w:val="false"/>
          <w:bCs w:val="false"/>
        </w:rPr>
        <w:t xml:space="preserve">, </w:t>
      </w:r>
      <w:r>
        <w:rPr>
          <w:rFonts w:ascii="Courier New" w:cs="Courier New" w:eastAsia="Courier New" w:hAnsi="Courier New"/>
          <w:b w:val="false"/>
          <w:bCs w:val="false"/>
          <w:sz w:val="18"/>
          <w:szCs w:val="18"/>
        </w:rPr>
        <w:t xml:space="preserve">ended</w:t>
      </w:r>
      <w:r>
        <w:rPr>
          <w:b w:val="false"/>
          <w:bCs w:val="false"/>
        </w:rPr>
        <w:t xml:space="preserve">, </w:t>
      </w:r>
      <w:r>
        <w:rPr>
          <w:rFonts w:ascii="Courier New" w:cs="Courier New" w:eastAsia="Courier New" w:hAnsi="Courier New"/>
          <w:b w:val="false"/>
          <w:bCs w:val="false"/>
          <w:sz w:val="18"/>
          <w:szCs w:val="18"/>
        </w:rPr>
        <w:t xml:space="preserve">uncertain</w:t>
      </w:r>
      <w:r>
        <w:rPr>
          <w:b w:val="false"/>
          <w:bCs w:val="false"/>
        </w:rPr>
        <w:t xml:space="preserve">. Agenda: </w:t>
      </w:r>
      <w:r>
        <w:rPr>
          <w:rFonts w:ascii="Courier New" w:cs="Courier New" w:eastAsia="Courier New" w:hAnsi="Courier New"/>
          <w:b w:val="false"/>
          <w:bCs w:val="false"/>
          <w:sz w:val="18"/>
          <w:szCs w:val="18"/>
        </w:rPr>
        <w:t xml:space="preserve">scheduled</w:t>
      </w:r>
      <w:r>
        <w:rPr>
          <w:b w:val="false"/>
          <w:bCs w:val="false"/>
        </w:rPr>
        <w:t xml:space="preserve">, </w:t>
      </w:r>
      <w:r>
        <w:rPr>
          <w:rFonts w:ascii="Courier New" w:cs="Courier New" w:eastAsia="Courier New" w:hAnsi="Courier New"/>
          <w:b w:val="false"/>
          <w:bCs w:val="false"/>
          <w:sz w:val="18"/>
          <w:szCs w:val="18"/>
        </w:rPr>
        <w:t xml:space="preserve">cancelled</w:t>
      </w:r>
      <w:r>
        <w:rPr>
          <w:b w:val="false"/>
          <w:bCs w:val="false"/>
        </w:rPr>
        <w:t xml:space="preserve">, </w:t>
      </w:r>
      <w:r>
        <w:rPr>
          <w:rFonts w:ascii="Courier New" w:cs="Courier New" w:eastAsia="Courier New" w:hAnsi="Courier New"/>
          <w:b w:val="false"/>
          <w:bCs w:val="false"/>
          <w:sz w:val="18"/>
          <w:szCs w:val="18"/>
        </w:rPr>
        <w:t xml:space="preserve">completed</w:t>
      </w:r>
      <w:r>
        <w:rPr>
          <w:b w:val="false"/>
          <w:bCs w:val="false"/>
        </w:rPr>
        <w:t xml:space="preserve">. Uso de estados não implica comprovação de transação externa.</w:t>
      </w:r>
    </w:p>
    <w:p>
      <w:pPr>
        <w:spacing w:after="50"/>
      </w:pPr>
    </w:p>
    <w:p>
      <w:pPr>
        <w:widowControl/>
        <w:spacing w:after="100" w:line="260"/>
      </w:pPr>
      <w:r>
        <w:rPr>
          <w:b w:val="false"/>
          <w:bCs w:val="false"/>
        </w:rPr>
        <w:t xml:space="preserve">Consultas parametrizadas, validação Zod e autorização por usuário/recurso/estado. Erros: 400 entrada inválida, 401 sessão/credencial, 403 papel/ação, 404 recurso privado alheio, 409 conflito, 413 arquivo, 429 limite, 503 serviço não configurado. Mensagem pública de falha inesperada é genérica. Os </w:t>
      </w:r>
      <w:r>
        <w:rPr>
          <w:b w:val="false"/>
          <w:bCs w:val="false"/>
        </w:rPr>
        <w:t xml:space="preserve">diagramas (diagramas.md)</w:t>
      </w:r>
      <w:r>
        <w:rPr>
          <w:b w:val="false"/>
          <w:bCs w:val="false"/>
        </w:rPr>
        <w:t xml:space="preserve">, </w:t>
      </w:r>
      <w:r>
        <w:rPr>
          <w:b w:val="false"/>
          <w:bCs w:val="false"/>
        </w:rPr>
        <w:t xml:space="preserve">backlog (backlog.md)</w:t>
      </w:r>
      <w:r>
        <w:rPr>
          <w:b w:val="false"/>
          <w:bCs w:val="false"/>
        </w:rPr>
        <w:t xml:space="preserve">, </w:t>
      </w:r>
      <w:r>
        <w:rPr>
          <w:b w:val="false"/>
          <w:bCs w:val="false"/>
        </w:rPr>
        <w:t xml:space="preserve">rastreabilidade (rastreabilidade.md)</w:t>
      </w:r>
      <w:r>
        <w:rPr>
          <w:b w:val="false"/>
          <w:bCs w:val="false"/>
        </w:rPr>
        <w:t xml:space="preserve">, </w:t>
      </w:r>
      <w:r>
        <w:rPr>
          <w:b w:val="false"/>
          <w:bCs w:val="false"/>
        </w:rPr>
        <w:t xml:space="preserve">API (api.md)</w:t>
      </w:r>
      <w:r>
        <w:rPr>
          <w:b w:val="false"/>
          <w:bCs w:val="false"/>
        </w:rPr>
        <w:t xml:space="preserve">, </w:t>
      </w:r>
      <w:r>
        <w:rPr>
          <w:b w:val="false"/>
          <w:bCs w:val="false"/>
        </w:rPr>
        <w:t xml:space="preserve">manual (manual.md)</w:t>
      </w:r>
      <w:r>
        <w:rPr>
          <w:b w:val="false"/>
          <w:bCs w:val="false"/>
        </w:rPr>
        <w:t xml:space="preserve"> e </w:t>
      </w:r>
      <w:r>
        <w:rPr>
          <w:b w:val="false"/>
          <w:bCs w:val="false"/>
        </w:rPr>
        <w:t xml:space="preserve">checklist (checklist-sprint-2.md)</w:t>
      </w:r>
      <w:r>
        <w:rPr>
          <w:b w:val="false"/>
          <w:bCs w:val="false"/>
        </w:rPr>
        <w:t xml:space="preserve"> integram esta ERS.</w:t>
      </w:r>
    </w:p>
    <w:p>
      <w:pPr>
        <w:spacing w:after="50"/>
      </w:pPr>
    </w:p>
    <w:p>
      <w:pPr>
        <w:pStyle w:val="Heading1"/>
        <w:keepNext/>
      </w:pPr>
      <w:r>
        <w:rPr>
          <w:b w:val="false"/>
          <w:bCs w:val="false"/>
        </w:rPr>
        <w:t xml:space="preserve">Revisão de escopo e execução de 15–20/10/2026</w:t>
      </w:r>
    </w:p>
    <w:p>
      <w:pPr>
        <w:spacing w:after="50"/>
      </w:pPr>
    </w:p>
    <w:p>
      <w:pPr>
        <w:widowControl/>
        <w:spacing w:after="100" w:line="260"/>
      </w:pPr>
      <w:r>
        <w:rPr>
          <w:b w:val="false"/>
          <w:bCs w:val="false"/>
        </w:rPr>
        <w:t xml:space="preserve">O roteiro docente define a Sprint 2 entre 21/09 e 26/10/2026. A ERS original previa CREF automático nesta Sprint; a proposta também solicita evolução de IA. A contingência manual auditada e o match por regras são decisões implementadas e aprovadas por Lucca, mas exigem alinhamento docente para substituir esses compromissos originais. PostgreSQL substitui a menção a dois SGBDs; nuvem, iOS/lojas e autosave contínuo têm limites descritos na </w:t>
      </w:r>
      <w:r>
        <w:rPr>
          <w:b w:val="false"/>
          <w:bCs w:val="false"/>
        </w:rPr>
        <w:t xml:space="preserve">revisão dos materiais (revisao-materiais.md)</w:t>
      </w:r>
      <w:r>
        <w:rPr>
          <w:b w:val="false"/>
          <w:bCs w:val="false"/>
        </w:rPr>
        <w:t xml:space="preserve">. Os nove artefatos não comprovam aceitação integral de cada requisito original.</w:t>
      </w:r>
    </w:p>
    <w:p>
      <w:pPr>
        <w:spacing w:after="50"/>
      </w:pPr>
    </w:p>
    <w:p>
      <w:pPr>
        <w:widowControl/>
        <w:spacing w:after="100" w:line="260"/>
      </w:pPr>
      <w:r>
        <w:rPr>
          <w:b w:val="false"/>
          <w:bCs w:val="false"/>
        </w:rPr>
        <w:t xml:space="preserve">O APK de demonstração tem pacote separado e aceita HTTP somente em loopback/endereço do emulador; o perfil normal continua exigindo HTTPS. O túnel USB permite testar o backend local sem publicá-lo. </w:t>
      </w:r>
      <w:r>
        <w:rPr>
          <w:b w:val="false"/>
          <w:bCs w:val="false"/>
        </w:rPr>
        <w:t xml:space="preserve">Manual Android (manual-apk-local.md)</w:t>
      </w:r>
      <w:r>
        <w:rPr>
          <w:b w:val="false"/>
          <w:bCs w:val="false"/>
        </w:rPr>
        <w:t xml:space="preserve">, </w:t>
      </w:r>
      <w:r>
        <w:rPr>
          <w:b w:val="false"/>
          <w:bCs w:val="false"/>
        </w:rPr>
        <w:t xml:space="preserve">dependências externas (servicos-externos-sprint-2.md)</w:t>
      </w:r>
      <w:r>
        <w:rPr>
          <w:b w:val="false"/>
          <w:bCs w:val="false"/>
        </w:rPr>
        <w:t xml:space="preserve"> e </w:t>
      </w:r>
      <w:r>
        <w:rPr>
          <w:b w:val="false"/>
          <w:bCs w:val="false"/>
        </w:rPr>
        <w:t xml:space="preserve">auditoria de bibliotecas (seguranca-dependencias.md)</w:t>
      </w:r>
      <w:r>
        <w:rPr>
          <w:b w:val="false"/>
          <w:bCs w:val="false"/>
        </w:rPr>
        <w:t xml:space="preserve"> registram estados e restrições. A API e os modelos foram confrontados com OpenAPI e metadados reais do banco, sem exportar dados pessoais: </w:t>
      </w:r>
      <w:r>
        <w:rPr>
          <w:b w:val="false"/>
          <w:bCs w:val="false"/>
        </w:rPr>
        <w:t xml:space="preserve">dicionário completo (dicionario-dados.md)</w:t>
      </w:r>
      <w:r>
        <w:rPr>
          <w:b w:val="false"/>
          <w:bCs w:val="false"/>
        </w:rPr>
        <w:t xml:space="preserve">.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5F7168"/>
        <w:sz w:val="17"/>
        <w:szCs w:val="17"/>
      </w:rPr>
      <w:t xml:space="preserve">LinkAtletas · 20/10/2026     </w:t>
    </w:r>
    <w:r>
      <w:rPr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18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72D24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300" w:before="120"/>
    </w:pPr>
    <w:rPr>
      <w:rFonts w:ascii="Arial" w:cs="Arial" w:eastAsia="Arial" w:hAnsi="Arial"/>
      <w:b/>
      <w:bCs/>
      <w:color w:val="112D22"/>
      <w:sz w:val="38"/>
      <w:szCs w:val="38"/>
    </w:rPr>
  </w:style>
  <w:style w:type="paragraph" w:styleId="Heading1">
    <w:name w:val="Heading 1"/>
    <w:basedOn w:val="Normal"/>
    <w:next w:val="Normal"/>
    <w:qFormat/>
    <w:pPr>
      <w:keepNext/>
      <w:spacing w:after="160" w:before="300"/>
      <w:outlineLvl w:val="0"/>
    </w:pPr>
    <w:rPr>
      <w:rFonts w:ascii="Arial" w:cs="Arial" w:eastAsia="Arial" w:hAnsi="Arial"/>
      <w:b/>
      <w:bCs/>
      <w:color w:val="173D2B"/>
      <w:sz w:val="29"/>
      <w:szCs w:val="29"/>
    </w:rPr>
  </w:style>
  <w:style w:type="paragraph" w:styleId="Heading2">
    <w:name w:val="Heading 2"/>
    <w:basedOn w:val="Normal"/>
    <w:next w:val="Normal"/>
    <w:qFormat/>
    <w:pPr>
      <w:keepNext/>
      <w:spacing w:after="120" w:before="220"/>
      <w:outlineLvl w:val="1"/>
    </w:pPr>
    <w:rPr>
      <w:rFonts w:ascii="Arial" w:cs="Arial" w:eastAsia="Arial" w:hAnsi="Arial"/>
      <w:b/>
      <w:bCs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LinkAtletas — Especificação de Requisitos v2</dc:title>
  <dc:creator>Lucca</dc:creator>
  <dc:description>Fonte Markdown versionada junto ao documento.</dc:description>
  <cp:lastModifiedBy>Un-named</cp:lastModifiedBy>
  <cp:revision>1</cp:revision>
  <dcterms:created xsi:type="dcterms:W3CDTF">2026-10-20T23:38:26.067Z</dcterms:created>
  <dcterms:modified xsi:type="dcterms:W3CDTF">2026-10-20T23:38:26.068Z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