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rPr>
          <w:b w:val="false"/>
          <w:bCs w:val="false"/>
        </w:rPr>
        <w:t xml:space="preserve">Relatório de testes — ampliação LinkAtletas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Consolidação revisada em 20/10/2026, com evidências datadas de cada execução; registros de 14–15/10 preservados quando não houve mudança no cenário. Este relatório registra evidência efetivamente produzida; testes escritos, aprovação técnica, build, sandbox e homologação de aparelho são estados distintos. As evidências históricas da Sprint 2 inicial permanecem em </w:t>
      </w:r>
      <w:r>
        <w:rPr>
          <w:b w:val="false"/>
          <w:bCs w:val="false"/>
        </w:rPr>
        <w:t xml:space="preserve">docs/sprint-2/evidencias (../sprint-2/evidencias/)</w:t>
      </w:r>
      <w:r>
        <w:rPr>
          <w:b w:val="false"/>
          <w:bCs w:val="false"/>
        </w:rPr>
        <w:t xml:space="preserve">.</w:t>
      </w:r>
    </w:p>
    <w:p>
      <w:pPr>
        <w:spacing w:after="50"/>
      </w:pPr>
    </w:p>
    <w:p>
      <w:pPr>
        <w:pStyle w:val="Heading1"/>
        <w:keepNext/>
      </w:pPr>
      <w:r>
        <w:rPr>
          <w:b w:val="false"/>
          <w:bCs w:val="false"/>
        </w:rPr>
        <w:t xml:space="preserve">Ambiente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Windows, Node 24.15.0, pnpm 10.33.2, PostgreSQL 17 em Docker; CI reproduzida em runner Ubuntu do GitHub Actions. API Fastify, React web, SeaweedFS S3 privado e Mailpit SMTP locais. Banco de testes termina em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_test</w:t>
      </w:r>
      <w:r>
        <w:rPr>
          <w:b w:val="false"/>
          <w:bCs w:val="false"/>
        </w:rPr>
        <w:t xml:space="preserve">; migrations sequenciais, sem limpeza da base demonstrativa. Dados fictícios. Cliente Expo tem manifesto e lock próprios. Não houve cobrança, abertura de conta financeira ou implantação de site/API públicos. O código foi publicado no GitHub com autorização.</w:t>
      </w:r>
    </w:p>
    <w:p>
      <w:pPr>
        <w:spacing w:after="50"/>
      </w:pPr>
    </w:p>
    <w:p>
      <w:pPr>
        <w:pStyle w:val="Heading1"/>
        <w:keepNext/>
      </w:pPr>
      <w:r>
        <w:rPr>
          <w:b w:val="false"/>
          <w:bCs w:val="false"/>
        </w:rPr>
        <w:t xml:space="preserve">Resultados executados e verificações pendentes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Suíte local Windows: </w:t>
      </w:r>
      <w:r>
        <w:rPr>
          <w:b/>
          <w:bCs/>
        </w:rPr>
        <w:t xml:space="preserve">82/82 Vitest aprovados</w:t>
      </w:r>
      <w:r>
        <w:rPr>
          <w:b w:val="false"/>
          <w:bCs w:val="false"/>
        </w:rPr>
        <w:t xml:space="preserve">, nenhuma falha, conforme </w:t>
      </w:r>
      <w:r>
        <w:rPr>
          <w:b w:val="false"/>
          <w:bCs w:val="false"/>
        </w:rPr>
        <w:t xml:space="preserve">JSON gerado (evidencias/vitest-results.json)</w:t>
      </w:r>
      <w:r>
        <w:rPr>
          <w:b w:val="false"/>
          <w:bCs w:val="false"/>
        </w:rPr>
        <w:t xml:space="preserve">. Na CI Ubuntu, </w:t>
      </w:r>
      <w:r>
        <w:rPr>
          <w:b/>
          <w:bCs/>
        </w:rPr>
        <w:t xml:space="preserve">15/15 E2E aprovados</w:t>
      </w:r>
      <w:r>
        <w:rPr>
          <w:b w:val="false"/>
          <w:bCs w:val="false"/>
        </w:rPr>
        <w:t xml:space="preserve"> — cinco cenários em cada motor Chromium, Firefox e WebKit — sem falhas/retries, conforme </w:t>
      </w:r>
      <w:r>
        <w:rPr>
          <w:b w:val="false"/>
          <w:bCs w:val="false"/>
        </w:rPr>
        <w:t xml:space="preserve">Playwright JSON (evidencias/playwright-results.json)</w:t>
      </w:r>
      <w:r>
        <w:rPr>
          <w:b w:val="false"/>
          <w:bCs w:val="false"/>
        </w:rPr>
        <w:t xml:space="preserve">. O cliente nativo possui 21 testes de transporte/configuração separados; suas verificações não substituem homologação em aparelho.</w:t>
      </w:r>
    </w:p>
    <w:p>
      <w:pPr>
        <w:spacing w:after="5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cantSplit/>
          <w:tblHeader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Camada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Cenários implementados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Estado desta revisão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Match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matching.test.ts (../../tests/unit/matching.test.ts): pesos/elegibilidade/cidade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13/13 aprovados no JSON consolidado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API original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api.test.ts (../../tests/integration/api.test.ts): conta/perfil/vínculo/treino/propriedade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20/20 aprovados; evidência inicial preservada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Criptografia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crypto.test.ts (../../tests/unit/crypto.test.ts): roundtrip, integridade e IV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2/2 aprovados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Plataforma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platform.test.ts (../../tests/integration/platform.test.ts): consentimento, SQL/S3 cifrados, mídia, recuperação SMTP, sessão nativa, expiração e exclusão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10/10 aprovados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Comunicação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interactions.test.ts (../../tests/integration/interactions.test.ts): persistência/WS/leitura/isolações/reviews/agenda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13/13 aprovados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Financeiro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billing.test.ts (../../tests/integration/billing.test.ts): contrato HTTP, duplicata, evento/timeout/conciliação/acesso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14/14 aprovados; nenhum sandbox real do Asaas foi utilizado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Concorrência e privacidade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privacy-races.test.ts (../../tests/integration/privacy-races.test.ts): perfil, sessão e feedback durante eliminação/troca de senha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3/3 aprovados; bloqueios reais PostgreSQL, sem sleeps usados como prova de ordenação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Arquivos públicos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static-security.test.ts (../../tests/unit/static-security.test.ts): acesso normal e tentativa de sair da raiz estática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5/5 aprovados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Chave de backup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backup-key.test.ts (../../tests/unit/backup-key.test.ts): variável vazia e chave inválida, preservando o arquivo original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2/2 aprovados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Tipos web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pnpm exec tsc -p tsconfig.app.json --noEmit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Passou após integração das novas telas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Navegador e acessibilidade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Fluxo ampliado, 390/1440, três motores e axe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15 E2E aprovados; seis telas por motor sem violações nas regras automáticas WCAG 2 A/AA e 2.1 A/AA: Chromium (evidencias/chromium-axe.json), Firefox (evidencias/firefox-axe.json), WebKit (evidencias/webkit-axe.json)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App Expo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Tipos, dependências, Doctor, transporte, Hermes Android/iOS e compilação APK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Passaram: verificação detalhada (evidencias/mobile-verificacao.md), 21/21 transporte/configuração (evidencias/mobile-tests.json), hashes dos bundles (evidencias/mobile-bundles.json) e build APK remoto (evidencias/github-android-build.json). Ensaio integrado no emulador registrado abaixo; aparelho físico e IPA pendentes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APK em emulador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Instalação e abertura da tela de login no Android API 35 x86_64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Passou (evidencias/android-emulator-result.json), captura real (evidencias/android-emulator-startup.png) e run remoto (https://github.com/DaviSouza78/LinkAtletas/actions/runs/38675093814). Registro histórico de inicialização do APK documental; o perfil local com backend real tem ensaio próprio. Aparelho físico não validado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TLS local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Container/HTTPS, banco, autenticação, origem e reinício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TLS 1.3 (evidencias/production-tls.json): CA explícita, cookie Secure/HttpOnly, HTTP 200/201, mutation sem Origin 403 e sessão/perfil preservados após reinício da aplicação; sem trust global/domínio público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Backup/restauração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Banco e S3 cifrados em destinos isolados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36 tabelas e checksums iguais (evidencias/backup-restore.json), roundtrip de campo/mídia e dump sem texto claro; worker privado (evidencias/private-network-backup.json)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Carga do match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500 treinadores sintéticos, 200 chamadas HTTP, concorrência 10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Medição (evidencias/carga-matchmaking.json): 200 respostas 200, p50 78,54 ms, p95 97,78 ms, p99 132,54 ms; não extrapolar nuvem/escala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CI e build final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Instalação, tipos/build, Vitest, backup, browsers/axe, Expo e TLS/reinício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Tipos/build locais aprovados (evidencias/verificacao-build.txt); CI completa aprovada na revisão (https://github.com/DaviSouza78/LinkAtletas/actions/runs/39506459529), registro remoto (evidencias/github-ci-revisao.json)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Documentação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Links relativos e OpenAPI runtime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Conferência reproduzível (evidencias/documentation-check.json), sem links quebrados; ERS/relatório DOCX validados e PDFs renderizados pelo LibreOffice</w:t>
            </w:r>
          </w:p>
        </w:tc>
      </w:tr>
    </w:tbl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Contagens acima foram conferidas em arquivos de resultado, não inferidas apenas da existência de cenários. Falhas de tentativas anteriores não substituem o resultado final; correções e limites permanecem explícitos. O manifesto de backup registra necessidade de pausar escritas em operação, pois não existe transação distribuída banco/objetos.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Na finalização de 15/10, o cenário de chat passou a forçar o fechamento atrasado da conexão descartada pelo StrictMode depois de aberta a conexão válida. O indicador permaneceu conectado e a troca real de mensagens foi verificada nos três motores. A </w:t>
      </w:r>
      <w:hyperlink w:history="1" r:id="rIdchhl_wrmujlvqepe-tawh">
        <w:r>
          <w:rPr>
            <w:rStyle w:val="Hyperlink"/>
          </w:rPr>
          <w:t xml:space="preserve">CI após a correção</w:t>
        </w:r>
      </w:hyperlink>
      <w:r>
        <w:rPr>
          <w:b w:val="false"/>
          <w:bCs w:val="false"/>
        </w:rPr>
        <w:t xml:space="preserve"> aprovou novamente todas as etapas; </w:t>
      </w:r>
      <w:r>
        <w:rPr>
          <w:b w:val="false"/>
          <w:bCs w:val="false"/>
        </w:rPr>
        <w:t xml:space="preserve">registro remoto (evidencias/github-ci-finalizacao.json)</w:t>
      </w:r>
      <w:r>
        <w:rPr>
          <w:b w:val="false"/>
          <w:bCs w:val="false"/>
        </w:rPr>
        <w:t xml:space="preserve">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No E2E,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REVIEW_MIN_DAYS=0</w:t>
      </w:r>
      <w:r>
        <w:rPr>
          <w:b w:val="false"/>
          <w:bCs w:val="false"/>
        </w:rPr>
        <w:t xml:space="preserve"> permite avaliar o vínculo recém-criado; os testes da API verificam a regra padrão de sete dias. SMTP e S3 são serviços locais reais. O teste de transporte Expo controla os módulos nativos e não executa Keychain/Keystore real. A auditoria axe não incluiu telas administrativas ou uma avaliação manual completa de leitores de tela. Os testes de concorrência reproduzem requisições já autenticadas enquanto o banco mantém um bloqueio e confirmam a resposta após a eliminação/troca concorrente.</w:t>
      </w:r>
    </w:p>
    <w:p>
      <w:pPr>
        <w:spacing w:after="50"/>
      </w:pPr>
    </w:p>
    <w:p>
      <w:pPr>
        <w:pStyle w:val="Heading1"/>
        <w:keepNext/>
      </w:pPr>
      <w:r>
        <w:rPr>
          <w:b w:val="false"/>
          <w:bCs w:val="false"/>
        </w:rPr>
        <w:t xml:space="preserve">Controles examinados pelos testes de API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Credenciais e token não aparecem em URL de WebSocket. Reset guarda hash e expiração, token usado uma vez e sessões anteriores revogadas; e-mail capturado por Mailpit. S3 privado recebe ciphertext e download autorizado recupera bytes originais; consentimento negado/revogado, assinatura falsa e terceiro falham. SQL de saúde, mensagem, descrição de consultoria e execução não conserva conteúdo privado em claro. Conferência profissional expira/suspende e remove descoberta com auditoria.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Chat persiste depois de recriar API, pagina sem perder/duplicar mensagens, comunica duas sessões e nega upgrade anônimo/origem indevida. Reviews exigem prazo e titularidade, preservam uma por ciclo, resposta pelo treinador correto e ocultação retira conteúdo/média. Agenda protege conflitos entre diferentes vínculos, horários e histórico. Financeiro usa servidor HTTP controlado, verifica cabeçalho de autenticação e minimização; duplicatas, eventos antigos, timeouts e cancelamento incerto não viram cobrança nova ou confirmação falsa.</w:t>
      </w:r>
    </w:p>
    <w:p>
      <w:pPr>
        <w:spacing w:after="50"/>
      </w:pPr>
    </w:p>
    <w:p>
      <w:pPr>
        <w:pStyle w:val="Heading1"/>
        <w:keepNext/>
      </w:pPr>
      <w:r>
        <w:rPr>
          <w:b w:val="false"/>
          <w:bCs w:val="false"/>
        </w:rPr>
        <w:t xml:space="preserve">Reprodução</w:t>
      </w:r>
    </w:p>
    <w:p>
      <w:pPr>
        <w:spacing w:after="50"/>
      </w:pPr>
    </w:p>
    <w:p>
      <w:pPr>
        <w:spacing w:after="20"/>
      </w:pPr>
      <w:r>
        <w:rPr>
          <w:rFonts w:ascii="Courier New" w:cs="Courier New" w:eastAsia="Courier New" w:hAnsi="Courier New"/>
          <w:sz w:val="17"/>
          <w:szCs w:val="17"/>
        </w:rPr>
        <w:t xml:space="preserve">docker compose up -d --wait</w:t>
      </w:r>
    </w:p>
    <w:p>
      <w:pPr>
        <w:spacing w:after="20"/>
      </w:pPr>
      <w:r>
        <w:rPr>
          <w:rFonts w:ascii="Courier New" w:cs="Courier New" w:eastAsia="Courier New" w:hAnsi="Courier New"/>
          <w:sz w:val="17"/>
          <w:szCs w:val="17"/>
        </w:rPr>
        <w:t xml:space="preserve">pnpm db:migrate</w:t>
      </w:r>
    </w:p>
    <w:p>
      <w:pPr>
        <w:spacing w:after="20"/>
      </w:pPr>
      <w:r>
        <w:rPr>
          <w:rFonts w:ascii="Courier New" w:cs="Courier New" w:eastAsia="Courier New" w:hAnsi="Courier New"/>
          <w:sz w:val="17"/>
          <w:szCs w:val="17"/>
        </w:rPr>
        <w:t xml:space="preserve">pnpm typecheck</w:t>
      </w:r>
    </w:p>
    <w:p>
      <w:pPr>
        <w:spacing w:after="20"/>
      </w:pPr>
      <w:r>
        <w:rPr>
          <w:rFonts w:ascii="Courier New" w:cs="Courier New" w:eastAsia="Courier New" w:hAnsi="Courier New"/>
          <w:sz w:val="17"/>
          <w:szCs w:val="17"/>
        </w:rPr>
        <w:t xml:space="preserve">pnpm test</w:t>
      </w:r>
    </w:p>
    <w:p>
      <w:pPr>
        <w:spacing w:after="20"/>
      </w:pPr>
      <w:r>
        <w:rPr>
          <w:rFonts w:ascii="Courier New" w:cs="Courier New" w:eastAsia="Courier New" w:hAnsi="Courier New"/>
          <w:sz w:val="17"/>
          <w:szCs w:val="17"/>
        </w:rPr>
        <w:t xml:space="preserve">pnpm build</w:t>
      </w:r>
    </w:p>
    <w:p>
      <w:pPr>
        <w:spacing w:after="20"/>
      </w:pPr>
      <w:r>
        <w:rPr>
          <w:rFonts w:ascii="Courier New" w:cs="Courier New" w:eastAsia="Courier New" w:hAnsi="Courier New"/>
          <w:sz w:val="17"/>
          <w:szCs w:val="17"/>
        </w:rPr>
        <w:t xml:space="preserve">pnpm exec playwright install chromium firefox webkit</w:t>
      </w:r>
    </w:p>
    <w:p>
      <w:pPr>
        <w:spacing w:after="20"/>
      </w:pPr>
      <w:r>
        <w:rPr>
          <w:rFonts w:ascii="Courier New" w:cs="Courier New" w:eastAsia="Courier New" w:hAnsi="Courier New"/>
          <w:sz w:val="17"/>
          <w:szCs w:val="17"/>
        </w:rPr>
        <w:t xml:space="preserve">pnpm test:e2e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Não execute integração Vitest e E2E simultaneamente no mesmo banco de teste. Configuração final do E2E define portas e diretório de evidência; conferir arquivo de configuração antes de executar. Manual do cliente e operação estão em </w:t>
      </w:r>
      <w:r>
        <w:rPr>
          <w:b w:val="false"/>
          <w:bCs w:val="false"/>
        </w:rPr>
        <w:t xml:space="preserve">manual.md (manual.md)</w:t>
      </w:r>
      <w:r>
        <w:rPr>
          <w:b w:val="false"/>
          <w:bCs w:val="false"/>
        </w:rPr>
        <w:t xml:space="preserve">.</w:t>
      </w:r>
    </w:p>
    <w:p>
      <w:pPr>
        <w:spacing w:after="50"/>
      </w:pPr>
    </w:p>
    <w:p>
      <w:pPr>
        <w:pStyle w:val="Heading1"/>
        <w:keepNext/>
      </w:pPr>
      <w:r>
        <w:rPr>
          <w:b w:val="false"/>
          <w:bCs w:val="false"/>
        </w:rPr>
        <w:t xml:space="preserve">Homologações externas pendentes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Asaas sandbox real, split/repasse de carteira real, CREF autorizado, SMTP externo, S3 hospedado, domínio público, stores e fluxo completo em aparelhos Android/iOS. Google OAuth/Agenda/Meet reais também não foram exercitados. Axe não substitui ensaio com leitor de tela ou revisão integral WCAG. WebKit não comprova Safari real; Chromium não comprova Edge real. Carga local não comprova autoescala em nuvem. Veja </w:t>
      </w:r>
      <w:r>
        <w:rPr>
          <w:b w:val="false"/>
          <w:bCs w:val="false"/>
        </w:rPr>
        <w:t xml:space="preserve">publicação e APK (publicacao.md)</w:t>
      </w:r>
      <w:r>
        <w:rPr>
          <w:b w:val="false"/>
          <w:bCs w:val="false"/>
        </w:rPr>
        <w:t xml:space="preserve"> e </w:t>
      </w:r>
      <w:r>
        <w:rPr>
          <w:b w:val="false"/>
          <w:bCs w:val="false"/>
        </w:rPr>
        <w:t xml:space="preserve">pendências humanas (pendencias-lucca.md)</w:t>
      </w:r>
      <w:r>
        <w:rPr>
          <w:b w:val="false"/>
          <w:bCs w:val="false"/>
        </w:rPr>
        <w:t xml:space="preserve">.</w:t>
      </w:r>
    </w:p>
    <w:p>
      <w:pPr>
        <w:spacing w:after="50"/>
      </w:pPr>
    </w:p>
    <w:p>
      <w:pPr>
        <w:pStyle w:val="Heading1"/>
        <w:keepNext/>
      </w:pPr>
      <w:r>
        <w:rPr>
          <w:b w:val="false"/>
          <w:bCs w:val="false"/>
        </w:rPr>
        <w:t xml:space="preserve">Revisão técnica e documental de 15–20/10/2026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A </w:t>
      </w:r>
      <w:r>
        <w:rPr>
          <w:b w:val="false"/>
          <w:bCs w:val="false"/>
        </w:rPr>
        <w:t xml:space="preserve">CI mais recente no commit b931e44 (evidencias/github-ci-revisao-mais-recente.json)</w:t>
      </w:r>
      <w:r>
        <w:rPr>
          <w:b w:val="false"/>
          <w:bCs w:val="false"/>
        </w:rPr>
        <w:t xml:space="preserve"> também passou integralmente: </w:t>
      </w:r>
      <w:hyperlink w:history="1" r:id="rId0ez5thcubtnuc-99nmici">
        <w:r>
          <w:rPr>
            <w:rStyle w:val="Hyperlink"/>
          </w:rPr>
          <w:t xml:space="preserve">run 39508144201</w:t>
        </w:r>
      </w:hyperlink>
      <w:r>
        <w:rPr>
          <w:b w:val="false"/>
          <w:bCs w:val="false"/>
        </w:rPr>
        <w:t xml:space="preserve">. As capturas consolidadas dos browsers e provas SQL/S3/TLS continuam identificadas pela execução aprovada 39506459529; ambas contêm as mesmas contagens de testes.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O </w:t>
      </w:r>
      <w:r>
        <w:rPr>
          <w:b w:val="false"/>
          <w:bCs w:val="false"/>
        </w:rPr>
        <w:t xml:space="preserve">ambiente local (evidencias/ambiente-local-revisado.json)</w:t>
      </w:r>
      <w:r>
        <w:rPr>
          <w:b w:val="false"/>
          <w:bCs w:val="false"/>
        </w:rPr>
        <w:t xml:space="preserve"> foi recuperado preservando containers, volumes e chave. Os sockets transitórios inválidos voltaram a impedir a partida após nova sessão do Windows; ambos os diretórios de runtime foram preservados e recriados em 20/10. Não foi realizado reset de fábrica. Os 82 testes passaram novamente com os serviços saudáveis e Vitest 4.1.11. O primeiro ensaio dessa retomada encontrou o banco ainda desligado e foi descartado; sua falha não foi contada como teste aprovado.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Os 15 E2E de 15/10 foram repetidos após a atualização dos plugins HTTP e passaram sem retry; a execução aprovada substitui o relatório parcial de uma tentativa interrompida. O cliente Expo 57.0.30 passou em 21 testes, tipos, dependências, Doctor 21/21 e exportação Hermes (613 módulos Android e 599 iOS). </w:t>
      </w:r>
      <w:r>
        <w:rPr>
          <w:b w:val="false"/>
          <w:bCs w:val="false"/>
        </w:rPr>
        <w:t xml:space="preserve">Hashes dos bundles (evidencias/mobile-bundles.json)</w:t>
      </w:r>
      <w:r>
        <w:rPr>
          <w:b w:val="false"/>
          <w:bCs w:val="false"/>
        </w:rPr>
        <w:t xml:space="preserve"> não equivalem a IPA ou homologação física.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A auditoria completa das dependências de produção e desenvolvimento retornou zero alertas na raiz e dois alertas altos sem correção oficial nas ferramentas transitivas do Expo: </w:t>
      </w:r>
      <w:r>
        <w:rPr>
          <w:b w:val="false"/>
          <w:bCs w:val="false"/>
        </w:rPr>
        <w:t xml:space="preserve">resultado (evidencias/auditoria-dependencias.json)</w:t>
      </w:r>
      <w:r>
        <w:rPr>
          <w:b w:val="false"/>
          <w:bCs w:val="false"/>
        </w:rPr>
        <w:t xml:space="preserve">, </w:t>
      </w:r>
      <w:r>
        <w:rPr>
          <w:b w:val="false"/>
          <w:bCs w:val="false"/>
        </w:rPr>
        <w:t xml:space="preserve">exposição e tratamento (seguranca-dependencias.md)</w:t>
      </w:r>
      <w:r>
        <w:rPr>
          <w:b w:val="false"/>
          <w:bCs w:val="false"/>
        </w:rPr>
        <w:t xml:space="preserve">. Não foram suprimidos avisos. O perfil normal Android foi pré-gerado com tráfego claro desabilitado e sem exceção local; o perfil de demonstração permite apenas três destinos locais explícitos.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A </w:t>
      </w:r>
      <w:r>
        <w:rPr>
          <w:b w:val="false"/>
          <w:bCs w:val="false"/>
        </w:rPr>
        <w:t xml:space="preserve">revisão dos materiais (revisao-materiais.md)</w:t>
      </w:r>
      <w:r>
        <w:rPr>
          <w:b w:val="false"/>
          <w:bCs w:val="false"/>
        </w:rPr>
        <w:t xml:space="preserve"> preserva os originais e identifica ajustes de escopo que exigem alinhamento docente. Os modelos foram conferidos automaticamente contra 36 tabelas/257 colunas/45 FKs, 16 casos de uso únicos e 11 chamadas das sequências/OpenAPI, sem exportar dados de usuários.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Na CI de 20/10, a regressão do socket descartado falhou no WebKit porque esse navegador pode não emitir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close</w:t>
      </w:r>
      <w:r>
        <w:rPr>
          <w:b w:val="false"/>
          <w:bCs w:val="false"/>
        </w:rPr>
        <w:t xml:space="preserve"> quando a conexão é abortada antes de abrir. O ensaio agora injeta explicitamente o callback atrasado após abrir a conexão válida, mantendo o transporte real; a asserção não foi removida. A prontidão do E2E passou a consultar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/api/health</w:t>
      </w:r>
      <w:r>
        <w:rPr>
          <w:b w:val="false"/>
          <w:bCs w:val="false"/>
        </w:rPr>
        <w:t xml:space="preserve"> através do proxy web, evitando iniciar a primeira requisição quando somente o Vite já estava disponível.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No Windows, a jornada WebKit com três contextos concluiu individualmente suas ações, mas somou 80 segundos apenas nos cadastros/perfis e atingiu o limite global de 90 segundos durante a aprovação. O limite dessa única jornada nesse sistema foi ajustado para 180 segundos; os limites por ação (15 s), por asserção (10 s) e a ausência de retries foram preservados. O trace não mostrou falha de API nessa tentativa. A CI Ubuntu executou a jornada completa e os outros 14 cenários sem esse ajuste de plataforma.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A jornada multiperfil do WebKit voltou a passar no Windows, em 2,7 minutos, com o orçamento total ajustado e os limites por ação preservados: </w:t>
      </w:r>
      <w:r>
        <w:rPr>
          <w:b w:val="false"/>
          <w:bCs w:val="false"/>
        </w:rPr>
        <w:t xml:space="preserve">resultado do cenário isolado (evidencias/webkit-windows-fluxo.json)</w:t>
      </w:r>
      <w:r>
        <w:rPr>
          <w:b w:val="false"/>
          <w:bCs w:val="false"/>
        </w:rPr>
        <w:t xml:space="preserve">. O Chrome instalado neste computador também abriu a interface em 1440/390 sem overflow ou erro JavaScript e alcançou a API pelo proxy: </w:t>
      </w:r>
      <w:r>
        <w:rPr>
          <w:b w:val="false"/>
          <w:bCs w:val="false"/>
        </w:rPr>
        <w:t xml:space="preserve">smoke local (evidencias/chrome-local-smoke.json)</w:t>
      </w:r>
      <w:r>
        <w:rPr>
          <w:b w:val="false"/>
          <w:bCs w:val="false"/>
        </w:rPr>
        <w:t xml:space="preserve">. Esse smoke de Chrome não substitui os fluxos completos executados nas três engines.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F7168"/>
        <w:sz w:val="17"/>
        <w:szCs w:val="17"/>
      </w:rPr>
      <w:t xml:space="preserve">LinkAtletas · 20/10/2026     </w:t>
    </w:r>
    <w:r>
      <w:rPr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72D24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300" w:before="120"/>
    </w:pPr>
    <w:rPr>
      <w:rFonts w:ascii="Arial" w:cs="Arial" w:eastAsia="Arial" w:hAnsi="Arial"/>
      <w:b/>
      <w:bCs/>
      <w:color w:val="112D22"/>
      <w:sz w:val="38"/>
      <w:szCs w:val="38"/>
    </w:rPr>
  </w:style>
  <w:style w:type="paragraph" w:styleId="Heading1">
    <w:name w:val="Heading 1"/>
    <w:basedOn w:val="Normal"/>
    <w:next w:val="Normal"/>
    <w:qFormat/>
    <w:pPr>
      <w:keepNext/>
      <w:spacing w:after="160" w:before="300"/>
      <w:outlineLvl w:val="0"/>
    </w:pPr>
    <w:rPr>
      <w:rFonts w:ascii="Arial" w:cs="Arial" w:eastAsia="Arial" w:hAnsi="Arial"/>
      <w:b/>
      <w:bCs/>
      <w:color w:val="173D2B"/>
      <w:sz w:val="29"/>
      <w:szCs w:val="29"/>
    </w:rPr>
  </w:style>
  <w:style w:type="paragraph" w:styleId="Heading2">
    <w:name w:val="Heading 2"/>
    <w:basedOn w:val="Normal"/>
    <w:next w:val="Normal"/>
    <w:qFormat/>
    <w:pPr>
      <w:keepNext/>
      <w:spacing w:after="120" w:before="220"/>
      <w:outlineLvl w:val="1"/>
    </w:pPr>
    <w:rPr>
      <w:rFonts w:ascii="Arial" w:cs="Arial" w:eastAsia="Arial" w:hAnsi="Arial"/>
      <w:b/>
      <w:bCs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chhl_wrmujlvqepe-tawh" Type="http://schemas.openxmlformats.org/officeDocument/2006/relationships/hyperlink" Target="https://github.com/DaviSouza78/LinkAtletas/actions/runs/38675094079" TargetMode="External"/><Relationship Id="rId0ez5thcubtnuc-99nmici" Type="http://schemas.openxmlformats.org/officeDocument/2006/relationships/hyperlink" Target="https://github.com/DaviSouza78/LinkAtletas/actions/runs/39508144201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LinkAtletas — Relatório de testes</dc:title>
  <dc:creator>Lucca</dc:creator>
  <dc:description>Fonte Markdown versionada junto ao documento.</dc:description>
  <cp:lastModifiedBy>Un-named</cp:lastModifiedBy>
  <cp:revision>1</cp:revision>
  <dcterms:created xsi:type="dcterms:W3CDTF">2026-10-20T23:38:26.160Z</dcterms:created>
  <dcterms:modified xsi:type="dcterms:W3CDTF">2026-10-20T23:38:26.160Z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