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b w:val="false"/>
          <w:bCs w:val="false"/>
        </w:rPr>
        <w:t xml:space="preserve">ERS v2.4 — LinkAtletas — ampliação da Sprint 2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Data da revisão: 24/10/2026. Responsável pela revisão: Lucca Castilho Costa, com autoria Git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Lucca &lt;luccacc.contato@gmail.com&gt;</w:t>
      </w:r>
      <w:r>
        <w:rPr>
          <w:b w:val="false"/>
          <w:bCs w:val="false"/>
        </w:rPr>
        <w:t xml:space="preserve">. Demanda SAGA nº 12871, Ivi-it; Projeto Integrador Interdisciplinar II, ADS/SENAI Félix Guisard. Prazo informado para a Sprint 2: 26/10/2026. O escopo desta versão é definido pela equipe; a conferência manual de CREF é o procedimento vigente.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Histórico e fontes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00"/>
        <w:gridCol w:w="5700"/>
        <w:gridCol w:w="1938"/>
      </w:tblGrid>
      <w:tr>
        <w:trPr>
          <w:cantSplit/>
          <w:tblHeader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Data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Versão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Descrição da revisão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Autor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21/08/2026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ERS original da Sprint 1 (../referencias/ERS-Sprint-1-original.pdf): 24 RF especificados, 16 RNF e 16 RN; documento e template preservados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Equipe LinkAtletas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14/10/2026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1.1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Incremento web inicial (../sprint-2/ERS-v1.1.md): API, PostgreSQL, fluxo esportivo integrado e cenários de verificação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14/10/2026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2.0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Ampliação (../superpowers/specs/2026-10-14-expansao-completa-design.md): comunicação, mídia, privacidade, recuperação, ciclos, financeiro e cliente nativo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21/10/2026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2.1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das revisões de 15–21/10: modelos físicos conferidos, correções de privacidade/backup/upload, perfil Android local, 18 etapas do APK, publicação e evidências de testes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23/10/2026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2.2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RF-04 e UC-02 adequados à conferência manual de CREF; atualização de critérios, limites externos, Eletiva I, publicação e histórico de revisões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23/10/2026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2.3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das decisões de escopo pela equipe, retirada das pendências de aceite docente e preparação de cópia atualizada no template original, preservando a fonte da Sprint 1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24/10/2026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2.4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Aplicação da auditoria: requisitos integrados ao corpo, cenários e limites corrigidos, 16 casos de teste rastreáveis, figuras atuais, cronograma, sumário e retirada dos apêndices duplicados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</w:tbl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As datas históricas seguem as versões preservadas e a consolidação registrada no Git. O autor da versão original permanece coletivo, sem atribuir individualmente alterações não identificadas. Esta fonte mantém o conteúdo atualizado e o histórico utilizado na cópia do template original.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Documento de apresentação: </w:t>
      </w:r>
      <w:r>
        <w:rPr>
          <w:b w:val="false"/>
          <w:bCs w:val="false"/>
        </w:rPr>
        <w:t xml:space="preserve">PDF atualizado no template original (ERS-template-original-atualizada.pdf)</w:t>
      </w:r>
      <w:r>
        <w:rPr>
          <w:b w:val="false"/>
          <w:bCs w:val="false"/>
        </w:rPr>
        <w:t xml:space="preserve">, com </w:t>
      </w:r>
      <w:r>
        <w:rPr>
          <w:b w:val="false"/>
          <w:bCs w:val="false"/>
        </w:rPr>
        <w:t xml:space="preserve">método e limites de preservação (template/README.md)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texto das seções repaginadas (ERS-template-original.md)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correções aplicadas (revisao-ers-aplicada-2026-10-24.md)</w:t>
      </w:r>
      <w:r>
        <w:rPr>
          <w:b w:val="false"/>
          <w:bCs w:val="false"/>
        </w:rPr>
        <w:t xml:space="preserve">. A fonte original da Sprint 1 permanece intacta. O PDF integra o conteúdo nos capítulos 1–6, desenvolve a seção de testes e mantém o título 7 sem duplicar a especificação.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Outras fontes: </w:t>
      </w:r>
      <w:r>
        <w:rPr>
          <w:b w:val="false"/>
          <w:bCs w:val="false"/>
        </w:rPr>
        <w:t xml:space="preserve">proposta da demanda (../referencias/Proposta-inicial-original.pdf)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roteiro dos professores (../referencias/Roteiro-professores-original.pdf)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plano de execução (../superpowers/plans/2026-10-14-expansao-completa.md)</w:t>
      </w:r>
      <w:r>
        <w:rPr>
          <w:b w:val="false"/>
          <w:bCs w:val="false"/>
        </w:rPr>
        <w:t xml:space="preserve">. O cronograma da ERS original cita RF-25–32 sem detalhá-los; esta revisão mantém RF-01–24 e identifica novos requisitos com prefixo RF-A, sem inventar o conteúdo original ausente. PostgreSQL é o único banco relacional desta implementação.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Objetivo, atores e escopo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Conectar atletas a treinadores com preferências compatíveis, acompanhar o treinamento e registrar a relação profissional. Atleta administra perfil, vínculo, execução, mensagens, agenda, avaliações e privacidade. Treinador submete credenciais, aceita alunos, prescreve, responde, corrige mídia e configura plano/carteira. Administrador decide credenciais, modera avaliações e configura a comissão. Serviços externos são atores secundários: armazenamento S3, SMTP, gateway Asaas e Google Agenda/Meet quando configurado.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Web React e app Expo usam a mesma API Fastify/PostgreSQL.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academic</w:t>
      </w:r>
      <w:r>
        <w:rPr>
          <w:b w:val="false"/>
          <w:bCs w:val="false"/>
        </w:rPr>
        <w:t xml:space="preserve"> registra vínculos sem cobranças;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</w:t>
      </w:r>
      <w:r>
        <w:rPr>
          <w:b w:val="false"/>
          <w:bCs w:val="false"/>
        </w:rPr>
        <w:t xml:space="preserve"> exige provedor configurado e vigência financeira para novas interações. O checkout hospedado evita formulário próprio de cartão. Aprovação profissional local registra conferência manual, sem alegar consulta automática oficial. O matchmaking é determinístico e explicável; não existe modelo treinado de IA.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Prioridades: P0, essencial ao fluxo; P1, complemento do acompanhamento. Dependência externa e evolução são estados separados da prioridade. </w:t>
      </w:r>
      <w:r>
        <w:rPr>
          <w:b/>
          <w:bCs/>
        </w:rPr>
        <w:t xml:space="preserve">Implementado</w:t>
      </w:r>
      <w:r>
        <w:rPr>
          <w:b w:val="false"/>
          <w:bCs w:val="false"/>
        </w:rPr>
        <w:t xml:space="preserve"> significa comportamento no código. </w:t>
      </w:r>
      <w:r>
        <w:rPr>
          <w:b/>
          <w:bCs/>
        </w:rPr>
        <w:t xml:space="preserve">Testado local</w:t>
      </w:r>
      <w:r>
        <w:rPr>
          <w:b w:val="false"/>
          <w:bCs w:val="false"/>
        </w:rPr>
        <w:t xml:space="preserve"> depende das evidências no </w:t>
      </w:r>
      <w:r>
        <w:rPr>
          <w:b w:val="false"/>
          <w:bCs w:val="false"/>
        </w:rPr>
        <w:t xml:space="preserve">relatório (relatorio-testes.md)</w:t>
      </w:r>
      <w:r>
        <w:rPr>
          <w:b w:val="false"/>
          <w:bCs w:val="false"/>
        </w:rPr>
        <w:t xml:space="preserve">. </w:t>
      </w:r>
      <w:r>
        <w:rPr>
          <w:b/>
          <w:bCs/>
        </w:rPr>
        <w:t xml:space="preserve">Pendente externo</w:t>
      </w:r>
      <w:r>
        <w:rPr>
          <w:b w:val="false"/>
          <w:bCs w:val="false"/>
        </w:rPr>
        <w:t xml:space="preserve"> depende de serviço/dispositivo real, não de um checkbox de código. As especificações completas de cada RF estão na seção 2.1 do PDF e na fonte textual correspondente.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funcionais priorizados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Comportamento e limite da versão 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Conta, preferências e perfil; informações privadas de saúde opcionais com consentimento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Perfil profissional, modalidades, objetivos, níveis, atendimento, horários e preço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Submissão de registro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CREF, evidência textual e documento privado opcional, imagem/PDF validado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Verificação manual de registro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Administrador consulta a fonte oficial e confere CREF, titularidade e situação; registra fonte/data/resultado no motivo da decisão e prazo futuro opcional, com auditoria. A aprovação sem prazo explícito usa 365 dias de validade administrativa, sem atestar validade oficial da cédula. Não existe campo obrigatório separado para evidência da consulta; o campo evidence da submissão pertence ao treinador. Consulta automática é evolução futura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Autenticação e controle de acesso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Cookie HttpOnly web, Bearer opaco nativo, logout, recuperação por SMTP e invalidação de sessões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matchmaking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explicável sobre perfil; aprendizado automático/validação estatística continuam futuros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e filtros de treinadores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perfis aprovados, elegíveis e não vencidos/suspensos; filtros de modalidade, preço, nome e atendimento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Portfólio do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Bio, modalidades, preço, CREF, compatibilidade e avaliações publicadas; não há curadoria pública de arquivos privados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contratação e assinatura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vínculo; aceite do treinador; intenção financeira e checkout recorrente em modo Asaas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Aceite/recusa de aluno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Decisão exclusiva do treinador destinatário, transação e histórico por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Pagamento recorrente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Adaptador real Asaas, intenção/assinatura, eventos autenticados; sandbox real e cobrança real ainda requerem acessos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Split financeiro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recebedora, comissão em basis points, solicitação de split e registros de evento; participação estimada não é repasse bancário homologado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Inadimplência e carência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Estados financeiros, prazo de carência, suspensão, jobs e conciliação; cenários de falha controlados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Prescrição de treinos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Blocos, modalidade, data, rascunho/publicação; exige vínculo e acesso financeiro/profissional adequados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Vídeos demonstrativos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Referência HTTPS por bloco e upload privado de orientação ligado à ficha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Consulta de treinos prescritos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Rascunhos privados do treinador, publicados para o atleta autorizado; histórico vinculado ao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Registro de execução e feedback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realizados, métricas validadas, esforço 1–10 e observações; payload privado cifrado; atualização de execução única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 de performance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Upload privado com consentimento específico, validação e correção técnica pelo treinador; revogação elimina mídia conforme política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Mensagens em tempo real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Histórico cifrado e paginado, WebSocket autenticado, anexo privado, leitura e reconexão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Avaliação pública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1–5 e texto por atleta em vínculo elegível, uma por ciclo, edição autorizada e média de conteúdo visível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 a avaliações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treinador avaliado responde; denúncia e moderação auditada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Cancelamento de assinatura/contrato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Retirada pendente, encerramento por participante, confirmação do provedor e preservação de período pago; novo ciclo preserva histórico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de alunos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Solicitações, ciclos, prescrição, execução, conversa, agenda e acompanhamento financeiro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Métodos de pagamento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Meio de pagamento gerenciado no checkout do provedor; sem cartão bruto na aplicação; homologação externa pendente</w:t>
            </w:r>
          </w:p>
        </w:tc>
      </w:tr>
    </w:tbl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Requisitos adicionais explicitamente definidos nesta ampliação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Implementação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Recuperar acesso por e-mail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aleatório de uso único, hash SQL, 30 minutos, outbox SMTP e sessões revogadas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Notificações internas persistidas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por destinatário, contador e leitura individual/em lote, publicação em tempo real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Consultorias e agenda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Criar, reagendar, cancelar, concluir; bloquear sobreposição das agendas dos participantes; histórico e referência Google opcional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Consentimento, exportação e encerramento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Finalidades versionadas, dados próprios em JSON, senha para encerramento, anonimização e controle de retenção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Expirar/suspender credenciais profissionais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Prazo, job de expiração, suspensão/revogação motivada e remoção da descoberta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App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React Native/Expo, mesma API e token em SecureStore; APK Android integrado aprovado em emulador. Aparelho físico, IPA e execução em iPhone não homologados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Operação e recuperação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Container, proxy TLS, configuração de segredos, migrations, tarefas, backup/restauração e CI conforme artefatos e testes efetivos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Moderação de conteúdo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Denúncia de avaliação, ocultação/restauração pelo administrador e histórico motivado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Fluxos textuais, alternativas e exceções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UC-01 — Conta, perfil e recuperação (RF-01,02,05,A01)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visitante sem sessão ou titular autenticado. Fluxo principal: preencher nome/e-mail/senha e papel permitido → validar/normalizar → gravar usuário/perfil → iniciar sessão → completar preferências → salvar. Alternativa de entrada: credenciais existentes. Subfluxo de recuperação: informar e-mail → receber resposta genérica → outbox SMTP envia link com token no fragmento → informar nova senha → bloquear/verificar token → atualizar hash e invalidar todas as sessões. Pós-condição: senha e perfil persistidos. Exceções: duplicidade 409; credenciais 401; token expirado/usado 400; administrador não pode ser escolhido no cadastro. Cliente nativo recebe token opaco e guarda em SecureStore; browser não armazena token em localStorage.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UC-02 — Credenciais profissionais (RF-03,04,A05)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Pré-condições: treinador autenticado com perfil completo; administrador autorizado para decidir. Fluxo principal: treinador informa CREF/evidência e pode anexar documento privado validado → submissão fica pendente → administrador consulta o portal oficial do conselho competente e compara registro, nome do titular e situação profissional → registra fonte, data e resultado no motivo da decisão e informa prazo futuro se necessário → servidor persiste decisão/auditoria → perfil aprovado e elegível entra na descoberta. Sem prazo explícito, a aprovação usa 365 dias como validade administrativa; não é validade oficial da cédula. A consulta externa é uma atividade humana; o sistema não a executa nem atesta automaticamente a resposta do conselho. Não há campo obrigatório separado de evidência administrativa: evidence da submissão é conteúdo enviado pelo treinador.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Alternativas: recusa motivada e nova submissão; expiração por job; suspensão/revogação administrativa. Se a consulta oficial estiver indisponível ou os dados forem insuficientes/divergentes, a análise deve aguardar esclarecimento, sem aprovar somente pelo formato do número. Exceções: terceiro/atleta não submete; treinador não decide; documento alheio é inválido; decisão repetida gera conflito. Somente titular e administrador autorizado veem documento. Pós-condição: decisão rastreável e visibilidade condicionada a aprovação vigente. Consulta automática é evolução futura, fora do aceite atual do RF-04.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UC-03 — Descoberta, contratação e ciclo (RF-06–10,23)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preenche preferências → busca aprovados compatíveis → vê nota e razões → solicita → treinador aceita/recusa. Uma solicitação vigente por par é permitida. Ciclo recusado/encerrado permite novo ciclo com identificador próprio, sem mover fichas antigas. A nota considera objetivos 30, nível 20, orçamento 25 e disponibilidade 25; modalidade/aprovação são filtros; presencial considera cidade. Alternativas: filtros sem resultado ou revisão das preferências. Exceções: profissional inelegível, papel/propriedade incorretos, duplicidade ou aceite concorrente. Disponibilidade pontua a nota; não representa horário reservado.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UC-04 — Assinatura, pagamento e conciliação (RF-09,11–13,24)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ciclo aceito e modo Asaas habilitado, plano/carteira configurados. Atleta prepara checkout → servidor grava intenção e identificador → envia requisição de assinatura/split ao provedor → mostra URL hospedada → usuário conclui no gateway → webhook autentica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asaas-access-token</w:t>
      </w:r>
      <w:r>
        <w:rPr>
          <w:b w:val="false"/>
          <w:bCs w:val="false"/>
        </w:rPr>
        <w:t xml:space="preserve"> → persiste evento único → aplica transição e vigência → jobs processam pendências/carência/conciliação. Redirect não comprova pagamento. Alternativa: modo acadêmico mostra ausência de cobrança; sem credenciais informa indisponibilidade. Exceções: duplicata devolve intenção existente; timeout fica incerto; evento desconhecido permanece para conciliação; evento antigo não reduz período pago; falha não vira sucesso. Reenvio externo incerto não é feito cegamente.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UC-05 — Prescrição, execução e mídia (RF-14–18)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Treinador com acesso válido seleciona atleta → define ficha/blocos → salva rascunho ou publica → atleta consulta publicado → executa blocos e informa métricas/esforço → servidor valida catálogo e cifra payload → treinador consulta retorno. Subfluxo de mídia: selecionar finalidade/recurso → conferir papel/vínculo/consentimento → validar assinatura/MIME/extensão/limite → cifrar AES-256-GCM → armazenar S3 privado e metadados → download autorizado recupera original → treinador registra correção de performance. Alternativas: execução parcial; atualizar registro; link HTTPS de referência. Exceções: vínculo inativo, métrica indevida, índice inválido, arquivo falso, tamanho excedido, ausência/revogação de consentimento e terceiro são negados. Revogação remove mídia de performance do titular. Novos treinos não são criados depois do encerramento efetivo.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UC-06 — Mensagens e notificações (RF-19,A02)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abre conversa → consulta histórico persistido/paginado → sessão autoriza WebSocket → envia texto/anexo REST → servidor confirma commit → publica para as partes e notifica destinatário → destinatário confirma leitura até cursor. Reconexão consulta novamente o banco. Exceções: terceiro não acessa conversa; vínculo encerrado não envia; sessão revogada fecha conexão; origem browser indevida é recusada; anexo precisa pertencer ao remetente e ciclo. Notificações só podem ser lidas/marcadas pelo destinatário. Uma instância de API utiliza publicação em memória após persistência; múltiplas instâncias precisam de broker ainda não homologado.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UC-07 — Avaliar, responder e moderar (RF-20,21,A08)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em vínculo ativo pelo período mínimo (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REVIEW_MIN_DAYS=7</w:t>
      </w:r>
      <w:r>
        <w:rPr>
          <w:b w:val="false"/>
          <w:bCs w:val="false"/>
        </w:rPr>
        <w:t xml:space="preserve"> por padrão) escolhe nota e relata experiência → uma avaliação por ciclo é persistida → calcula-se média dos publicados. Autor edita; treinador avaliado responde. Usuário denuncia → administrador registra motivo e oculta/restaura → média/lista pública deixam de expor o oculto. Exceções: avaliação precoce, terceiro editando, resposta por profissional diferente, duplicidade e justificativa curta falham. Configuração de teste com período menor deve ser identificada como teste, nunca como regra real executada sete dias.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UC-08 — Consultoria e agenda (RF-A03)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de vínculo válido define início/duração/objetivo → servidor bloqueia agendas em ordem, verifica sobreposição e grava encontro → envia notificação. Alternativas: reagendar/cancelar com motivo; treinador registra conclusão após início. Sem Google, agenda local informa ausência de reunião externa. Com Client ID e ação explícita do treinador, OAuth cria evento/Meet na própria agenda e API guarda referência; nenhum teste envia convites reais. Reagendamento/cancelamento local exige ajustar também o evento externo enquanto sincronização automática não estiver homologada. Exceções: terceiro, horário passado, sobreposição ou motivo ausente são recusados.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UC-09 — Encerrar vínculo (RF-22)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informa motivo e confirma → servidor autoriza titularidade e bloqueia ciclo → no acadêmico encerra imediatamente; no Asaas solicita cancelamento da renovação → confirma provedor/guarda vigência paga → encerra acesso ao fim do período. Histórico permanece autorizado; novo ciclo não altera anterior. Repetição é idempotente. Falha/resultado incerto do provedor mantém estado pendente e requer conciliação. Segurança/suspensão profissional pode bloquear novas interações independentemente do período pago, com auditoria.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UC-10 — Privacidade (RF-01,A04)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Titular consulta política/finalidades → concede/revoga consentimento versionado → dados privados de saúde exigem consentimento → exporta seus dados → confirma senha e pede encerramento → concilia financeiro, remove arquivos/conteúdo privado e anonimiza conta → invalida sessões → administrador consulta resultado. Alternativa: exportação sem encerramento. Exceções: senha errada; conta com assinatura não conciliada; falha de remoção de arquivo não é apresentada como encerramento concluído. Retenção acadêmica minimizada é descrita na política; prazo legal e conformidade integral não são presumidos. Backups restaurados precisam reaplicar pedidos de eliminação.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não funcionais e cenários de verificação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Procedimentos são critérios de aceite, não resultados presumidos. Para cada execução consulte ambiente/data e limites no relatório.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Cenário e critério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Alcance/limite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RNF-01 LGPD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Conceder/revogar, exportar só dados próprios, reautenticar exclusão, negar terceiros; conferir SQL/objetos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Controles de privacidade locais; parecer jurídico e operação pública não homologados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RNF-02 Criptografia saúde/biometria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SQL/S3: ausência de texto em claro; decrypt roundtrip; IV/tag íntegros; executar TLS local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AES-256-GCM e gestão de chave implementados; relatório deve distinguir TLS local de domínio público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RNF-03 Auditoria profissional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registro/titular/situação na fonte oficial; registrar fonte/data/resultado no motivo; decidir/suspender/expirar e verificar revisor, motivo, prazo e auditoria transacional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Evidência do treinador é distinta do motivo administrativo; testes locais comprovam fluxo/persistência, sem consulta automática ou habilitação de dados fictícios. Não há imutabilidade contra administrador direto do banco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RNF-04 Ocultar não validados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Pendentes, suspensos/vencidos/rejeitados fora da busca e ações protegidas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Regra no servidor; uma lista já aberta precisa ser consultada novamente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RNF-05 Cartão/PCI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checkout hospedado, ausência de PAN/CVV SQL/logs e minimização do webhook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Adaptador e teste HTTP controlado; não certifica PCI ou conta gateway real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RNF-06 Match até 2 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Dataset/ambiente declarados; aquecer, medir concorrência e p50/p95/p99; p95 ≤2 s no cenário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Carga local de 14/10: 500 treinadores sintéticos, 200 chamadas, concorrência 10, p95 97,78 ms; sem cache. Não extrapolar base sintética ou produção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RNF-07 Métricas extensíveis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catálogo, gravar chaves válidas e rejeitar desconhecidas/fora de limite; tela dinâmica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Modalidades principais fixadas em contratos; catálogo administrativo/novos esportes ainda podem exigir código/migração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RNF-08 Escalabilidade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Na versão atual, executar carga no ambiente declarado e registrar latência/erros. Evolução: medir recursos e validar expansão/balanceamento na infraestrutura escolhida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 original de autoescala em 70%, fila e balanceador permanece evolução, fora do aceite local atual; hospedagem em nuvem continua pendente e não equivale a autoescala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RNF-09 App responsivo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 autenticada em 390/1440 e página pública em 320/390/1440 sem overflow; cliente Expo com tipos/bundles e fluxo Android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Capturas conforme relatório; bundle não equivale a aparelho físico. Material/HIG, contraste do sistema e fontes ampliadas exigem verificação própria ainda não homologada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RNF-10 Usabilidade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Completar prescrição/publicação, salvar e reabrir rascunho com dados iguais; verificar teclado/foco, instruções e confirmação, sem bloqueio por erro tratado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Rascunho explícito testado; autosave contínuo futuro. Não se adota menor número de cliques sem medição como critério aprovado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RNF-11 Feedback visual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Verificar espera durante envio, tratamento de rede/validação e confirmação apenas após resposta positiva; evitar duplicidade e falso pagamento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Indicador de espera não significa porcentagem real de progresso. E2E e capturas têm o alcance registrado no relatório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RNF-12 Android/iOS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Compilar/instalar em versões definidas, executar armazenamento/upload/chat/treino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local compilado e 18 etapas integradas aprovadas no emulador Android API 35; aparelho físico, distribuição e IPA pendentes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RNF-13 Navegadores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Fluxo em Chromium/Firefox/WebKit; registrar versões e axe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Engines testados não são automaticamente Edge/Safari reais; leitor de tela exige avaliação própria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RNF-14 REST/OpenAPI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Swagger runtime e schemas reais; exemplo inválido devolve campo/erro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compartilhada web/nativo, sem segredos no cliente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RNF-15 Idempotência financeira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Checkout concorrente, webhook repetido/antigo, timeout e cancelamento incerto; verificar locks/unicidade locais e conciliar sem repetir criação incerta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 controlado; homologação do provedor pendente. O adaptador não envia chave de idempotência externa, portanto não garante deduplicação pelo gateway. Jobs exigem execução/agendamento operacional; não há garantia automática de rotina noturna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RNF-16 Logs sanitizados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Marcadores sensíveis não aparecem em logs públicos; token reset em fragmento, Bearer fora de URL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Revisão/teste local não substituem monitoramento/auditoria independente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Regras de negócio preservadas e ajustes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Regra e implementação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treinador aprovado/elegível aparece na descoberta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confere registro, titularidade e situação na fonte oficial e inclui fonte/data/resultado no motivo. Decisão e auditoria registram revisor, horário, origem manual e prazo: futuro explícito ou 365 dias administrativos por padrão na aprovação. Documento do treinador é opcional; evidence da submissão não é campo separado da conferência administrativa. Formato do número não comprova habilitação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Expiração, suspensão e revogação retiram visibilidade e bloqueiam novas ações protegidas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Mensalidade em modo Asaas solicita split para carteira elegível; só evento autenticado confirma estado financeiro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configura comissão 0–50% (basis points) e carência 0–30 dias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Pendência financeira mantém jobs/eventos e conciliação; carência vencida bloqueia novas interações; resultado incerto não é reemitido cegamente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RN-07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Eventos/chaves de provedor únicos, intenção única por ciclo e lock transacional impedem duplicação local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 considera modalidade, nível, objetivos, orçamento e horários, com razões explícitas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RN-09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Disponibilidade compõe pontuação; não reserva agenda. Recusa não reduz nota. Esta é mudança documentada da redação original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Solicitação/decisão e interações persistem; treinamento/retroalimentação automática do match permanece futuro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Novas prescrições exigem ciclo ativo e acesso profissional/financeiro válido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Métricas respeitam chave, unidade e limites da modalidade; execução é única por ficha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exige vínculo ativo há sete dias por padrão; uma por ciclo; alteração da configuração precisa ser explicitada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Saúde e performance exigem consentimento separado e finalidade, com revogação registrada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Conteúdo privado utiliza AES-256-GCM em repouso e HTTPS na implantação configurada; chave fora do Git e preservada no backup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Cartão bruto não é coletado/armazenado pela aplicação; meio de pagamento gerenciado pelo checkout hospedado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Dados e invariantes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Migrações cumulativas </w:t>
      </w:r>
      <w:r>
        <w:rPr>
          <w:b w:val="false"/>
          <w:bCs w:val="false"/>
        </w:rPr>
        <w:t xml:space="preserve">001–005 (../../server/db/migrations/)</w:t>
      </w:r>
      <w:r>
        <w:rPr>
          <w:b w:val="false"/>
          <w:bCs w:val="false"/>
        </w:rPr>
        <w:t xml:space="preserve">: usuário/perfil/sessão; verificação/auditoria; ciclos de contrato; treino/blocos/métricas/execução; consents/history/private_health; media/feedback; reset/outbox/privacy/auditoria; messages/notifications/reviews/reports/moderation/consultations/history; billing_settings/wallets/plans/subscriptions/payments/splits/events/jobs/audit. Chaves estrangeiras, índices e unicidade protegem referências, execução, review por ciclo e evento financeiro.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Verificação: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unsubmitted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approved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expired</w:t>
      </w:r>
      <w:r>
        <w:rPr>
          <w:b w:val="false"/>
          <w:bCs w:val="false"/>
        </w:rPr>
        <w:t xml:space="preserve">. Contrato: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active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; índice parcial permite um vigente por par. Treino: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draft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published</w:t>
      </w:r>
      <w:r>
        <w:rPr>
          <w:b w:val="false"/>
          <w:bCs w:val="false"/>
        </w:rPr>
        <w:t xml:space="preserve">. Financeiro: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awaiting_payment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regular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grace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cancellation_requested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uncertain</w:t>
      </w:r>
      <w:r>
        <w:rPr>
          <w:b w:val="false"/>
          <w:bCs w:val="false"/>
        </w:rPr>
        <w:t xml:space="preserve">. Agenda: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scheduled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completed</w:t>
      </w:r>
      <w:r>
        <w:rPr>
          <w:b w:val="false"/>
          <w:bCs w:val="false"/>
        </w:rPr>
        <w:t xml:space="preserve">. Uso de estados não implica comprovação de transação externa.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Consultas parametrizadas, validação Zod e autorização por usuário/recurso/estado. Erros: 400 entrada inválida, 401 sessão/credencial, 403 papel/ação, 404 recurso privado alheio, 409 conflito, 413 arquivo, 429 limite, 503 serviço não configurado. Mensagem pública de falha inesperada é genérica. Os </w:t>
      </w:r>
      <w:r>
        <w:rPr>
          <w:b w:val="false"/>
          <w:bCs w:val="false"/>
        </w:rPr>
        <w:t xml:space="preserve">diagramas (diagramas.md)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backlog (backlog.md)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rastreabilidade (rastreabilidade.md)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API (api.md)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manual (manual.md)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checklist (checklist-sprint-2.md)</w:t>
      </w:r>
      <w:r>
        <w:rPr>
          <w:b w:val="false"/>
          <w:bCs w:val="false"/>
        </w:rPr>
        <w:t xml:space="preserve"> integram esta ERS.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Situação da versão e evidências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implementação ampliada e sua revisão estão publicadas na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main</w:t>
      </w:r>
      <w:r>
        <w:rPr>
          <w:b w:val="false"/>
          <w:bCs w:val="false"/>
        </w:rPr>
        <w:t xml:space="preserve"> do repositório do grupo; a revisão técnica foi integrada pelo </w:t>
      </w:r>
      <w:hyperlink w:history="1" r:id="rIdznvvqsi8u75enusrooe-k">
        <w:r>
          <w:rPr>
            <w:rStyle w:val="Hyperlink"/>
          </w:rPr>
          <w:t xml:space="preserve">PR #2</w:t>
        </w:r>
      </w:hyperlink>
      <w:r>
        <w:rPr>
          <w:b w:val="false"/>
          <w:bCs w:val="false"/>
        </w:rPr>
        <w:t xml:space="preserve">. Os registros de execução comprovam 82 testes de API/unidade, 15 cenários E2E em três motores, 22 testes móveis e 18 etapas do APK Android integrado em emulador. Docker/PostgreSQL/SMTP/S3 locais, build, backup e TLS têm evidências no </w:t>
      </w:r>
      <w:r>
        <w:rPr>
          <w:b w:val="false"/>
          <w:bCs w:val="false"/>
        </w:rPr>
        <w:t xml:space="preserve">relatório (relatorio-testes.md)</w:t>
      </w:r>
      <w:r>
        <w:rPr>
          <w:b w:val="false"/>
          <w:bCs w:val="false"/>
        </w:rPr>
        <w:t xml:space="preserve">. Esta revisão é documental; não representa nova execução desses testes em 24/10/2026. A seção 6 do PDF desenvolve CT001–CT016 com pré-condições, passos, esperado, observado, data/ambiente e evidência rastreável.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</w:t>
      </w:r>
      <w:r>
        <w:rPr>
          <w:b w:val="false"/>
          <w:bCs w:val="false"/>
        </w:rPr>
        <w:t xml:space="preserve">matriz curricular (rastreabilidade.md)</w:t>
      </w:r>
      <w:r>
        <w:rPr>
          <w:b w:val="false"/>
          <w:bCs w:val="false"/>
        </w:rPr>
        <w:t xml:space="preserve"> inclui a Eletiva I e suas evidências. Permanecem pendentes a integração remota/nuvem prevista, homologações externas aplicáveis, revisão coletiva e submissões individuais. Os recortes e evoluções do MVP são definidos pela equipe e registrados no backlog. Financeiro avançado foi planejado originalmente para a Sprint 3; o código atual e seus testes controlados não comprovam operação no provedor. A automação de CREF não integra o requisito atual do RF-04 e fica como evolução condicionada à viabilidade de uma fonte oficial.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Revisão de escopo e decisões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roteiro define a Sprint 2 entre 21/09 e 26/10/2026. A ERS original previa CREF automático nesta Sprint e admitia alternativa manual na indisponibilidade da API. A pesquisa não localizou API pública documentada adequada à integração; isso não comprova inexistência de acesso restrito. A equipe definiu a conferência manual como procedimento vigente, incorporado ao RF-04, UC-02 e RN-02. A alteração está consolidada nesta versão.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proposta também solicita evolução de IA; o match atual segue por regras e não deve ser apresentado como modelo treinado. PostgreSQL substitui a menção a dois SGBDs; nuvem, iOS/lojas e autosave contínuo têm limites descritos na </w:t>
      </w:r>
      <w:r>
        <w:rPr>
          <w:b w:val="false"/>
          <w:bCs w:val="false"/>
        </w:rPr>
        <w:t xml:space="preserve">revisão dos materiais (revisao-materiais.md)</w:t>
      </w:r>
      <w:r>
        <w:rPr>
          <w:b w:val="false"/>
          <w:bCs w:val="false"/>
        </w:rPr>
        <w:t xml:space="preserve">. As diferenças entre escopo atual, implementação, homologação e evolução permanecem explícitas, sem atribuir conclusão a funções ainda não executadas.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APK de demonstração tem pacote separado e aceita HTTP somente em loopback/endereço do emulador; o perfil normal continua exigindo HTTPS. O túnel USB permite testar o backend local sem publicá-lo. </w:t>
      </w:r>
      <w:r>
        <w:rPr>
          <w:b w:val="false"/>
          <w:bCs w:val="false"/>
        </w:rPr>
        <w:t xml:space="preserve">Manual Android (manual-apk-local.md)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dependências externas (servicos-externos-sprint-2.md)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auditoria de bibliotecas (seguranca-dependencias.md)</w:t>
      </w:r>
      <w:r>
        <w:rPr>
          <w:b w:val="false"/>
          <w:bCs w:val="false"/>
        </w:rPr>
        <w:t xml:space="preserve"> registram estados e restrições. A API e os modelos foram confrontados com OpenAPI e metadados reais do banco, sem exportar dados pessoais: </w:t>
      </w:r>
      <w:r>
        <w:rPr>
          <w:b w:val="false"/>
          <w:bCs w:val="false"/>
        </w:rPr>
        <w:t xml:space="preserve">dicionário completo (dicionario-dados.md)</w:t>
      </w:r>
      <w:r>
        <w:rPr>
          <w:b w:val="false"/>
          <w:bCs w:val="false"/>
        </w:rP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7168"/>
        <w:sz w:val="17"/>
        <w:szCs w:val="17"/>
      </w:rPr>
      <w:t xml:space="preserve">LinkAtletas - 24/10/2026    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D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00" w:before="120"/>
    </w:pPr>
    <w:rPr>
      <w:rFonts w:ascii="Arial" w:cs="Arial" w:eastAsia="Arial" w:hAnsi="Arial"/>
      <w:b/>
      <w:bCs/>
      <w:color w:val="112D22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73D2B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znvvqsi8u75enusrooe-k" Type="http://schemas.openxmlformats.org/officeDocument/2006/relationships/hyperlink" Target="https://github.com/DaviSouza78/LinkAtletas/pull/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LinkAtletas — Especificação de Requisitos v2</dc:title>
  <dc:creator>Lucca</dc:creator>
  <dc:description>Fonte Markdown versionada junto ao documento.</dc:description>
  <cp:lastModifiedBy>Un-named</cp:lastModifiedBy>
  <cp:revision>1</cp:revision>
  <dcterms:created xsi:type="dcterms:W3CDTF">2026-10-24T04:03:32.560Z</dcterms:created>
  <dcterms:modified xsi:type="dcterms:W3CDTF">2026-10-24T04:03:32.566Z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