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rPr>
          <w:b w:val="false"/>
          <w:bCs w:val="false"/>
        </w:rPr>
        <w:t xml:space="preserve">Relatório de testes — ampliação LinkAtletas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Data da consolidação local: 14/10/2026; publicação e registros remotos atualizados em 15/10/2026. Este relatório registra evidência efetivamente produzida; testes escritos, aprovação técnica, build, sandbox e homologação de aparelho são estados distintos. As evidências históricas da Sprint 2 inicial permanecem em </w:t>
      </w:r>
      <w:r>
        <w:rPr>
          <w:b w:val="false"/>
          <w:bCs w:val="false"/>
        </w:rPr>
        <w:t xml:space="preserve">docs/sprint-2/evidencias (../sprint-2/evidencias/)</w:t>
      </w:r>
      <w:r>
        <w:rPr>
          <w:b w:val="false"/>
          <w:bCs w:val="false"/>
        </w:rPr>
        <w:t xml:space="preserve">.</w:t>
      </w:r>
    </w:p>
    <w:p>
      <w:pPr>
        <w:spacing w:after="50"/>
      </w:pPr>
    </w:p>
    <w:p>
      <w:pPr>
        <w:pStyle w:val="Heading1"/>
        <w:keepNext/>
      </w:pPr>
      <w:r>
        <w:rPr>
          <w:b w:val="false"/>
          <w:bCs w:val="false"/>
        </w:rPr>
        <w:t xml:space="preserve">Ambiente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Windows, Node 24.15.0, pnpm 10.33.2, PostgreSQL 17 em Docker; CI reproduzida em runner Ubuntu do GitHub Actions. API Fastify, React web, SeaweedFS S3 privado e Mailpit SMTP locais. Banco de testes termina em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_test</w:t>
      </w:r>
      <w:r>
        <w:rPr>
          <w:b w:val="false"/>
          <w:bCs w:val="false"/>
        </w:rPr>
        <w:t xml:space="preserve">; migrations sequenciais, sem limpeza da base demonstrativa. Dados fictícios. Cliente Expo tem manifesto e lock próprios. Não houve cobrança, abertura de conta financeira ou implantação de site/API públicos. O código foi publicado no GitHub com autorização.</w:t>
      </w:r>
    </w:p>
    <w:p>
      <w:pPr>
        <w:spacing w:after="50"/>
      </w:pPr>
    </w:p>
    <w:p>
      <w:pPr>
        <w:pStyle w:val="Heading1"/>
        <w:keepNext/>
      </w:pPr>
      <w:r>
        <w:rPr>
          <w:b w:val="false"/>
          <w:bCs w:val="false"/>
        </w:rPr>
        <w:t xml:space="preserve">Resultados executados e verificações pendentes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Suíte consolidada local: </w:t>
      </w:r>
      <w:r>
        <w:rPr>
          <w:b/>
          <w:bCs/>
        </w:rPr>
        <w:t xml:space="preserve">75/75 Vitest aprovados</w:t>
      </w:r>
      <w:r>
        <w:rPr>
          <w:b w:val="false"/>
          <w:bCs w:val="false"/>
        </w:rPr>
        <w:t xml:space="preserve">, nenhuma falha, conforme </w:t>
      </w:r>
      <w:r>
        <w:rPr>
          <w:b w:val="false"/>
          <w:bCs w:val="false"/>
        </w:rPr>
        <w:t xml:space="preserve">JSON gerado (evidencias/vitest-results.json)</w:t>
      </w:r>
      <w:r>
        <w:rPr>
          <w:b w:val="false"/>
          <w:bCs w:val="false"/>
        </w:rPr>
        <w:t xml:space="preserve">. </w:t>
      </w:r>
      <w:r>
        <w:rPr>
          <w:b/>
          <w:bCs/>
        </w:rPr>
        <w:t xml:space="preserve">15/15 E2E aprovados</w:t>
      </w:r>
      <w:r>
        <w:rPr>
          <w:b w:val="false"/>
          <w:bCs w:val="false"/>
        </w:rPr>
        <w:t xml:space="preserve"> — cinco cenários em cada motor Chromium, Firefox e WebKit — sem falhas/retries, conforme </w:t>
      </w:r>
      <w:r>
        <w:rPr>
          <w:b w:val="false"/>
          <w:bCs w:val="false"/>
        </w:rPr>
        <w:t xml:space="preserve">Playwright JSON (evidencias/playwright-results.json)</w:t>
      </w:r>
      <w:r>
        <w:rPr>
          <w:b w:val="false"/>
          <w:bCs w:val="false"/>
        </w:rPr>
        <w:t xml:space="preserve">. O cliente nativo possui nove testes de transporte separados; suas verificações não substituem homologação em aparelho.</w:t>
      </w:r>
    </w:p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EAF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EAF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Cenários implementados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EAF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Estado desta revisão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matching.test.ts (../../tests/unit/matching.test.ts): pesos/elegibilidade/cidade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13/13 aprovados no JSON consolidado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original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api.test.ts (../../tests/integration/api.test.ts): conta/perfil/vínculo/treino/propriedade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20/20 aprovados; evidência inicial preservada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Criptografia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crypto.test.ts (../../tests/unit/crypto.test.ts): roundtrip, integridade e IV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2/2 aprovados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platform.test.ts (../../tests/integration/platform.test.ts): consentimento, SQL/S3 cifrados, mídia, recuperação SMTP, sessão nativa, expiração e exclusão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10/10 aprovados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interactions.test.ts (../../tests/integration/interactions.test.ts): persistência/WS/leitura/isolações/reviews/agenda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13/13 aprovados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billing.test.ts (../../tests/integration/billing.test.ts): contrato HTTP, duplicata, evento/timeout/conciliação/acesso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14/14 aprovados; nenhum sandbox real do Asaas foi utilizado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Concorrência e privacidade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privacy-races.test.ts (../../tests/integration/privacy-races.test.ts): perfil, sessão e feedback durante eliminação/troca de senha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3/3 aprovados; bloqueios reais PostgreSQL, sem sleeps usados como prova de ordenação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Tipos web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pnpm exec tsc -p tsconfig.app.json --noEmit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Passou após integração das novas telas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Navegador e acessibilidade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Fluxo ampliado, 390/1440, três motores e axe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15 E2E aprovados; seis telas por motor sem violações nas regras automáticas WCAG 2 A/AA e 2.1 A/AA: Chromium (evidencias/chromium-axe.json), Firefox (evidencias/firefox-axe.json), WebKit (evidencias/webkit-axe.json)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Expo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Tipos, dependências, Doctor, transporte, Hermes Android/iOS e compilação APK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Passaram: verificação detalhada (evidencias/mobile-verificacao.md), 9/9 transporte (evidencias/mobile-tests.json), hashes dos bundles (evidencias/mobile-bundles.json) e build APK remoto (evidencias/github-android-build.json). Integração completa em aparelho e IPA pendentes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APK em emulador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Instalação e abertura da tela de login no Android API 35 x86_64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Passou (evidencias/android-emulator-result.json), captura real (evidencias/android-emulator-startup.png) e run remoto (https://github.com/DaviSouza78/LinkAtletas/actions/runs/38675093814). Sem crash detectado; fluxo com backend e aparelho físico não executados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TLS local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Container/HTTPS, banco, autenticação, origem e reinício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TLS 1.3 (evidencias/production-tls.json): CA explícita, cookie Secure/HttpOnly, HTTP 200/201, mutation sem Origin 403 e sessão/perfil preservados após reinício da aplicação; sem trust global/domínio público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Backup/restauração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Banco e S3 cifrados em destinos isolados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36 tabelas e checksums iguais (evidencias/backup-restore.json), roundtrip de campo/mídia e dump sem texto claro; worker privado (evidencias/private-network-backup.json)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Carga do match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500 treinadores sintéticos, 200 chamadas HTTP, concorrência 10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Medição (evidencias/carga-matchmaking.json): 200 respostas 200, p50 78,54 ms, p95 97,78 ms, p99 132,54 ms; não extrapolar nuvem/escala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CI e build final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Instalação, tipos/build, Vitest, backup, browsers/axe, Expo e TLS/reinício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Tipos/build locais aprovados (evidencias/verificacao-build.txt); CI completa aprovada na main (https://github.com/DaviSouza78/LinkAtletas/actions/runs/38656142290), registro remoto (evidencias/github-ci-main.json)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Links relativos e OpenAPI runtime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Conferência reproduzível (evidencias/documentation-check.json), sem links quebrados; ERS/relatório DOCX validados e PDFs renderizados pelo LibreOffice</w:t>
            </w:r>
          </w:p>
        </w:tc>
      </w:tr>
    </w:tbl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Contagens acima foram conferidas em arquivos de resultado, não inferidas apenas da existência de cenários. Falhas de tentativas anteriores não substituem o resultado final; correções e limites permanecem explícitos. O manifesto de backup registra necessidade de pausar escritas em operação, pois não existe transação distribuída banco/objetos.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Na finalização de 15/10, o cenário de chat passou a forçar o fechamento atrasado da conexão descartada pelo StrictMode depois de aberta a conexão válida. O indicador permaneceu conectado e a troca real de mensagens foi verificada nos três motores. A </w:t>
      </w:r>
      <w:hyperlink w:history="1" r:id="rIdqvdkivuz4wckcstxshb5x">
        <w:r>
          <w:rPr>
            <w:rStyle w:val="Hyperlink"/>
          </w:rPr>
          <w:t xml:space="preserve">CI após a correção</w:t>
        </w:r>
      </w:hyperlink>
      <w:r>
        <w:rPr>
          <w:b w:val="false"/>
          <w:bCs w:val="false"/>
        </w:rPr>
        <w:t xml:space="preserve"> aprovou novamente todas as etapas; </w:t>
      </w:r>
      <w:r>
        <w:rPr>
          <w:b w:val="false"/>
          <w:bCs w:val="false"/>
        </w:rPr>
        <w:t xml:space="preserve">registro remoto (evidencias/github-ci-finalizacao.json)</w:t>
      </w:r>
      <w:r>
        <w:rPr>
          <w:b w:val="false"/>
          <w:bCs w:val="false"/>
        </w:rPr>
        <w:t xml:space="preserve">.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No E2E,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REVIEW_MIN_DAYS=0</w:t>
      </w:r>
      <w:r>
        <w:rPr>
          <w:b w:val="false"/>
          <w:bCs w:val="false"/>
        </w:rPr>
        <w:t xml:space="preserve"> permite avaliar o vínculo recém-criado; os testes da API verificam a regra padrão de sete dias. SMTP e S3 são serviços locais reais. O teste de transporte Expo controla os módulos nativos e não executa Keychain/Keystore real. A auditoria axe não incluiu telas administrativas ou uma avaliação manual completa de leitores de tela. Os testes de concorrência reproduzem requisições já autenticadas enquanto o banco mantém um bloqueio e confirmam a resposta após a eliminação/troca concorrente.</w:t>
      </w:r>
    </w:p>
    <w:p>
      <w:pPr>
        <w:spacing w:after="50"/>
      </w:pPr>
    </w:p>
    <w:p>
      <w:pPr>
        <w:pStyle w:val="Heading1"/>
        <w:keepNext/>
      </w:pPr>
      <w:r>
        <w:rPr>
          <w:b w:val="false"/>
          <w:bCs w:val="false"/>
        </w:rPr>
        <w:t xml:space="preserve">Controles examinados pelos testes de API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Credenciais e token não aparecem em URL de WebSocket. Reset guarda hash e expiração, token usado uma vez e sessões anteriores revogadas; e-mail capturado por Mailpit. S3 privado recebe ciphertext e download autorizado recupera bytes originais; consentimento negado/revogado, assinatura falsa e terceiro falham. SQL de saúde, mensagem, descrição de consultoria e execução não conserva conteúdo privado em claro. Conferência profissional expira/suspende e remove descoberta com auditoria.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Chat persiste depois de recriar API, pagina sem perder/duplicar mensagens, comunica duas sessões e nega upgrade anônimo/origem indevida. Reviews exigem prazo e titularidade, preservam uma por ciclo, resposta pelo treinador correto e ocultação retira conteúdo/média. Agenda protege conflitos entre diferentes vínculos, horários e histórico. Financeiro usa servidor HTTP controlado, verifica cabeçalho de autenticação e minimização; duplicatas, eventos antigos, timeouts e cancelamento incerto não viram cobrança nova ou confirmação falsa.</w:t>
      </w:r>
    </w:p>
    <w:p>
      <w:pPr>
        <w:spacing w:after="50"/>
      </w:pPr>
    </w:p>
    <w:p>
      <w:pPr>
        <w:pStyle w:val="Heading1"/>
        <w:keepNext/>
      </w:pPr>
      <w:r>
        <w:rPr>
          <w:b w:val="false"/>
          <w:bCs w:val="false"/>
        </w:rPr>
        <w:t xml:space="preserve">Reprodução</w:t>
      </w:r>
    </w:p>
    <w:p>
      <w:pPr>
        <w:spacing w:after="50"/>
      </w:pP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docker compose up -d --wait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pnpm db:migrate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pnpm typecheck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pnpm test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pnpm build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pnpm exec playwright install chromium firefox webkit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pnpm test:e2e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Não execute integração Vitest e E2E simultaneamente no mesmo banco de teste. Configuração final do E2E define portas e diretório de evidência; conferir arquivo de configuração antes de executar. Manual do cliente e operação estão em </w:t>
      </w:r>
      <w:r>
        <w:rPr>
          <w:b w:val="false"/>
          <w:bCs w:val="false"/>
        </w:rPr>
        <w:t xml:space="preserve">manual.md (manual.md)</w:t>
      </w:r>
      <w:r>
        <w:rPr>
          <w:b w:val="false"/>
          <w:bCs w:val="false"/>
        </w:rPr>
        <w:t xml:space="preserve">.</w:t>
      </w:r>
    </w:p>
    <w:p>
      <w:pPr>
        <w:spacing w:after="50"/>
      </w:pPr>
    </w:p>
    <w:p>
      <w:pPr>
        <w:pStyle w:val="Heading1"/>
        <w:keepNext/>
      </w:pPr>
      <w:r>
        <w:rPr>
          <w:b w:val="false"/>
          <w:bCs w:val="false"/>
        </w:rPr>
        <w:t xml:space="preserve">Homologações externas pendentes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Asaas sandbox real, split/repasse de carteira real, CREF autorizado, SMTP externo, S3 hospedado, domínio público, stores e fluxo completo em aparelhos Android/iOS. Google OAuth/Agenda/Meet reais também não foram exercitados. Axe não substitui ensaio com leitor de tela ou revisão integral WCAG. WebKit não comprova Safari real; Chromium não comprova Edge real. Carga local não comprova autoescala em nuvem. Veja </w:t>
      </w:r>
      <w:r>
        <w:rPr>
          <w:b w:val="false"/>
          <w:bCs w:val="false"/>
        </w:rPr>
        <w:t xml:space="preserve">publicação e APK (publicacao.md)</w:t>
      </w:r>
      <w:r>
        <w:rPr>
          <w:b w:val="false"/>
          <w:bCs w:val="false"/>
        </w:rPr>
        <w:t xml:space="preserve"> e </w:t>
      </w:r>
      <w:r>
        <w:rPr>
          <w:b w:val="false"/>
          <w:bCs w:val="false"/>
        </w:rPr>
        <w:t xml:space="preserve">pendências humanas (pendencias-lucca.md)</w:t>
      </w:r>
      <w:r>
        <w:rPr>
          <w:b w:val="false"/>
          <w:bCs w:val="false"/>
        </w:rPr>
        <w:t xml:space="preserve">.</w:t>
      </w:r>
    </w:p>
    <w:p>
      <w:pPr>
        <w:spacing w:after="5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7168"/>
        <w:sz w:val="17"/>
        <w:szCs w:val="17"/>
      </w:rPr>
      <w:t xml:space="preserve">LinkAtletas · 14/10/2026     </w:t>
    </w:r>
    <w:r>
      <w:rPr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D24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00" w:before="120"/>
    </w:pPr>
    <w:rPr>
      <w:rFonts w:ascii="Arial" w:cs="Arial" w:eastAsia="Arial" w:hAnsi="Arial"/>
      <w:b/>
      <w:bCs/>
      <w:color w:val="112D22"/>
      <w:sz w:val="38"/>
      <w:szCs w:val="38"/>
    </w:rPr>
  </w:style>
  <w:style w:type="paragraph" w:styleId="Heading1">
    <w:name w:val="Heading 1"/>
    <w:basedOn w:val="Normal"/>
    <w:next w:val="Normal"/>
    <w:qFormat/>
    <w:pPr>
      <w:keepNext/>
      <w:spacing w:after="160" w:before="300"/>
      <w:outlineLvl w:val="0"/>
    </w:pPr>
    <w:rPr>
      <w:rFonts w:ascii="Arial" w:cs="Arial" w:eastAsia="Arial" w:hAnsi="Arial"/>
      <w:b/>
      <w:bCs/>
      <w:color w:val="173D2B"/>
      <w:sz w:val="29"/>
      <w:szCs w:val="29"/>
    </w:rPr>
  </w:style>
  <w:style w:type="paragraph" w:styleId="Heading2">
    <w:name w:val="Heading 2"/>
    <w:basedOn w:val="Normal"/>
    <w:next w:val="Normal"/>
    <w:qFormat/>
    <w:pPr>
      <w:keepNext/>
      <w:spacing w:after="12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qvdkivuz4wckcstxshb5x" Type="http://schemas.openxmlformats.org/officeDocument/2006/relationships/hyperlink" Target="https://github.com/DaviSouza78/LinkAtletas/actions/runs/38675094079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LinkAtletas — Relatório de testes</dc:title>
  <dc:creator>Lucca</dc:creator>
  <dc:description>Fonte Markdown versionada junto ao documento.</dc:description>
  <cp:lastModifiedBy>Un-named</cp:lastModifiedBy>
  <cp:revision>1</cp:revision>
  <dcterms:created xsi:type="dcterms:W3CDTF">2026-10-15T03:19:45.818Z</dcterms:created>
  <dcterms:modified xsi:type="dcterms:W3CDTF">2026-10-15T03:19:45.818Z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