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0" w:lineRule="auto"/>
        <w:jc w:val="center"/>
        <w:rPr/>
      </w:pPr>
      <w:r w:rsidDel="00000000" w:rsidR="00000000" w:rsidRPr="00000000">
        <w:rPr>
          <w:b w:val="1"/>
          <w:bCs w:val="1"/>
          <w:sz w:val="44"/>
          <w:szCs w:val="44"/>
          <w:rtl w:val="0"/>
        </w:rPr>
        <w:t xml:space="preserve">Wind Farm Design for a Small Data Center in North Carolina</w:t>
      </w:r>
      <w:r w:rsidDel="00000000" w:rsidR="00000000" w:rsidRPr="00000000">
        <w:rPr>
          <w:rtl w:val="0"/>
        </w:rPr>
      </w:r>
    </w:p>
    <w:p w:rsidR="00000000" w:rsidDel="00000000" w:rsidP="00000000" w:rsidRDefault="00000000" w:rsidRPr="00000000" w14:paraId="00000002">
      <w:pPr>
        <w:spacing w:before="240" w:lineRule="auto"/>
        <w:jc w:val="center"/>
        <w:rPr/>
      </w:pPr>
      <w:r w:rsidDel="00000000" w:rsidR="00000000" w:rsidRPr="00000000">
        <w:rPr>
          <w:sz w:val="32"/>
          <w:szCs w:val="32"/>
          <w:rtl w:val="0"/>
        </w:rPr>
        <w:t xml:space="preserve">Midterm Project Report</w:t>
      </w:r>
      <w:r w:rsidDel="00000000" w:rsidR="00000000" w:rsidRPr="00000000">
        <w:rPr>
          <w:rtl w:val="0"/>
        </w:rPr>
      </w:r>
    </w:p>
    <w:p w:rsidR="00000000" w:rsidDel="00000000" w:rsidP="00000000" w:rsidRDefault="00000000" w:rsidRPr="00000000" w14:paraId="00000003">
      <w:pPr>
        <w:spacing w:before="240" w:lineRule="auto"/>
        <w:jc w:val="center"/>
        <w:rPr/>
      </w:pPr>
      <w:r w:rsidDel="00000000" w:rsidR="00000000" w:rsidRPr="00000000">
        <w:rPr>
          <w:rtl w:val="0"/>
        </w:rPr>
        <w:t xml:space="preserve">AEEE 5250 Analysis of Renewable Energy Systems, Fall 2026</w:t>
      </w:r>
    </w:p>
    <w:p w:rsidR="00000000" w:rsidDel="00000000" w:rsidP="00000000" w:rsidRDefault="00000000" w:rsidRPr="00000000" w14:paraId="00000004">
      <w:pPr>
        <w:spacing w:before="1200" w:lineRule="auto"/>
        <w:jc w:val="center"/>
        <w:rPr/>
      </w:pPr>
      <w:r w:rsidDel="00000000" w:rsidR="00000000" w:rsidRPr="00000000">
        <w:rPr>
          <w:b w:val="1"/>
          <w:bCs w:val="1"/>
          <w:rtl w:val="0"/>
        </w:rPr>
        <w:t xml:space="preserve">Prepared by</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t xml:space="preserve">David Salisbury</w:t>
      </w:r>
    </w:p>
    <w:p w:rsidR="00000000" w:rsidDel="00000000" w:rsidP="00000000" w:rsidRDefault="00000000" w:rsidRPr="00000000" w14:paraId="00000006">
      <w:pPr>
        <w:jc w:val="center"/>
        <w:rPr/>
      </w:pPr>
      <w:r w:rsidDel="00000000" w:rsidR="00000000" w:rsidRPr="00000000">
        <w:rPr>
          <w:rFonts w:ascii="Roboto" w:cs="Roboto" w:eastAsia="Roboto" w:hAnsi="Roboto"/>
          <w:color w:val="1f1f1f"/>
          <w:sz w:val="21"/>
          <w:szCs w:val="21"/>
          <w:rtl w:val="0"/>
        </w:rPr>
        <w:t xml:space="preserve">Dmitrii Nikiforov</w:t>
      </w:r>
      <w:r w:rsidDel="00000000" w:rsidR="00000000" w:rsidRPr="00000000">
        <w:rPr>
          <w:rtl w:val="0"/>
        </w:rPr>
        <w:t xml:space="preserve"> </w:t>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spacing w:before="600" w:lineRule="auto"/>
        <w:jc w:val="center"/>
        <w:rPr/>
      </w:pPr>
      <w:r w:rsidDel="00000000" w:rsidR="00000000" w:rsidRPr="00000000">
        <w:rPr>
          <w:b w:val="1"/>
          <w:bCs w:val="1"/>
          <w:rtl w:val="0"/>
        </w:rPr>
        <w:t xml:space="preserve">Submitted to: </w:t>
      </w:r>
      <w:r w:rsidDel="00000000" w:rsidR="00000000" w:rsidRPr="00000000">
        <w:rPr>
          <w:rtl w:val="0"/>
        </w:rPr>
        <w:t xml:space="preserve">Dr. Maciej Noras</w:t>
      </w:r>
    </w:p>
    <w:p w:rsidR="00000000" w:rsidDel="00000000" w:rsidP="00000000" w:rsidRDefault="00000000" w:rsidRPr="00000000" w14:paraId="00000009">
      <w:pPr>
        <w:jc w:val="center"/>
        <w:rPr/>
      </w:pPr>
      <w:r w:rsidDel="00000000" w:rsidR="00000000" w:rsidRPr="00000000">
        <w:rPr>
          <w:b w:val="1"/>
          <w:bCs w:val="1"/>
          <w:rtl w:val="0"/>
        </w:rPr>
        <w:t xml:space="preserve">Date: </w:t>
      </w:r>
      <w:r w:rsidDel="00000000" w:rsidR="00000000" w:rsidRPr="00000000">
        <w:rPr>
          <w:rtl w:val="0"/>
        </w:rPr>
        <w:t xml:space="preserve">10/09/26</w:t>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rPr>
          <w:rFonts w:ascii="Calibri" w:cs="Calibri" w:eastAsia="Calibri" w:hAnsi="Calibri"/>
          <w:b w:val="0"/>
          <w:bCs w:val="0"/>
          <w:i w:val="1"/>
          <w:iCs w:val="1"/>
          <w:smallCaps w:val="0"/>
          <w:strike w:val="0"/>
          <w:color w:val="7f7f7f"/>
          <w:sz w:val="22"/>
          <w:szCs w:val="22"/>
          <w:u w:val="none"/>
          <w:shd w:fill="auto" w:val="clear"/>
          <w:vertAlign w:val="baseline"/>
        </w:rPr>
      </w:pPr>
      <w:r w:rsidDel="00000000" w:rsidR="00000000" w:rsidRPr="00000000">
        <w:rPr>
          <w:rtl w:val="0"/>
        </w:rPr>
        <w:t xml:space="preserve">1. Design Basis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400"/>
        <w:gridCol w:w="3960"/>
        <w:tblGridChange w:id="0">
          <w:tblGrid>
            <w:gridCol w:w="3000"/>
            <w:gridCol w:w="2400"/>
            <w:gridCol w:w="39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0C">
            <w:pPr>
              <w:jc w:val="center"/>
              <w:rPr/>
            </w:pPr>
            <w:r w:rsidDel="00000000" w:rsidR="00000000" w:rsidRPr="00000000">
              <w:rPr>
                <w:b w:val="1"/>
                <w:bCs w:val="1"/>
                <w:color w:val="000000"/>
                <w:sz w:val="20"/>
                <w:szCs w:val="20"/>
                <w:rtl w:val="0"/>
              </w:rPr>
              <w:t xml:space="preserve">Parameter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0D">
            <w:pPr>
              <w:jc w:val="center"/>
              <w:rPr/>
            </w:pPr>
            <w:r w:rsidDel="00000000" w:rsidR="00000000" w:rsidRPr="00000000">
              <w:rPr>
                <w:b w:val="1"/>
                <w:bCs w:val="1"/>
                <w:color w:val="000000"/>
                <w:sz w:val="20"/>
                <w:szCs w:val="20"/>
                <w:rtl w:val="0"/>
              </w:rPr>
              <w:t xml:space="preserve">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0E">
            <w:pPr>
              <w:jc w:val="center"/>
              <w:rPr/>
            </w:pPr>
            <w:r w:rsidDel="00000000" w:rsidR="00000000" w:rsidRPr="00000000">
              <w:rPr>
                <w:b w:val="1"/>
                <w:bCs w:val="1"/>
                <w:color w:val="000000"/>
                <w:sz w:val="20"/>
                <w:szCs w:val="20"/>
                <w:rtl w:val="0"/>
              </w:rPr>
              <w:t xml:space="preserve">Basis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0F">
            <w:pPr>
              <w:jc w:val="center"/>
              <w:rPr/>
            </w:pPr>
            <w:r w:rsidDel="00000000" w:rsidR="00000000" w:rsidRPr="00000000">
              <w:rPr>
                <w:sz w:val="20"/>
                <w:szCs w:val="20"/>
                <w:rtl w:val="0"/>
              </w:rPr>
              <w:t xml:space="preserve">IT critical load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0">
            <w:pPr>
              <w:jc w:val="center"/>
              <w:rPr/>
            </w:pPr>
            <w:r w:rsidDel="00000000" w:rsidR="00000000" w:rsidRPr="00000000">
              <w:rPr>
                <w:sz w:val="20"/>
                <w:szCs w:val="20"/>
                <w:rtl w:val="0"/>
              </w:rPr>
              <w:t xml:space="preserve">10 MW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1">
            <w:pPr>
              <w:jc w:val="center"/>
              <w:rPr/>
            </w:pPr>
            <w:r w:rsidDel="00000000" w:rsidR="00000000" w:rsidRPr="00000000">
              <w:rPr>
                <w:sz w:val="20"/>
                <w:szCs w:val="20"/>
                <w:rtl w:val="0"/>
              </w:rPr>
              <w:t xml:space="preserve">Given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2">
            <w:pPr>
              <w:jc w:val="center"/>
              <w:rPr/>
            </w:pPr>
            <w:r w:rsidDel="00000000" w:rsidR="00000000" w:rsidRPr="00000000">
              <w:rPr>
                <w:sz w:val="20"/>
                <w:szCs w:val="20"/>
                <w:rtl w:val="0"/>
              </w:rPr>
              <w:t xml:space="preserve">Power usage effectiveness (PUE)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3">
            <w:pPr>
              <w:jc w:val="center"/>
              <w:rPr/>
            </w:pPr>
            <w:r w:rsidDel="00000000" w:rsidR="00000000" w:rsidRPr="00000000">
              <w:rPr>
                <w:sz w:val="20"/>
                <w:szCs w:val="20"/>
                <w:rtl w:val="0"/>
              </w:rPr>
              <w:t xml:space="preserve">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4">
            <w:pPr>
              <w:jc w:val="center"/>
              <w:rPr/>
            </w:pPr>
            <w:r w:rsidDel="00000000" w:rsidR="00000000" w:rsidRPr="00000000">
              <w:rPr>
                <w:sz w:val="20"/>
                <w:szCs w:val="20"/>
                <w:rtl w:val="0"/>
              </w:rPr>
              <w:t xml:space="preserve">Given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5">
            <w:pPr>
              <w:jc w:val="center"/>
              <w:rPr/>
            </w:pPr>
            <w:r w:rsidDel="00000000" w:rsidR="00000000" w:rsidRPr="00000000">
              <w:rPr>
                <w:sz w:val="20"/>
                <w:szCs w:val="20"/>
                <w:rtl w:val="0"/>
              </w:rPr>
              <w:t xml:space="preserve">Total facility demand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6">
            <w:pPr>
              <w:jc w:val="center"/>
              <w:rPr/>
            </w:pPr>
            <w:r w:rsidDel="00000000" w:rsidR="00000000" w:rsidRPr="00000000">
              <w:rPr>
                <w:sz w:val="20"/>
                <w:szCs w:val="20"/>
                <w:rtl w:val="0"/>
              </w:rPr>
              <w:t xml:space="preserve">14 MW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7">
            <w:pPr>
              <w:jc w:val="center"/>
              <w:rPr/>
            </w:pPr>
            <w:r w:rsidDel="00000000" w:rsidR="00000000" w:rsidRPr="00000000">
              <w:rPr>
                <w:sz w:val="20"/>
                <w:szCs w:val="20"/>
                <w:rtl w:val="0"/>
              </w:rPr>
              <w:t xml:space="preserve">10 MW × 1.4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8">
            <w:pPr>
              <w:jc w:val="center"/>
              <w:rPr/>
            </w:pPr>
            <w:r w:rsidDel="00000000" w:rsidR="00000000" w:rsidRPr="00000000">
              <w:rPr>
                <w:sz w:val="20"/>
                <w:szCs w:val="20"/>
                <w:rtl w:val="0"/>
              </w:rPr>
              <w:t xml:space="preserve">Annual energy demand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9">
            <w:pPr>
              <w:jc w:val="center"/>
              <w:rPr/>
            </w:pPr>
            <w:r w:rsidDel="00000000" w:rsidR="00000000" w:rsidRPr="00000000">
              <w:rPr>
                <w:sz w:val="20"/>
                <w:szCs w:val="20"/>
                <w:rtl w:val="0"/>
              </w:rPr>
              <w:t xml:space="preserve">122,640 MWh/yr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A">
            <w:pPr>
              <w:jc w:val="center"/>
              <w:rPr/>
            </w:pPr>
            <w:r w:rsidDel="00000000" w:rsidR="00000000" w:rsidRPr="00000000">
              <w:rPr>
                <w:sz w:val="20"/>
                <w:szCs w:val="20"/>
                <w:rtl w:val="0"/>
              </w:rPr>
              <w:t xml:space="preserve">14 MW × 8,760 h/yr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B">
            <w:pPr>
              <w:jc w:val="center"/>
              <w:rPr/>
            </w:pPr>
            <w:r w:rsidDel="00000000" w:rsidR="00000000" w:rsidRPr="00000000">
              <w:rPr>
                <w:sz w:val="20"/>
                <w:szCs w:val="20"/>
                <w:rtl w:val="0"/>
              </w:rPr>
              <w:t xml:space="preserve">Reliability requirement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C">
            <w:pPr>
              <w:jc w:val="center"/>
              <w:rPr/>
            </w:pPr>
            <w:r w:rsidDel="00000000" w:rsidR="00000000" w:rsidRPr="00000000">
              <w:rPr>
                <w:sz w:val="20"/>
                <w:szCs w:val="20"/>
                <w:rtl w:val="0"/>
              </w:rPr>
              <w:t xml:space="preserve">Near-continuous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D">
            <w:pPr>
              <w:jc w:val="center"/>
              <w:rPr/>
            </w:pPr>
            <w:r w:rsidDel="00000000" w:rsidR="00000000" w:rsidRPr="00000000">
              <w:rPr>
                <w:sz w:val="20"/>
                <w:szCs w:val="20"/>
                <w:rtl w:val="0"/>
              </w:rPr>
              <w:t xml:space="preserve">Firm grid interconnection for backup and balancing</w:t>
            </w:r>
            <w:r w:rsidDel="00000000" w:rsidR="00000000" w:rsidRPr="00000000">
              <w:rPr>
                <w:rtl w:val="0"/>
              </w:rPr>
            </w:r>
          </w:p>
        </w:tc>
      </w:tr>
    </w:tbl>
    <w:p w:rsidR="00000000" w:rsidDel="00000000" w:rsidP="00000000" w:rsidRDefault="00000000" w:rsidRPr="00000000" w14:paraId="0000001E">
      <w:pPr>
        <w:spacing w:after="200" w:lineRule="auto"/>
        <w:jc w:val="center"/>
        <w:rPr/>
      </w:pPr>
      <w:r w:rsidDel="00000000" w:rsidR="00000000" w:rsidRPr="00000000">
        <w:rPr>
          <w:i w:val="1"/>
          <w:iCs w:val="1"/>
          <w:sz w:val="20"/>
          <w:szCs w:val="20"/>
          <w:rtl w:val="0"/>
        </w:rPr>
        <w:t xml:space="preserve">Table 1-1. Data center design load</w:t>
      </w:r>
      <w:r w:rsidDel="00000000" w:rsidR="00000000" w:rsidRPr="00000000">
        <w:rPr>
          <w:rtl w:val="0"/>
        </w:rPr>
      </w:r>
    </w:p>
    <w:p w:rsidR="00000000" w:rsidDel="00000000" w:rsidP="00000000" w:rsidRDefault="00000000" w:rsidRPr="00000000" w14:paraId="0000001F">
      <w:pPr>
        <w:pStyle w:val="Heading1"/>
        <w:rPr/>
      </w:pPr>
      <w:r w:rsidDel="00000000" w:rsidR="00000000" w:rsidRPr="00000000">
        <w:rPr>
          <w:rtl w:val="0"/>
        </w:rPr>
        <w:t xml:space="preserve">2. Site Selection and Screening</w:t>
      </w:r>
    </w:p>
    <w:p w:rsidR="00000000" w:rsidDel="00000000" w:rsidP="00000000" w:rsidRDefault="00000000" w:rsidRPr="00000000" w14:paraId="00000020">
      <w:pPr>
        <w:pStyle w:val="Heading2"/>
        <w:rPr/>
      </w:pPr>
      <w:r w:rsidDel="00000000" w:rsidR="00000000" w:rsidRPr="00000000">
        <w:rPr>
          <w:rtl w:val="0"/>
        </w:rPr>
        <w:t xml:space="preserve">2.1 Candidate Sites</w:t>
      </w:r>
    </w:p>
    <w:p>
      <w:pPr>
        <w:spacing w:after="120" w:before="0"/>
        <w:jc w:val="both"/>
      </w:pPr>
      <w:r>
        <w:t>Three candidate sites were identified in the northeastern North Carolina coastal plain, the part of the state with the best land-based wind resource outside the western mountain ridges covered by the Mountain Ridge Protection Act (Figure 2-1). The NLR WIND Toolkit 100 m wind speed field was used to find the windiest band of land (7.0 to 7.8 m/s, concentrated in Pasquotank, Camden, Currituck, Tyrrell and Hyde counties), and the land-use, transmission and exclusion layers were then used to pick one representative open-agricultural location in each of three different settings: an interior farm-belt site near existing wind projects and 230 kV transmission (Site A, Perquimans), a higher-wind sound-side site (Site B, Camden), and the windiest mainland site on the Pamlico Sound (Site C, Hyde).</w:t>
      </w:r>
    </w:p>
    <w:p>
      <w:pPr>
        <w:spacing w:after="120" w:before="0"/>
        <w:jc w:val="both"/>
      </w:pPr>
      <w:r>
        <w:t xml:space="preserve">Each site was screened over a 4 km (2.5 mi) radius study area (12,430 acres). Wind speed is the 2007 to 2014 mean at the nearest WIND Toolkit grid point at 100 m. Land cover is from the ESA WorldCover 10 m (2021) map, and structures, wetlands, power lines, substations, airports and protected areas are from the Overture Maps / OpenStreetMap layers. "Setback-compliant land" is open cropland or grassland that is outside mapped wetlands, at least 375 m (2.5 × the 150 m tip height, the Perquimans County standard) from any mapped structure, and at least 1.1 × tip height from public roads. </w:t>
      </w:r>
      <w:r>
        <w:rPr>
          <w:highlight w:val="yellow"/>
        </w:rPr>
        <w:t>Screenshots of the same three locations in the NLR Wind Prospector (100 m wind, land use and transmission layers) should be added here.</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0"/>
        <w:gridCol w:w="2000"/>
        <w:gridCol w:w="2000"/>
        <w:gridCol w:w="2000"/>
        <w:tblGridChange w:id="0">
          <w:tblGrid>
            <w:gridCol w:w="3360"/>
            <w:gridCol w:w="2000"/>
            <w:gridCol w:w="2000"/>
            <w:gridCol w:w="20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22">
            <w:pPr>
              <w:jc w:val="center"/>
              <w:rPr/>
            </w:pPr>
            <w:r w:rsidDel="00000000" w:rsidR="00000000" w:rsidRPr="00000000">
              <w:rPr>
                <w:b w:val="1"/>
                <w:bCs w:val="1"/>
                <w:color w:val="000000"/>
                <w:sz w:val="20"/>
                <w:szCs w:val="20"/>
                <w:rtl w:val="0"/>
              </w:rPr>
              <w:t xml:space="preserve">Criterion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23">
            <w:pPr>
              <w:jc w:val="center"/>
              <w:rPr/>
            </w:pPr>
            <w:r w:rsidDel="00000000" w:rsidR="00000000" w:rsidRPr="00000000">
              <w:rPr>
                <w:b w:val="1"/>
                <w:bCs w:val="1"/>
                <w:color w:val="000000"/>
                <w:sz w:val="20"/>
                <w:szCs w:val="20"/>
                <w:rtl w:val="0"/>
              </w:rPr>
              <w:t xml:space="preserve">Site 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24">
            <w:pPr>
              <w:jc w:val="center"/>
              <w:rPr/>
            </w:pPr>
            <w:r w:rsidDel="00000000" w:rsidR="00000000" w:rsidRPr="00000000">
              <w:rPr>
                <w:b w:val="1"/>
                <w:bCs w:val="1"/>
                <w:color w:val="000000"/>
                <w:sz w:val="20"/>
                <w:szCs w:val="20"/>
                <w:rtl w:val="0"/>
              </w:rPr>
              <w:t xml:space="preserve">Site 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25">
            <w:pPr>
              <w:jc w:val="center"/>
              <w:rPr/>
            </w:pPr>
            <w:r w:rsidDel="00000000" w:rsidR="00000000" w:rsidRPr="00000000">
              <w:rPr>
                <w:b w:val="1"/>
                <w:bCs w:val="1"/>
                <w:color w:val="000000"/>
                <w:sz w:val="20"/>
                <w:szCs w:val="20"/>
                <w:rtl w:val="0"/>
              </w:rPr>
              <w:t xml:space="preserve">Site 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6">
            <w:pPr>
              <w:jc w:val="right"/>
              <w:rPr/>
            </w:pPr>
            <w:r w:rsidDel="00000000" w:rsidR="00000000" w:rsidRPr="00000000">
              <w:rPr>
                <w:sz w:val="20"/>
                <w:szCs w:val="20"/>
                <w:rtl w:val="0"/>
              </w:rPr>
              <w:t xml:space="preserve">County / location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7">
            <w:pPr>
              <w:jc w:val="center"/>
              <w:rPr/>
            </w:pPr>
            <w:r>
              <w:rPr>
                <w:sz w:val="20"/>
              </w:rPr>
              <w:t>Perquimans Co. (Durants Neck)</w:t>
              <w:br/>
              <w:t>36.130° N, 76.450° W</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8">
            <w:pPr>
              <w:jc w:val="center"/>
              <w:rPr/>
            </w:pPr>
            <w:r>
              <w:rPr>
                <w:sz w:val="20"/>
              </w:rPr>
              <w:t>Camden Co. (south of Shiloh)</w:t>
              <w:br/>
              <w:t>36.235° N, 76.030° W</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9">
            <w:pPr>
              <w:jc w:val="center"/>
              <w:rPr/>
            </w:pPr>
            <w:r>
              <w:rPr>
                <w:sz w:val="20"/>
              </w:rPr>
              <w:t>Hyde Co. (near Engelhard)</w:t>
              <w:br/>
              <w:t>35.525° N, 76.000° W</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A">
            <w:pPr>
              <w:jc w:val="right"/>
              <w:rPr/>
            </w:pPr>
            <w:r w:rsidDel="00000000" w:rsidR="00000000" w:rsidRPr="00000000">
              <w:rPr>
                <w:sz w:val="20"/>
                <w:szCs w:val="20"/>
                <w:rtl w:val="0"/>
              </w:rPr>
              <w:t xml:space="preserve">Wind resource (m/s)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B">
            <w:pPr>
              <w:jc w:val="center"/>
              <w:rPr/>
            </w:pPr>
            <w:r>
              <w:rPr>
                <w:sz w:val="20"/>
              </w:rPr>
              <w:t>6.91 at 100 m</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C">
            <w:pPr>
              <w:jc w:val="center"/>
              <w:rPr/>
            </w:pPr>
            <w:r>
              <w:rPr>
                <w:sz w:val="20"/>
              </w:rPr>
              <w:t>7.23 at 100 m</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D">
            <w:pPr>
              <w:jc w:val="center"/>
              <w:rPr/>
            </w:pPr>
            <w:r>
              <w:rPr>
                <w:sz w:val="20"/>
              </w:rPr>
              <w:t>7.30 at 100 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E">
            <w:pPr>
              <w:jc w:val="right"/>
              <w:rPr/>
            </w:pPr>
            <w:r w:rsidDel="00000000" w:rsidR="00000000" w:rsidRPr="00000000">
              <w:rPr>
                <w:sz w:val="20"/>
                <w:szCs w:val="20"/>
                <w:rtl w:val="0"/>
              </w:rPr>
              <w:t xml:space="preserve">Land availability (acres)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F">
            <w:pPr>
              <w:jc w:val="center"/>
              <w:rPr/>
            </w:pPr>
            <w:r>
              <w:rPr>
                <w:sz w:val="20"/>
              </w:rPr>
              <w:t>5,643 open (34% crop); 2,094 setback-compliant</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0">
            <w:pPr>
              <w:jc w:val="center"/>
              <w:rPr/>
            </w:pPr>
            <w:r>
              <w:rPr>
                <w:sz w:val="20"/>
              </w:rPr>
              <w:t>3,508 open (23% crop); 756 setback-compliant</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1">
            <w:pPr>
              <w:jc w:val="center"/>
              <w:rPr/>
            </w:pPr>
            <w:r>
              <w:rPr>
                <w:sz w:val="20"/>
              </w:rPr>
              <w:t>6,677 open (46% crop); 4,350 setback-compliant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2">
            <w:pPr>
              <w:jc w:val="right"/>
              <w:rPr/>
            </w:pPr>
            <w:r w:rsidDel="00000000" w:rsidR="00000000" w:rsidRPr="00000000">
              <w:rPr>
                <w:sz w:val="20"/>
                <w:szCs w:val="20"/>
                <w:rtl w:val="0"/>
              </w:rPr>
              <w:t xml:space="preserve">Transmission proximity (mi)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3">
            <w:pPr>
              <w:jc w:val="center"/>
              <w:rPr/>
            </w:pPr>
            <w:r>
              <w:rPr>
                <w:sz w:val="20"/>
              </w:rPr>
              <w:t>3.7 mi to 230 kV line; 3.9 mi to South Hertford 230 kV sub (Dominion)</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4">
            <w:pPr>
              <w:jc w:val="center"/>
              <w:rPr/>
            </w:pPr>
            <w:r>
              <w:rPr>
                <w:sz w:val="20"/>
              </w:rPr>
              <w:t>7.0 mi to 230 kV line; 9.4 mi to Aydlett 230 kV sub</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5">
            <w:pPr>
              <w:jc w:val="center"/>
              <w:rPr/>
            </w:pPr>
            <w:r>
              <w:rPr>
                <w:sz w:val="20"/>
              </w:rPr>
              <w:t>18.1 mi to 115 kV (Tideland EMC); 40 mi to 230 kV</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6">
            <w:pPr>
              <w:jc w:val="right"/>
              <w:rPr/>
            </w:pPr>
            <w:r w:rsidDel="00000000" w:rsidR="00000000" w:rsidRPr="00000000">
              <w:rPr>
                <w:sz w:val="20"/>
                <w:szCs w:val="20"/>
                <w:rtl w:val="0"/>
              </w:rPr>
              <w:t xml:space="preserve">Airports / airspace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7">
            <w:pPr>
              <w:jc w:val="center"/>
              <w:rPr/>
            </w:pPr>
            <w:r>
              <w:rPr>
                <w:sz w:val="20"/>
              </w:rPr>
              <w:t>Nearest public-use: Northeastern Regional (KEDE) 9.5 mi; Harvey Point DoD site 4.7 mi; Navy ROTHR receiver 31 mi (outside 28 mi zone)</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8">
            <w:pPr>
              <w:jc w:val="center"/>
              <w:rPr/>
            </w:pPr>
            <w:r>
              <w:rPr>
                <w:sz w:val="20"/>
              </w:rPr>
              <w:t>USCG Air Station / Elizabeth City Regional (KECG) 7.3 mi; Currituck Co. (KONX) 11.3 mi; ROTHR 26 mi (inside 28 mi zone)</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9">
            <w:pPr>
              <w:jc w:val="center"/>
              <w:rPr/>
            </w:pPr>
            <w:r>
              <w:rPr>
                <w:sz w:val="20"/>
              </w:rPr>
              <w:t>Hyde Co. Airport (7W6) 3.5 mi; Dare Co. Bombing Range 10.7 mi; military training airspace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A">
            <w:pPr>
              <w:jc w:val="right"/>
              <w:rPr/>
            </w:pPr>
            <w:r w:rsidDel="00000000" w:rsidR="00000000" w:rsidRPr="00000000">
              <w:rPr>
                <w:sz w:val="20"/>
                <w:szCs w:val="20"/>
                <w:rtl w:val="0"/>
              </w:rPr>
              <w:t xml:space="preserve">Protected ridges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B">
            <w:pPr>
              <w:jc w:val="center"/>
              <w:rPr/>
            </w:pPr>
            <w:r>
              <w:rPr>
                <w:sz w:val="20"/>
              </w:rPr>
              <w:t>None (coastal plain, ground elev. about 10 m)</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C">
            <w:pPr>
              <w:jc w:val="center"/>
              <w:rPr/>
            </w:pPr>
            <w:r>
              <w:rPr>
                <w:sz w:val="20"/>
              </w:rPr>
              <w:t>None (ground elev. about 1 m)</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D">
            <w:pPr>
              <w:jc w:val="center"/>
              <w:rPr/>
            </w:pPr>
            <w:r>
              <w:rPr>
                <w:sz w:val="20"/>
              </w:rPr>
              <w:t>None (ground elev. about 0 to 1 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E">
            <w:pPr>
              <w:jc w:val="right"/>
              <w:rPr/>
            </w:pPr>
            <w:r w:rsidDel="00000000" w:rsidR="00000000" w:rsidRPr="00000000">
              <w:rPr>
                <w:sz w:val="20"/>
                <w:szCs w:val="20"/>
                <w:rtl w:val="0"/>
              </w:rPr>
              <w:t xml:space="preserve">Wetlands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F">
            <w:pPr>
              <w:jc w:val="center"/>
              <w:rPr/>
            </w:pPr>
            <w:r>
              <w:rPr>
                <w:sz w:val="20"/>
              </w:rPr>
              <w:t>Low: 302 ac mapped wetland (2%)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0">
            <w:pPr>
              <w:jc w:val="center"/>
              <w:rPr/>
            </w:pPr>
            <w:r>
              <w:rPr>
                <w:sz w:val="20"/>
              </w:rPr>
              <w:t>High: 3,706 ac mapped wetland (30%) plus 17% open water</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1">
            <w:pPr>
              <w:jc w:val="center"/>
              <w:rPr/>
            </w:pPr>
            <w:r>
              <w:rPr>
                <w:sz w:val="20"/>
              </w:rPr>
              <w:t>High: 17% herbaceous wetland; 1,859 ac mapped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2">
            <w:pPr>
              <w:jc w:val="right"/>
              <w:rPr/>
            </w:pPr>
            <w:r w:rsidDel="00000000" w:rsidR="00000000" w:rsidRPr="00000000">
              <w:rPr>
                <w:sz w:val="20"/>
                <w:szCs w:val="20"/>
                <w:rtl w:val="0"/>
              </w:rPr>
              <w:t xml:space="preserve">Residential setbacks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3">
            <w:pPr>
              <w:jc w:val="center"/>
              <w:rPr/>
            </w:pPr>
            <w:r>
              <w:rPr>
                <w:sz w:val="20"/>
              </w:rPr>
              <w:t>617 structures in study area; 375 m setback feasible</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4">
            <w:pPr>
              <w:jc w:val="center"/>
              <w:rPr/>
            </w:pPr>
            <w:r>
              <w:rPr>
                <w:sz w:val="20"/>
              </w:rPr>
              <w:t>384 structures; setback land fragmented by water and marsh</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5">
            <w:pPr>
              <w:jc w:val="center"/>
              <w:rPr/>
            </w:pPr>
            <w:r>
              <w:rPr>
                <w:sz w:val="20"/>
              </w:rPr>
              <w:t>571 structures, clustered in Engelhard; setback feasible</w:t>
            </w:r>
          </w:p>
        </w:tc>
      </w:tr>
    </w:tbl>
    <w:p w:rsidR="00000000" w:rsidDel="00000000" w:rsidP="00000000" w:rsidRDefault="00000000" w:rsidRPr="00000000" w14:paraId="00000046">
      <w:pPr>
        <w:spacing w:after="200" w:lineRule="auto"/>
        <w:jc w:val="center"/>
        <w:rPr/>
      </w:pPr>
      <w:r w:rsidDel="00000000" w:rsidR="00000000" w:rsidRPr="00000000">
        <w:rPr>
          <w:i w:val="1"/>
          <w:iCs w:val="1"/>
          <w:sz w:val="20"/>
          <w:szCs w:val="20"/>
          <w:rtl w:val="0"/>
        </w:rPr>
        <w:t xml:space="preserve">Table 2-1. Candidate site screening</w:t>
      </w:r>
      <w:r w:rsidDel="00000000" w:rsidR="00000000" w:rsidRPr="00000000">
        <w:rPr>
          <w:rtl w:val="0"/>
        </w:rPr>
      </w:r>
    </w:p>
    <w:p>
      <w:pPr>
        <w:keepNext/>
        <w:spacing w:after="60" w:before="0"/>
        <w:jc w:val="center"/>
      </w:pPr>
      <w:r>
        <w:drawing>
          <wp:inline>
            <wp:extent cx="5486400" cy="5472187"/>
            <wp:docPr id="1" name="Picture 1"/>
            <wp:cNvGraphicFramePr>
              <a:graphicFrameLocks noChangeAspect="1"/>
            </wp:cNvGraphicFramePr>
            <a:graphic>
              <a:graphicData uri="http://schemas.openxmlformats.org/drawingml/2006/picture">
                <pic:pic>
                  <pic:nvPicPr>
                    <pic:cNvPr id="0" name="overview.png"/>
                    <pic:cNvPicPr/>
                  </pic:nvPicPr>
                  <pic:blipFill>
                    <a:blip r:embed="rId8"/>
                    <a:stretch>
                      <a:fillRect/>
                    </a:stretch>
                  </pic:blipFill>
                  <pic:spPr>
                    <a:xfrm>
                      <a:off x="0" y="0"/>
                      <a:ext cx="5486400" cy="5472187"/>
                    </a:xfrm>
                    <a:prstGeom prst="rect"/>
                  </pic:spPr>
                </pic:pic>
              </a:graphicData>
            </a:graphic>
          </wp:inline>
        </w:drawing>
      </w:r>
    </w:p>
    <w:p>
      <w:pPr>
        <w:spacing w:after="200" w:before="0"/>
        <w:jc w:val="center"/>
      </w:pPr>
      <w:r>
        <w:rPr>
          <w:i/>
          <w:sz w:val="20"/>
        </w:rPr>
        <w:t>Figure 2-1. Candidate sites, WIND Toolkit 100 m resource, transmission and exclusion layers</w:t>
      </w:r>
    </w:p>
    <w:p w:rsidR="00000000" w:rsidDel="00000000" w:rsidP="00000000" w:rsidRDefault="00000000" w:rsidRPr="00000000" w14:paraId="00000047">
      <w:pPr>
        <w:pStyle w:val="Heading2"/>
        <w:rPr/>
      </w:pPr>
      <w:r w:rsidDel="00000000" w:rsidR="00000000" w:rsidRPr="00000000">
        <w:rPr>
          <w:rtl w:val="0"/>
        </w:rPr>
        <w:t xml:space="preserve">2.2 Screening Outcomes</w:t>
      </w:r>
    </w:p>
    <w:p>
      <w:pPr>
        <w:spacing w:after="120" w:before="0"/>
        <w:jc w:val="both"/>
      </w:pPr>
      <w:r>
        <w:t xml:space="preserve">The four screening resources were applied to all three sites. The results below combine the site data in Table 2-1 with the published record for the existing Amazon Wind Farm US East (Perquimans/Pasquotank, 104 turbines, 2016) and Timbermill Wind (Chowan, 45 turbines, permitted 2023) projects, which sit about 12 to 15 km from Site A. </w:t>
      </w:r>
      <w:r>
        <w:rPr>
          <w:highlight w:val="yellow"/>
        </w:rPr>
        <w:t>Each subsection notes the official tool check that still has to be run. Paste that tool's output or a screenshot in where noted.</w:t>
      </w:r>
    </w:p>
    <w:p w:rsidR="00000000" w:rsidDel="00000000" w:rsidP="00000000" w:rsidRDefault="00000000" w:rsidRPr="00000000" w14:paraId="00000049">
      <w:pPr>
        <w:pStyle w:val="Heading3"/>
        <w:rPr/>
      </w:pPr>
      <w:r w:rsidDel="00000000" w:rsidR="00000000" w:rsidRPr="00000000">
        <w:rPr>
          <w:rtl w:val="0"/>
        </w:rPr>
        <w:t xml:space="preserve">2.2.1 FAA</w:t>
      </w:r>
    </w:p>
    <w:p>
      <w:pPr>
        <w:spacing w:after="120" w:before="0"/>
        <w:jc w:val="both"/>
      </w:pPr>
      <w:r>
        <w:t>The selected turbine (Section 4.1) has a 95 m hub and 55 m blade, so the blade-tip height is 150 m (492 ft) above ground level. Ground elevation is about 10 m (34 ft) at Site A, about 1 m at Site B and about 0 m at Site C (Copernicus 30 m DEM), giving a structure top of about 527 ft AMSL at Site A. Every turbine exceeds the 200 ft AGL notice threshold of 14 CFR 77.9(a), so a Form 7460-1 must be filed for each turbine (and for any met tower) at all three sites. The 492 ft tip is below the 499 ft AGL general obstruction standard of 14 CFR 77.17(a)(1), so a turbine is only an obstruction if it penetrates an airport's imaginary or instrument-approach surfaces.</w:t>
      </w:r>
    </w:p>
    <w:p>
      <w:pPr>
        <w:spacing w:after="120" w:before="0"/>
        <w:jc w:val="both"/>
      </w:pPr>
      <w:r>
        <w:rPr>
          <w:b/>
        </w:rPr>
        <w:t>Site A:</w:t>
      </w:r>
      <w:r>
        <w:t xml:space="preserve"> the nearest public-use airport is Northeastern Regional (KEDE, Edenton), about 9.5 mi away, outside the 20,000 ft notice-slope area of 77.9(b). The only other aviation uses nearby are private grass strips and the Harvey Point Defense Testing Activity (DoD) about 4.7 mi to the southeast, which needs DoD coordination. Site A is 31 mi from the Navy ROTHR receiver (NSA Hampton Roads Northwest Annex, Chesapeake, VA), outside the 28 mi zone in which the Navy has objected to wind turbines. A Determination of No Hazard is </w:t>
      </w:r>
      <w:r>
        <w:rPr>
          <w:b/>
        </w:rPr>
        <w:t>likely</w:t>
      </w:r>
      <w:r>
        <w:t xml:space="preserve">, with DoD Siting Clearinghouse review in parallel. </w:t>
      </w:r>
      <w:r>
        <w:rPr>
          <w:b/>
        </w:rPr>
        <w:t>Site B:</w:t>
      </w:r>
      <w:r>
        <w:t xml:space="preserve"> it is 7.3 mi from USCG Air Station Elizabeth City (KECG, joint-use with the regional airport), whose instrument procedures may be affected, and 26 mi from the ROTHR receiver, inside the 28 mi zone. The Amazon Wind Farm needed a 2014 DoD mitigation agreement with Navy curtailment rights for this reason. A Determination of No Hazard is </w:t>
      </w:r>
      <w:r>
        <w:rPr>
          <w:b/>
        </w:rPr>
        <w:t>possible but conditional</w:t>
      </w:r>
      <w:r>
        <w:t xml:space="preserve"> on DoD mitigation. </w:t>
      </w:r>
      <w:r>
        <w:rPr>
          <w:b/>
        </w:rPr>
        <w:t>Site C:</w:t>
      </w:r>
      <w:r>
        <w:t xml:space="preserve"> it is 3.5 mi from Hyde County Airport (7W6) and 10.7 mi from the Dare County Bombing Range, which is used for low-level military training. The Pantego Wind project in Beaufort County stalled partly over F-15 training objections. A Determination of No Hazard is </w:t>
      </w:r>
      <w:r>
        <w:rPr>
          <w:b/>
        </w:rPr>
        <w:t>unlikely without layout changes</w:t>
      </w:r>
      <w:r>
        <w:t>.</w:t>
      </w:r>
    </w:p>
    <w:p>
      <w:pPr>
        <w:spacing w:after="120" w:before="0"/>
        <w:jc w:val="both"/>
      </w:pPr>
      <w:r>
        <w:rPr>
          <w:highlight w:val="yellow"/>
        </w:rPr>
        <w:t>To complete: enter each site's lat/long, ground elevation (34 / 5 / 1 ft) and 492 ft structure height in the FAA OE/AAA Notice Criteria Tool and paste the tool's result for each site.</w:t>
      </w:r>
    </w:p>
    <w:p w:rsidR="00000000" w:rsidDel="00000000" w:rsidP="00000000" w:rsidRDefault="00000000" w:rsidRPr="00000000" w14:paraId="0000004B">
      <w:pPr>
        <w:pStyle w:val="Heading3"/>
        <w:rPr/>
      </w:pPr>
      <w:r w:rsidDel="00000000" w:rsidR="00000000" w:rsidRPr="00000000">
        <w:rPr>
          <w:rtl w:val="0"/>
        </w:rPr>
        <w:t xml:space="preserve">2.2.2 USGS National Land Cover Database</w:t>
      </w:r>
    </w:p>
    <w:p>
      <w:pPr>
        <w:spacing w:after="120" w:before="0"/>
        <w:jc w:val="both"/>
      </w:pPr>
      <w:r>
        <w:t xml:space="preserve">Land cover was quantified with the ESA WorldCover 10 m (2021) map, which has classes equivalent to the NLCD. </w:t>
      </w:r>
      <w:r>
        <w:rPr>
          <w:b/>
        </w:rPr>
        <w:t>Site A</w:t>
      </w:r>
      <w:r>
        <w:t xml:space="preserve"> is 34% cultivated crops and 11% grass/pasture, with the rest in scattered woodlots (53%) and less than 1% developed. Only 302 acres of mapped wetland lie in the study area. </w:t>
      </w:r>
      <w:r>
        <w:rPr>
          <w:b/>
        </w:rPr>
        <w:t>Site B</w:t>
      </w:r>
      <w:r>
        <w:t xml:space="preserve"> is 23% cropland, 17% open water, and has about 3,700 acres of mapped wetland. </w:t>
      </w:r>
      <w:r>
        <w:rPr>
          <w:b/>
        </w:rPr>
        <w:t>Site C</w:t>
      </w:r>
      <w:r>
        <w:t xml:space="preserve"> is 46% cropland but 17% herbaceous wetland, and the remaining tree cover is largely pocosin and swamp forest. Developed land and wetlands were treated as exclusions.</w:t>
      </w:r>
    </w:p>
    <w:p>
      <w:pPr>
        <w:spacing w:after="120" w:before="0"/>
        <w:jc w:val="both"/>
      </w:pPr>
      <w:r>
        <w:t xml:space="preserve">Protected areas (PAD-US equivalent): no protected land lies inside the Site A study area. The nearest units are small NCWRC boating access areas 7 mi away. Site B is 3.4 mi from the North River Game Land. Site C is 3.2 mi from Mattamuskeet National Wildlife Refuge and 5.7 mi from Alligator River National Wildlife Refuge, and the Gull Rock Game Land is nearby. The 16-turbine array (Section 4.3) occupies a footprint of about 4,472 acres, of which only about 1 to 2 acres per turbine are permanently disturbed. Site A has 2,094 acres of setback-compliant open land, enough for all 16 turbine positions (shown in Figure 8-1). Site B does not have enough contiguous land, and Site C has enough land but would need wetland permitting. </w:t>
      </w:r>
      <w:r>
        <w:rPr>
          <w:b/>
        </w:rPr>
        <w:t>Conclusion:</w:t>
      </w:r>
      <w:r>
        <w:t xml:space="preserve"> A is suitable, B is marginal and C carries high wetland risk.</w:t>
      </w:r>
    </w:p>
    <w:p>
      <w:pPr>
        <w:spacing w:after="120" w:before="0"/>
        <w:jc w:val="both"/>
      </w:pPr>
      <w:r>
        <w:rPr>
          <w:highlight w:val="yellow"/>
        </w:rPr>
        <w:t>To complete: confirm in the PAD-US Data Explorer (or NLCD viewer) and add a screenshot of each study area.</w:t>
      </w:r>
    </w:p>
    <w:p w:rsidR="00000000" w:rsidDel="00000000" w:rsidP="00000000" w:rsidRDefault="00000000" w:rsidRPr="00000000" w14:paraId="0000004D">
      <w:pPr>
        <w:pStyle w:val="Heading3"/>
        <w:rPr/>
      </w:pPr>
      <w:r w:rsidDel="00000000" w:rsidR="00000000" w:rsidRPr="00000000">
        <w:rPr>
          <w:rtl w:val="0"/>
        </w:rPr>
        <w:t xml:space="preserve">2.2.3 USFWS Critical Habitat</w:t>
      </w:r>
    </w:p>
    <w:p>
      <w:pPr>
        <w:spacing w:after="120" w:before="0"/>
        <w:jc w:val="both"/>
      </w:pPr>
      <w:r>
        <w:t xml:space="preserve">IPaC is a preliminary screen, not a formal Section 7 consultation. For these coastal-plain counties it is expected to return: the </w:t>
      </w:r>
      <w:r>
        <w:rPr>
          <w:b/>
        </w:rPr>
        <w:t>northern long-eared bat</w:t>
      </w:r>
      <w:r>
        <w:t xml:space="preserve"> (endangered since 2023), the </w:t>
      </w:r>
      <w:r>
        <w:rPr>
          <w:b/>
        </w:rPr>
        <w:t>tricolored bat</w:t>
      </w:r>
      <w:r>
        <w:t xml:space="preserve"> (proposed endangered), the </w:t>
      </w:r>
      <w:r>
        <w:rPr>
          <w:b/>
        </w:rPr>
        <w:t>monarch butterfly</w:t>
      </w:r>
      <w:r>
        <w:t xml:space="preserve"> (proposed threatened), the </w:t>
      </w:r>
      <w:r>
        <w:rPr>
          <w:b/>
        </w:rPr>
        <w:t>West Indian manatee</w:t>
      </w:r>
      <w:r>
        <w:t xml:space="preserve"> (threatened, aquatic, in the sounds and tidal rivers), and bald eagle and migratory birds of conservation concern. No designated critical habitat is expected at any of the sites.</w:t>
      </w:r>
    </w:p>
    <w:p>
      <w:pPr>
        <w:spacing w:after="120" w:before="0"/>
        <w:jc w:val="both"/>
      </w:pPr>
      <w:r>
        <w:t xml:space="preserve">For wind, the key risk is bats. The USFWS Land-Based Wind Energy Technical Assistance for the northern long-eared bat assumes migrating bats are present in the rotor-swept zone. The project should expect seasonal low-wind-speed curtailment (raising cut-in speed at night from about April through October) and post-construction mortality monitoring at any of the sites. </w:t>
      </w:r>
      <w:r>
        <w:rPr>
          <w:b/>
        </w:rPr>
        <w:t>Site A</w:t>
      </w:r>
      <w:r>
        <w:t xml:space="preserve"> has no additional federal species beyond this baseline, though bald eagles nest along the Perquimans River and Albemarle Sound and an eagle nest survey is recommended. </w:t>
      </w:r>
      <w:r>
        <w:rPr>
          <w:b/>
        </w:rPr>
        <w:t>Site B</w:t>
      </w:r>
      <w:r>
        <w:t xml:space="preserve"> adds marsh-bird risk (eastern black rail, threatened) from the North River marshes. </w:t>
      </w:r>
      <w:r>
        <w:rPr>
          <w:b/>
        </w:rPr>
        <w:t>Site C</w:t>
      </w:r>
      <w:r>
        <w:t xml:space="preserve"> lies inside the Red Wolf Recovery Area (non-essential experimental population) and next to Lake Mattamuskeet, which hosts very large wintering tundra swan and snow goose flocks, the same issue that delayed the Pantego Wind project. </w:t>
      </w:r>
      <w:r>
        <w:rPr>
          <w:b/>
        </w:rPr>
        <w:t>Conclusion:</w:t>
      </w:r>
      <w:r>
        <w:t xml:space="preserve"> A has low to moderate risk (manageable with curtailment), B moderate risk and C high risk.</w:t>
      </w:r>
    </w:p>
    <w:p>
      <w:pPr>
        <w:spacing w:after="120" w:before="0"/>
        <w:jc w:val="both"/>
      </w:pPr>
      <w:r>
        <w:rPr>
          <w:highlight w:val="yellow"/>
        </w:rPr>
        <w:t>To complete: draw each project area in IPaC, export the official species list, and correct the list above to match.</w:t>
      </w:r>
    </w:p>
    <w:p w:rsidR="00000000" w:rsidDel="00000000" w:rsidP="00000000" w:rsidRDefault="00000000" w:rsidRPr="00000000" w14:paraId="0000004F">
      <w:pPr>
        <w:pStyle w:val="Heading3"/>
        <w:rPr/>
      </w:pPr>
      <w:r w:rsidDel="00000000" w:rsidR="00000000" w:rsidRPr="00000000">
        <w:rPr>
          <w:rtl w:val="0"/>
        </w:rPr>
        <w:t xml:space="preserve">2.2.4 NC Natural Heritage Program</w:t>
      </w:r>
    </w:p>
    <w:p>
      <w:pPr>
        <w:spacing w:after="120" w:before="0"/>
        <w:jc w:val="both"/>
      </w:pPr>
      <w:r>
        <w:t xml:space="preserve">The NCNHP screen catches state-listed species and natural areas that IPaC does not. </w:t>
      </w:r>
      <w:r>
        <w:rPr>
          <w:b/>
        </w:rPr>
        <w:t>Site A</w:t>
      </w:r>
      <w:r>
        <w:t xml:space="preserve">'s interior is farmland. Element occurrences within a 1 mile buffer are expected only along the wooded Perquimans River and Albemarle Sound shoreline, which the layout avoids, and the only managed areas nearby are NCWRC boating access sites. </w:t>
      </w:r>
      <w:r>
        <w:rPr>
          <w:b/>
        </w:rPr>
        <w:t>Site B</w:t>
      </w:r>
      <w:r>
        <w:t xml:space="preserve"> is bordered by the North River Game Land and tidal marsh natural communities, which are likely to contain state-listed marsh birds and significant natural heritage areas. </w:t>
      </w:r>
      <w:r>
        <w:rPr>
          <w:b/>
        </w:rPr>
        <w:t>Site C</w:t>
      </w:r>
      <w:r>
        <w:t xml:space="preserve"> is adjacent to Lake Mattamuskeet, a nationally significant natural heritage area and managed area, and to the extensive Alligator River pocosin and marsh complex. </w:t>
      </w:r>
      <w:r>
        <w:rPr>
          <w:b/>
        </w:rPr>
        <w:t>Conclusion:</w:t>
      </w:r>
      <w:r>
        <w:t xml:space="preserve"> A has low risk, B moderate risk and C high risk.</w:t>
      </w:r>
    </w:p>
    <w:p>
      <w:pPr>
        <w:spacing w:after="120" w:before="0"/>
        <w:jc w:val="both"/>
      </w:pPr>
      <w:r>
        <w:rPr>
          <w:highlight w:val="yellow"/>
        </w:rPr>
        <w:t>To complete: run each site plus a 1 mile buffer in the NCNHP Data Explorer and paste the report summary (element occurrences, natural areas and managed areas).</w:t>
      </w:r>
    </w:p>
    <w:p w:rsidR="00000000" w:rsidDel="00000000" w:rsidP="00000000" w:rsidRDefault="00000000" w:rsidRPr="00000000" w14:paraId="00000051">
      <w:pPr>
        <w:pStyle w:val="Heading2"/>
        <w:rPr/>
      </w:pPr>
      <w:r w:rsidDel="00000000" w:rsidR="00000000" w:rsidRPr="00000000">
        <w:rPr>
          <w:rtl w:val="0"/>
        </w:rPr>
        <w:t xml:space="preserve">2.3 Final Site Selection and Justification</w:t>
      </w:r>
    </w:p>
    <w:p>
      <w:pPr>
        <w:spacing w:after="120" w:before="0"/>
        <w:jc w:val="both"/>
      </w:pPr>
      <w:r>
        <w:rPr>
          <w:b/>
        </w:rPr>
        <w:t>Selected site: Site A, Perquimans County (Durants Neck area), 36.130° N, 76.450° W. Ranking: A &gt; B &gt; C.</w:t>
      </w:r>
    </w:p>
    <w:p>
      <w:pPr>
        <w:spacing w:after="120" w:before="0"/>
        <w:jc w:val="both"/>
      </w:pPr>
      <w:r>
        <w:t>Site A has the lowest wind speed of the three (6.91 m/s at 100 m, against 7.23 and 7.30 m/s). It nevertheless wins because it is the only site with no fatal flaw in any screen. It has open, farmed, upland land with few wetlands, and a Dominion 230 kV line and the South Hertford 230 kV substation 4 mi away. It is outside the Navy ROTHR 28 mi zone, far from public airports and military training airspace, and has only baseline wildlife risk. It also sits between two wind farms that have already been built and permitted, Amazon Wind Farm US East and Timbermill Wind, so the regional permitting path, local construction workforce and turbine logistics are proven. Site B is windier, but it is constrained by open water and marsh, sits inside the ROTHR zone and is 7 mi from a Coast Guard air station. Site C has the best wind, but it is 18 mi from 115 kV transmission and next to two National Wildlife Refuges, the red wolf recovery area and a bombing range.</w:t>
      </w:r>
    </w:p>
    <w:p>
      <w:pPr>
        <w:spacing w:after="120" w:before="0"/>
        <w:jc w:val="both"/>
      </w:pPr>
      <w:r>
        <w:t>The main risk at Site A is local. In 2016 the Perquimans County Board of Commissioners denied (3 to 2) the conditional-use permit for the 57 Perquimans turbines of the original Timbermill proposal, citing impacts on adjoining owners. Early landowner and neighbor engagement, compliance with the ordinance setbacks and a good-neighbor payment program are therefore part of the project plan. If the county permit cannot be obtained, the fallback is the adjacent Chowan County land west of Timbermill, which was also screened.</w:t>
      </w:r>
    </w:p>
    <w:p w:rsidR="00000000" w:rsidDel="00000000" w:rsidP="00000000" w:rsidRDefault="00000000" w:rsidRPr="00000000" w14:paraId="00000053">
      <w:pPr>
        <w:pStyle w:val="Heading1"/>
        <w:rPr/>
      </w:pPr>
      <w:r w:rsidDel="00000000" w:rsidR="00000000" w:rsidRPr="00000000">
        <w:rPr>
          <w:rtl w:val="0"/>
        </w:rPr>
        <w:t xml:space="preserve">3. Wind Resource Assessment</w:t>
      </w:r>
    </w:p>
    <w:p>
      <w:pPr>
        <w:spacing w:after="120" w:before="0"/>
        <w:jc w:val="both"/>
      </w:pPr>
      <w:r>
        <w:t>Hourly WIND Toolkit data were obtained for the selected site at grid point gid 2266420 (36.1333° N, 76.4470° W), 0.3 km from the site center. The data were read directly from the public WIND Toolkit HDF5 files on the NLR AWS Open Data bucket (CONUS v1.0.0 for 2007 to 2013 and v1.1.0 for 2014), which hold the same data the Lecture 1 MATLAB API serves. The native resolution is 5 minutes. All eight years (2007 to 2014) were used. Wind speed was taken at 80, 100 and 120 m, and wind direction, temperature and pressure at 100 m. The 5-minute values were averaged to hourly means for the Weibull, energy and backup analysis (70,128 hours), and the 5-minute values within each hour were used for turbulence intensity. Time stamps are UTC and were converted to local time (America/New_York) for the seasonal and diurnal plots. The hub height is 95 m (Section 4.1).</w:t>
      </w:r>
    </w:p>
    <w:p w:rsidR="00000000" w:rsidDel="00000000" w:rsidP="00000000" w:rsidRDefault="00000000" w:rsidRPr="00000000" w14:paraId="00000055">
      <w:pPr>
        <w:pStyle w:val="Heading2"/>
        <w:rPr/>
      </w:pPr>
      <w:r w:rsidDel="00000000" w:rsidR="00000000" w:rsidRPr="00000000">
        <w:rPr>
          <w:rtl w:val="0"/>
        </w:rPr>
        <w:t xml:space="preserve">3.1 Wind Resource Summary</w:t>
      </w:r>
    </w:p>
    <w:p>
      <w:pPr>
        <w:spacing w:after="120" w:before="0"/>
        <w:jc w:val="both"/>
      </w:pPr>
      <w:r>
        <w:t>All values in Table 3-1 are at the 95 m hub height and come from Sections 3.2 to 3.6.</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60"/>
        <w:gridCol w:w="3000"/>
        <w:gridCol w:w="2000"/>
        <w:tblGridChange w:id="0">
          <w:tblGrid>
            <w:gridCol w:w="4360"/>
            <w:gridCol w:w="3000"/>
            <w:gridCol w:w="20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57">
            <w:pPr>
              <w:rPr/>
            </w:pPr>
            <w:r w:rsidDel="00000000" w:rsidR="00000000" w:rsidRPr="00000000">
              <w:rPr>
                <w:b w:val="1"/>
                <w:bCs w:val="1"/>
                <w:color w:val="000000"/>
                <w:sz w:val="20"/>
                <w:szCs w:val="20"/>
                <w:rtl w:val="0"/>
              </w:rPr>
              <w:t xml:space="preserve">Parameter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58">
            <w:pPr>
              <w:rPr/>
            </w:pPr>
            <w:r w:rsidDel="00000000" w:rsidR="00000000" w:rsidRPr="00000000">
              <w:rPr>
                <w:b w:val="1"/>
                <w:bCs w:val="1"/>
                <w:color w:val="000000"/>
                <w:sz w:val="20"/>
                <w:szCs w:val="20"/>
                <w:rtl w:val="0"/>
              </w:rPr>
              <w:t xml:space="preserve">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59">
            <w:pPr>
              <w:rPr/>
            </w:pPr>
            <w:r w:rsidDel="00000000" w:rsidR="00000000" w:rsidRPr="00000000">
              <w:rPr>
                <w:b w:val="1"/>
                <w:bCs w:val="1"/>
                <w:color w:val="000000"/>
                <w:sz w:val="20"/>
                <w:szCs w:val="20"/>
                <w:rtl w:val="0"/>
              </w:rPr>
              <w:t xml:space="preserve">Units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A">
            <w:pPr>
              <w:rPr/>
            </w:pPr>
            <w:r w:rsidDel="00000000" w:rsidR="00000000" w:rsidRPr="00000000">
              <w:rPr>
                <w:sz w:val="20"/>
                <w:szCs w:val="20"/>
                <w:rtl w:val="0"/>
              </w:rPr>
              <w:t xml:space="preserve">Hub height, 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B">
            <w:pPr>
              <w:rPr/>
            </w:pPr>
            <w:r>
              <w:rPr>
                <w:sz w:val="20"/>
              </w:rPr>
              <w:t>95</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C">
            <w:pPr>
              <w:rPr/>
            </w:pPr>
            <w:r w:rsidDel="00000000" w:rsidR="00000000" w:rsidRPr="00000000">
              <w:rPr>
                <w:sz w:val="20"/>
                <w:szCs w:val="20"/>
                <w:rtl w:val="0"/>
              </w:rPr>
              <w:t xml:space="preserve">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D">
            <w:pPr>
              <w:rPr/>
            </w:pPr>
            <w:r w:rsidDel="00000000" w:rsidR="00000000" w:rsidRPr="00000000">
              <w:rPr>
                <w:sz w:val="20"/>
                <w:szCs w:val="20"/>
                <w:rtl w:val="0"/>
              </w:rPr>
              <w:t xml:space="preserve">Mean wind speed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E">
            <w:pPr>
              <w:rPr/>
            </w:pPr>
            <w:r>
              <w:rPr>
                <w:sz w:val="20"/>
              </w:rPr>
              <w:t>6.82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F">
            <w:pPr>
              <w:rPr/>
            </w:pPr>
            <w:r w:rsidDel="00000000" w:rsidR="00000000" w:rsidRPr="00000000">
              <w:rPr>
                <w:sz w:val="20"/>
                <w:szCs w:val="20"/>
                <w:rtl w:val="0"/>
              </w:rPr>
              <w:t xml:space="preserve">m/s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0">
            <w:pPr>
              <w:rPr/>
            </w:pPr>
            <w:r w:rsidDel="00000000" w:rsidR="00000000" w:rsidRPr="00000000">
              <w:rPr>
                <w:sz w:val="20"/>
                <w:szCs w:val="20"/>
                <w:rtl w:val="0"/>
              </w:rPr>
              <w:t xml:space="preserve">Weibull shape parameter, 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1">
            <w:pPr>
              <w:rPr/>
            </w:pPr>
            <w:r>
              <w:rPr>
                <w:sz w:val="20"/>
              </w:rPr>
              <w:t>2.40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2">
            <w:pPr>
              <w:rPr/>
            </w:pPr>
            <w:r w:rsidDel="00000000" w:rsidR="00000000" w:rsidRPr="00000000">
              <w:rPr>
                <w:sz w:val="20"/>
                <w:szCs w:val="20"/>
                <w:rtl w:val="0"/>
              </w:rPr>
              <w:t xml:space="preserve">dimensionless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3">
            <w:pPr>
              <w:rPr/>
            </w:pPr>
            <w:r w:rsidDel="00000000" w:rsidR="00000000" w:rsidRPr="00000000">
              <w:rPr>
                <w:sz w:val="20"/>
                <w:szCs w:val="20"/>
                <w:rtl w:val="0"/>
              </w:rPr>
              <w:t xml:space="preserve">Weibull scale parameter, 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4">
            <w:pPr>
              <w:rPr/>
            </w:pPr>
            <w:r>
              <w:rPr>
                <w:sz w:val="20"/>
              </w:rPr>
              <w:t>7.69</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5">
            <w:pPr>
              <w:rPr/>
            </w:pPr>
            <w:r w:rsidDel="00000000" w:rsidR="00000000" w:rsidRPr="00000000">
              <w:rPr>
                <w:sz w:val="20"/>
                <w:szCs w:val="20"/>
                <w:rtl w:val="0"/>
              </w:rPr>
              <w:t xml:space="preserve">m/s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6">
            <w:pPr>
              <w:rPr/>
            </w:pPr>
            <w:r w:rsidDel="00000000" w:rsidR="00000000" w:rsidRPr="00000000">
              <w:rPr>
                <w:sz w:val="20"/>
                <w:szCs w:val="20"/>
                <w:rtl w:val="0"/>
              </w:rPr>
              <w:t xml:space="preserve">Shear exponent, α</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7">
            <w:pPr>
              <w:rPr/>
            </w:pPr>
            <w:r>
              <w:rPr>
                <w:sz w:val="20"/>
              </w:rPr>
              <w:t>0.262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8">
            <w:pPr>
              <w:rPr/>
            </w:pPr>
            <w:r w:rsidDel="00000000" w:rsidR="00000000" w:rsidRPr="00000000">
              <w:rPr>
                <w:sz w:val="20"/>
                <w:szCs w:val="20"/>
                <w:rtl w:val="0"/>
              </w:rPr>
              <w:t xml:space="preserve">dimensionless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9">
            <w:pPr>
              <w:rPr/>
            </w:pPr>
            <w:r w:rsidDel="00000000" w:rsidR="00000000" w:rsidRPr="00000000">
              <w:rPr>
                <w:sz w:val="20"/>
                <w:szCs w:val="20"/>
                <w:rtl w:val="0"/>
              </w:rPr>
              <w:t xml:space="preserve">Turbulence intensity, TI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A">
            <w:pPr>
              <w:rPr/>
            </w:pPr>
            <w:r>
              <w:rPr>
                <w:sz w:val="20"/>
              </w:rPr>
              <w:t>9.4 (WTK proxy, rep. at 15 m/s)</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B">
            <w:pP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C">
            <w:pPr>
              <w:rPr/>
            </w:pPr>
            <w:r w:rsidDel="00000000" w:rsidR="00000000" w:rsidRPr="00000000">
              <w:rPr>
                <w:sz w:val="20"/>
                <w:szCs w:val="20"/>
                <w:rtl w:val="0"/>
              </w:rPr>
              <w:t xml:space="preserve">IEC wind class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D">
            <w:pPr>
              <w:rPr/>
            </w:pPr>
            <w:r>
              <w:rPr>
                <w:sz w:val="20"/>
              </w:rPr>
              <w:t>III (data: IIIC; IIIA turbine selected)</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E">
            <w:pPr>
              <w:rPr/>
            </w:pPr>
            <w:r w:rsidDel="00000000" w:rsidR="00000000" w:rsidRPr="00000000">
              <w:rPr>
                <w:rtl w:val="0"/>
              </w:rPr>
            </w:r>
          </w:p>
        </w:tc>
      </w:tr>
    </w:tbl>
    <w:p w:rsidR="00000000" w:rsidDel="00000000" w:rsidP="00000000" w:rsidRDefault="00000000" w:rsidRPr="00000000" w14:paraId="0000006F">
      <w:pPr>
        <w:spacing w:after="200" w:lineRule="auto"/>
        <w:jc w:val="center"/>
        <w:rPr/>
      </w:pPr>
      <w:r w:rsidDel="00000000" w:rsidR="00000000" w:rsidRPr="00000000">
        <w:rPr>
          <w:i w:val="1"/>
          <w:iCs w:val="1"/>
          <w:sz w:val="20"/>
          <w:szCs w:val="20"/>
          <w:rtl w:val="0"/>
        </w:rPr>
        <w:t xml:space="preserve">Table 3-1. Hub-height wind resource</w:t>
      </w:r>
      <w:r w:rsidDel="00000000" w:rsidR="00000000" w:rsidRPr="00000000">
        <w:rPr>
          <w:rtl w:val="0"/>
        </w:rPr>
      </w:r>
    </w:p>
    <w:p w:rsidR="00000000" w:rsidDel="00000000" w:rsidP="00000000" w:rsidRDefault="00000000" w:rsidRPr="00000000" w14:paraId="00000070">
      <w:pPr>
        <w:pStyle w:val="Heading2"/>
        <w:rPr/>
      </w:pPr>
      <w:r w:rsidDel="00000000" w:rsidR="00000000" w:rsidRPr="00000000">
        <w:rPr>
          <w:rtl w:val="0"/>
        </w:rPr>
        <w:t xml:space="preserve">3.2 Weibull Distribution</w:t>
      </w:r>
    </w:p>
    <w:p>
      <w:pPr>
        <w:spacing w:after="120" w:before="0"/>
        <w:jc w:val="both"/>
      </w:pPr>
      <w:r>
        <w:t>The hourly hub-height wind speeds were binned in 1 m/s bins, and the Weibull distribution was fitted by maximum likelihood (the same estimator MATLAB fitdist(data,'Weibull') uses; A = scale a, B = shape k).</w:t>
      </w:r>
    </w:p>
    <w:p w:rsidR="00000000" w:rsidDel="00000000" w:rsidP="00000000" w:rsidRDefault="00000000" w:rsidRPr="00000000" w14:paraId="00000072">
      <w:pPr>
        <w:tabs>
          <w:tab w:val="center" w:leader="none" w:pos="4680"/>
          <w:tab w:val="right" w:leader="none" w:pos="9360"/>
        </w:tabs>
        <w:spacing w:after="120" w:before="120" w:lineRule="auto"/>
        <w:rPr/>
      </w:pPr>
      <w:r w:rsidDel="00000000" w:rsidR="00000000" w:rsidRPr="00000000">
        <w:rPr>
          <w:rtl w:val="0"/>
        </w:rPr>
        <w:tab/>
      </w:r>
      <m:oMath>
        <m:sSub>
          <m:sSubPr>
            <m:ctrlPr>
              <w:rPr/>
            </m:ctrlPr>
          </m:sSubPr>
          <m:e>
            <m:r>
              <w:rPr/>
              <m:t xml:space="preserve">f</m:t>
            </m:r>
          </m:e>
          <m:sub>
            <m:r>
              <w:rPr/>
              <m:t xml:space="preserve">Weibull</m:t>
            </m:r>
          </m:sub>
        </m:sSub>
        <m:r>
          <w:rPr/>
          <m:t xml:space="preserve">(v)=</m:t>
        </m:r>
        <m:f>
          <m:fPr>
            <m:ctrlPr>
              <w:rPr/>
            </m:ctrlPr>
          </m:fPr>
          <m:num>
            <m:r>
              <w:rPr/>
              <m:t xml:space="preserve">k</m:t>
            </m:r>
          </m:num>
          <m:den>
            <m:r>
              <w:rPr/>
              <m:t xml:space="preserve">a</m:t>
            </m:r>
          </m:den>
        </m:f>
        <m:sSup>
          <m:sSupPr>
            <m:ctrlPr>
              <w:rPr/>
            </m:ctrlPr>
          </m:sSupPr>
          <m:e>
            <m:d>
              <m:dPr>
                <m:begChr m:val="("/>
                <m:endChr m:val=")"/>
                <m:ctrlPr>
                  <w:rPr/>
                </m:ctrlPr>
              </m:dPr>
              <m:e>
                <m:f>
                  <m:fPr>
                    <m:ctrlPr>
                      <w:rPr/>
                    </m:ctrlPr>
                  </m:fPr>
                  <m:num>
                    <m:r>
                      <w:rPr/>
                      <m:t xml:space="preserve">v</m:t>
                    </m:r>
                  </m:num>
                  <m:den>
                    <m:r>
                      <w:rPr/>
                      <m:t xml:space="preserve">a</m:t>
                    </m:r>
                  </m:den>
                </m:f>
              </m:e>
            </m:d>
          </m:e>
          <m:sup>
            <m:r>
              <w:rPr/>
              <m:t xml:space="preserve">k−1</m:t>
            </m:r>
          </m:sup>
        </m:sSup>
        <m:r>
          <w:rPr/>
          <m:t xml:space="preserve">exp</m:t>
        </m:r>
        <m:d>
          <m:dPr>
            <m:begChr m:val="["/>
            <m:endChr m:val="]"/>
            <m:ctrlPr>
              <w:rPr/>
            </m:ctrlPr>
          </m:dPr>
          <m:e>
            <m:r>
              <w:rPr/>
              <m:t xml:space="preserve">−</m:t>
            </m:r>
            <m:sSup>
              <m:sSupPr>
                <m:ctrlPr>
                  <w:rPr/>
                </m:ctrlPr>
              </m:sSupPr>
              <m:e>
                <m:d>
                  <m:dPr>
                    <m:begChr m:val="("/>
                    <m:endChr m:val=")"/>
                    <m:ctrlPr>
                      <w:rPr/>
                    </m:ctrlPr>
                  </m:dPr>
                  <m:e>
                    <m:f>
                      <m:fPr>
                        <m:ctrlPr>
                          <w:rPr/>
                        </m:ctrlPr>
                      </m:fPr>
                      <m:num>
                        <m:r>
                          <w:rPr/>
                          <m:t xml:space="preserve">v</m:t>
                        </m:r>
                      </m:num>
                      <m:den>
                        <m:r>
                          <w:rPr/>
                          <m:t xml:space="preserve">a</m:t>
                        </m:r>
                      </m:den>
                    </m:f>
                  </m:e>
                </m:d>
              </m:e>
              <m:sup>
                <m:r>
                  <w:rPr/>
                  <m:t xml:space="preserve">k</m:t>
                </m:r>
              </m:sup>
            </m:sSup>
          </m:e>
        </m:d>
      </m:oMath>
      <w:r w:rsidDel="00000000" w:rsidR="00000000" w:rsidRPr="00000000">
        <w:rPr>
          <w:rtl w:val="0"/>
        </w:rPr>
        <w:tab/>
        <w:t xml:space="preserve">(1)</w:t>
      </w:r>
    </w:p>
    <w:p w:rsidR="00000000" w:rsidDel="00000000" w:rsidP="00000000" w:rsidRDefault="00000000" w:rsidRPr="00000000" w14:paraId="00000073">
      <w:pPr>
        <w:tabs>
          <w:tab w:val="center" w:leader="none" w:pos="4680"/>
          <w:tab w:val="right" w:leader="none" w:pos="9360"/>
        </w:tabs>
        <w:spacing w:after="120" w:before="120" w:lineRule="auto"/>
        <w:rPr/>
      </w:pPr>
      <w:r w:rsidDel="00000000" w:rsidR="00000000" w:rsidRPr="00000000">
        <w:rPr>
          <w:rtl w:val="0"/>
        </w:rPr>
        <w:tab/>
      </w:r>
      <m:oMath>
        <m:sSub>
          <m:sSubPr>
            <m:ctrlPr>
              <w:rPr/>
            </m:ctrlPr>
          </m:sSubPr>
          <m:e>
            <m:r>
              <w:rPr/>
              <m:t xml:space="preserve">v</m:t>
            </m:r>
          </m:e>
          <m:sub>
            <m:r>
              <w:rPr/>
              <m:t xml:space="preserve">avg</m:t>
            </m:r>
          </m:sub>
        </m:sSub>
        <m:r>
          <w:rPr/>
          <m:t xml:space="preserve">=aΓ</m:t>
        </m:r>
        <m:d>
          <m:dPr>
            <m:begChr m:val="("/>
            <m:endChr m:val=")"/>
            <m:ctrlPr>
              <w:rPr/>
            </m:ctrlPr>
          </m:dPr>
          <m:e>
            <m:r>
              <w:rPr/>
              <m:t xml:space="preserve">1+</m:t>
            </m:r>
            <m:f>
              <m:fPr>
                <m:ctrlPr>
                  <w:rPr/>
                </m:ctrlPr>
              </m:fPr>
              <m:num>
                <m:r>
                  <w:rPr/>
                  <m:t xml:space="preserve">1</m:t>
                </m:r>
              </m:num>
              <m:den>
                <m:r>
                  <w:rPr/>
                  <m:t xml:space="preserve">k</m:t>
                </m:r>
              </m:den>
            </m:f>
          </m:e>
        </m:d>
      </m:oMath>
      <w:r w:rsidDel="00000000" w:rsidR="00000000" w:rsidRPr="00000000">
        <w:rPr>
          <w:rtl w:val="0"/>
        </w:rPr>
        <w:tab/>
        <w:t xml:space="preserve">(2)</w:t>
      </w:r>
    </w:p>
    <w:p w:rsidR="00000000" w:rsidDel="00000000" w:rsidP="00000000" w:rsidRDefault="00000000" w:rsidRPr="00000000" w14:paraId="00000074">
      <w:pPr>
        <w:spacing w:after="160" w:lineRule="auto"/>
        <w:rPr/>
      </w:pPr>
      <w:r w:rsidDel="00000000" w:rsidR="00000000" w:rsidRPr="00000000">
        <w:rPr>
          <w:rtl w:val="0"/>
        </w:rPr>
        <w:t xml:space="preserve">where </w:t>
      </w:r>
      <w:r w:rsidDel="00000000" w:rsidR="00000000" w:rsidRPr="00000000">
        <w:rPr>
          <w:i w:val="1"/>
          <w:iCs w:val="1"/>
          <w:rtl w:val="0"/>
        </w:rPr>
        <w:t xml:space="preserve">f</w:t>
      </w:r>
      <w:r w:rsidDel="00000000" w:rsidR="00000000" w:rsidRPr="00000000">
        <w:rPr>
          <w:i w:val="1"/>
          <w:iCs w:val="1"/>
          <w:vertAlign w:val="subscript"/>
          <w:rtl w:val="0"/>
        </w:rPr>
        <w:t xml:space="preserve">Weibull</w:t>
      </w:r>
      <w:r w:rsidDel="00000000" w:rsidR="00000000" w:rsidRPr="00000000">
        <w:rPr>
          <w:i w:val="1"/>
          <w:iCs w:val="1"/>
          <w:rtl w:val="0"/>
        </w:rPr>
        <w:t xml:space="preserve">(v)</w:t>
      </w:r>
      <w:r w:rsidDel="00000000" w:rsidR="00000000" w:rsidRPr="00000000">
        <w:rPr>
          <w:rtl w:val="0"/>
        </w:rPr>
        <w:t xml:space="preserve"> = probability density of wind speed v (s/m); </w:t>
      </w:r>
      <w:r w:rsidDel="00000000" w:rsidR="00000000" w:rsidRPr="00000000">
        <w:rPr>
          <w:i w:val="1"/>
          <w:iCs w:val="1"/>
          <w:rtl w:val="0"/>
        </w:rPr>
        <w:t xml:space="preserve">v</w:t>
      </w:r>
      <w:r w:rsidDel="00000000" w:rsidR="00000000" w:rsidRPr="00000000">
        <w:rPr>
          <w:rtl w:val="0"/>
        </w:rPr>
        <w:t xml:space="preserve"> = wind speed (m/s); </w:t>
      </w:r>
      <w:r w:rsidDel="00000000" w:rsidR="00000000" w:rsidRPr="00000000">
        <w:rPr>
          <w:i w:val="1"/>
          <w:iCs w:val="1"/>
          <w:rtl w:val="0"/>
        </w:rPr>
        <w:t xml:space="preserve">k</w:t>
      </w:r>
      <w:r w:rsidDel="00000000" w:rsidR="00000000" w:rsidRPr="00000000">
        <w:rPr>
          <w:rtl w:val="0"/>
        </w:rPr>
        <w:t xml:space="preserve"> = shape parameter (dimensionless); </w:t>
      </w:r>
      <w:r w:rsidDel="00000000" w:rsidR="00000000" w:rsidRPr="00000000">
        <w:rPr>
          <w:i w:val="1"/>
          <w:iCs w:val="1"/>
          <w:rtl w:val="0"/>
        </w:rPr>
        <w:t xml:space="preserve">a</w:t>
      </w:r>
      <w:r w:rsidDel="00000000" w:rsidR="00000000" w:rsidRPr="00000000">
        <w:rPr>
          <w:rtl w:val="0"/>
        </w:rPr>
        <w:t xml:space="preserve"> = scale parameter (m/s); </w:t>
      </w:r>
      <w:r w:rsidDel="00000000" w:rsidR="00000000" w:rsidRPr="00000000">
        <w:rPr>
          <w:i w:val="1"/>
          <w:iCs w:val="1"/>
          <w:rtl w:val="0"/>
        </w:rPr>
        <w:t xml:space="preserve">v</w:t>
      </w:r>
      <w:r w:rsidDel="00000000" w:rsidR="00000000" w:rsidRPr="00000000">
        <w:rPr>
          <w:i w:val="1"/>
          <w:iCs w:val="1"/>
          <w:vertAlign w:val="subscript"/>
          <w:rtl w:val="0"/>
        </w:rPr>
        <w:t xml:space="preserve">avg</w:t>
      </w:r>
      <w:r w:rsidDel="00000000" w:rsidR="00000000" w:rsidRPr="00000000">
        <w:rPr>
          <w:rtl w:val="0"/>
        </w:rPr>
        <w:t xml:space="preserve"> = mean wind speed (m/s); </w:t>
      </w:r>
      <w:r w:rsidDel="00000000" w:rsidR="00000000" w:rsidRPr="00000000">
        <w:rPr>
          <w:i w:val="1"/>
          <w:iCs w:val="1"/>
          <w:rtl w:val="0"/>
        </w:rPr>
        <w:t xml:space="preserve">Γ</w:t>
      </w:r>
      <w:r w:rsidDel="00000000" w:rsidR="00000000" w:rsidRPr="00000000">
        <w:rPr>
          <w:rtl w:val="0"/>
        </w:rPr>
        <w:t xml:space="preserve"> = gamma function (dimensionless).</w:t>
      </w:r>
    </w:p>
    <w:p>
      <w:pPr>
        <w:spacing w:after="120" w:before="0"/>
        <w:jc w:val="both"/>
      </w:pPr>
      <w:r>
        <w:t xml:space="preserve">The fit gives </w:t>
      </w:r>
      <w:r>
        <w:rPr>
          <w:b/>
        </w:rPr>
        <w:t>k = 2.40</w:t>
      </w:r>
      <w:r>
        <w:t xml:space="preserve"> and </w:t>
      </w:r>
      <w:r>
        <w:rPr>
          <w:b/>
        </w:rPr>
        <w:t>a = 7.69 m/s</w:t>
      </w:r>
      <w:r>
        <w:t>. From Eq. (2), v</w:t>
      </w:r>
      <w:r>
        <w:rPr>
          <w:vertAlign w:val="subscript"/>
        </w:rPr>
        <w:t>avg</w:t>
      </w:r>
      <w:r>
        <w:t xml:space="preserve"> = a·Γ(1 + 1/k) = 7.69 × Γ(1 + 1/2.40) = 7.69 × 0.8865 = </w:t>
      </w:r>
      <w:r>
        <w:rPr>
          <w:b/>
        </w:rPr>
        <w:t>6.82 m/s</w:t>
      </w:r>
      <w:r>
        <w:t>. This matches the arithmetic mean of the hourly data (6.82 m/s). The relatively high k (above the Rayleigh value of 2) reflects a fairly steady coastal-plain resource with few very calm or very windy hours (Figure 3-1).</w:t>
      </w:r>
    </w:p>
    <w:p>
      <w:pPr>
        <w:keepNext/>
        <w:spacing w:after="60" w:before="0"/>
        <w:jc w:val="center"/>
      </w:pPr>
      <w:r>
        <w:drawing>
          <wp:inline>
            <wp:extent cx="5486400" cy="2869809"/>
            <wp:docPr id="2" name="Picture 2"/>
            <wp:cNvGraphicFramePr>
              <a:graphicFrameLocks noChangeAspect="1"/>
            </wp:cNvGraphicFramePr>
            <a:graphic>
              <a:graphicData uri="http://schemas.openxmlformats.org/drawingml/2006/picture">
                <pic:pic>
                  <pic:nvPicPr>
                    <pic:cNvPr id="0" name="fig_weibull.png"/>
                    <pic:cNvPicPr/>
                  </pic:nvPicPr>
                  <pic:blipFill>
                    <a:blip r:embed="rId9"/>
                    <a:stretch>
                      <a:fillRect/>
                    </a:stretch>
                  </pic:blipFill>
                  <pic:spPr>
                    <a:xfrm>
                      <a:off x="0" y="0"/>
                      <a:ext cx="5486400" cy="2869809"/>
                    </a:xfrm>
                    <a:prstGeom prst="rect"/>
                  </pic:spPr>
                </pic:pic>
              </a:graphicData>
            </a:graphic>
          </wp:inline>
        </w:drawing>
      </w:r>
    </w:p>
    <w:p>
      <w:pPr>
        <w:spacing w:after="200" w:before="0"/>
        <w:jc w:val="center"/>
      </w:pPr>
      <w:r>
        <w:rPr>
          <w:i/>
          <w:sz w:val="20"/>
        </w:rPr>
        <w:t>Figure 3-1. Hours per year in 1 m/s bins at 95 m and fitted Weibull distribution (2007 to 2014)</w:t>
      </w:r>
    </w:p>
    <w:p w:rsidR="00000000" w:rsidDel="00000000" w:rsidP="00000000" w:rsidRDefault="00000000" w:rsidRPr="00000000" w14:paraId="00000075">
      <w:pPr>
        <w:pStyle w:val="Heading2"/>
        <w:rPr/>
      </w:pPr>
      <w:r w:rsidDel="00000000" w:rsidR="00000000" w:rsidRPr="00000000">
        <w:rPr>
          <w:rtl w:val="0"/>
        </w:rPr>
        <w:t xml:space="preserve">3.3 Wind Shear</w:t>
      </w:r>
    </w:p>
    <w:p>
      <w:pPr>
        <w:spacing w:after="120" w:before="0"/>
        <w:jc w:val="both"/>
      </w:pPr>
      <w:r>
        <w:t>Eight-year mean wind speeds at the two lowest WIND Toolkit heights bracketing the hub were used in Eq. (3).</w:t>
      </w:r>
    </w:p>
    <w:p w:rsidR="00000000" w:rsidDel="00000000" w:rsidP="00000000" w:rsidRDefault="00000000" w:rsidRPr="00000000" w14:paraId="00000077">
      <w:pPr>
        <w:tabs>
          <w:tab w:val="center" w:leader="none" w:pos="4680"/>
          <w:tab w:val="right" w:leader="none" w:pos="9360"/>
        </w:tabs>
        <w:spacing w:after="120" w:before="120" w:lineRule="auto"/>
        <w:rPr/>
      </w:pPr>
      <w:r w:rsidDel="00000000" w:rsidR="00000000" w:rsidRPr="00000000">
        <w:rPr>
          <w:rtl w:val="0"/>
        </w:rPr>
        <w:tab/>
      </w:r>
      <m:oMath>
        <m:d>
          <m:dPr>
            <m:begChr m:val="("/>
            <m:endChr m:val=")"/>
          </m:dPr>
          <m:e>
            <m:f>
              <m:fPr>
                <m:ctrlPr>
                  <w:rPr/>
                </m:ctrlPr>
              </m:fPr>
              <m:num>
                <m:r>
                  <w:rPr/>
                  <m:t xml:space="preserve">v</m:t>
                </m:r>
              </m:num>
              <m:den>
                <m:sSub>
                  <m:sSubPr>
                    <m:ctrlPr>
                      <w:rPr/>
                    </m:ctrlPr>
                  </m:sSubPr>
                  <m:e>
                    <m:r>
                      <w:rPr/>
                      <m:t xml:space="preserve">v</m:t>
                    </m:r>
                  </m:e>
                  <m:sub>
                    <m:r>
                      <w:rPr/>
                      <m:t xml:space="preserve">0</m:t>
                    </m:r>
                  </m:sub>
                </m:sSub>
              </m:den>
            </m:f>
          </m:e>
        </m:d>
        <m:r>
          <w:rPr/>
          <m:t xml:space="preserve">=</m:t>
        </m:r>
        <m:sSup>
          <m:sSupPr>
            <m:ctrlPr>
              <w:rPr/>
            </m:ctrlPr>
          </m:sSupPr>
          <m:e>
            <m:d>
              <m:dPr>
                <m:begChr m:val="("/>
                <m:endChr m:val=")"/>
                <m:ctrlPr>
                  <w:rPr/>
                </m:ctrlPr>
              </m:dPr>
              <m:e>
                <m:f>
                  <m:fPr>
                    <m:ctrlPr>
                      <w:rPr/>
                    </m:ctrlPr>
                  </m:fPr>
                  <m:num>
                    <m:r>
                      <w:rPr/>
                      <m:t xml:space="preserve">H</m:t>
                    </m:r>
                  </m:num>
                  <m:den>
                    <m:sSub>
                      <m:sSubPr>
                        <m:ctrlPr>
                          <w:rPr/>
                        </m:ctrlPr>
                      </m:sSubPr>
                      <m:e>
                        <m:r>
                          <w:rPr/>
                          <m:t xml:space="preserve">H</m:t>
                        </m:r>
                      </m:e>
                      <m:sub>
                        <m:r>
                          <w:rPr/>
                          <m:t xml:space="preserve">0</m:t>
                        </m:r>
                      </m:sub>
                    </m:sSub>
                  </m:den>
                </m:f>
              </m:e>
            </m:d>
          </m:e>
          <m:sup>
            <m:r>
              <w:rPr/>
              <m:t>α</m:t>
            </m:r>
          </m:sup>
        </m:sSup>
        <m:r>
          <w:rPr/>
          <m:t xml:space="preserve">  →  α=</m:t>
        </m:r>
        <m:f>
          <m:fPr>
            <m:ctrlPr>
              <w:rPr/>
            </m:ctrlPr>
          </m:fPr>
          <m:num>
            <m:r>
              <w:rPr/>
              <m:t xml:space="preserve">ln</m:t>
            </m:r>
            <m:d>
              <m:dPr>
                <m:begChr m:val="("/>
                <m:endChr m:val=")"/>
                <m:ctrlPr>
                  <w:rPr/>
                </m:ctrlPr>
              </m:dPr>
              <m:e>
                <m:f>
                  <m:fPr>
                    <m:ctrlPr>
                      <w:rPr/>
                    </m:ctrlPr>
                  </m:fPr>
                  <m:num>
                    <m:r>
                      <w:rPr/>
                      <m:t xml:space="preserve">v</m:t>
                    </m:r>
                  </m:num>
                  <m:den>
                    <m:sSub>
                      <m:sSubPr>
                        <m:ctrlPr>
                          <w:rPr/>
                        </m:ctrlPr>
                      </m:sSubPr>
                      <m:e>
                        <m:r>
                          <w:rPr/>
                          <m:t xml:space="preserve">v</m:t>
                        </m:r>
                      </m:e>
                      <m:sub>
                        <m:r>
                          <w:rPr/>
                          <m:t xml:space="preserve">0</m:t>
                        </m:r>
                      </m:sub>
                    </m:sSub>
                  </m:den>
                </m:f>
              </m:e>
            </m:d>
          </m:num>
          <m:den>
            <m:r>
              <w:rPr/>
              <m:t xml:space="preserve">ln</m:t>
            </m:r>
            <m:d>
              <m:dPr>
                <m:begChr m:val="("/>
                <m:endChr m:val=")"/>
                <m:ctrlPr>
                  <w:rPr/>
                </m:ctrlPr>
              </m:dPr>
              <m:e>
                <m:f>
                  <m:fPr>
                    <m:ctrlPr>
                      <w:rPr/>
                    </m:ctrlPr>
                  </m:fPr>
                  <m:num>
                    <m:r>
                      <w:rPr/>
                      <m:t xml:space="preserve">H</m:t>
                    </m:r>
                  </m:num>
                  <m:den>
                    <m:sSub>
                      <m:sSubPr>
                        <m:ctrlPr>
                          <w:rPr/>
                        </m:ctrlPr>
                      </m:sSubPr>
                      <m:e>
                        <m:r>
                          <w:rPr/>
                          <m:t xml:space="preserve">H</m:t>
                        </m:r>
                      </m:e>
                      <m:sub>
                        <m:r>
                          <w:rPr/>
                          <m:t xml:space="preserve">0</m:t>
                        </m:r>
                      </m:sub>
                    </m:sSub>
                  </m:den>
                </m:f>
              </m:e>
            </m:d>
          </m:den>
        </m:f>
      </m:oMath>
      <w:r w:rsidDel="00000000" w:rsidR="00000000" w:rsidRPr="00000000">
        <w:rPr>
          <w:rtl w:val="0"/>
        </w:rPr>
        <w:tab/>
        <w:t xml:space="preserve">(3)</w:t>
      </w:r>
    </w:p>
    <w:p w:rsidR="00000000" w:rsidDel="00000000" w:rsidP="00000000" w:rsidRDefault="00000000" w:rsidRPr="00000000" w14:paraId="00000078">
      <w:pPr>
        <w:spacing w:after="160" w:lineRule="auto"/>
        <w:rPr/>
      </w:pPr>
      <w:r w:rsidDel="00000000" w:rsidR="00000000" w:rsidRPr="00000000">
        <w:rPr>
          <w:rtl w:val="0"/>
        </w:rPr>
        <w:t xml:space="preserve">where </w:t>
      </w:r>
      <w:r w:rsidDel="00000000" w:rsidR="00000000" w:rsidRPr="00000000">
        <w:rPr>
          <w:i w:val="1"/>
          <w:iCs w:val="1"/>
          <w:rtl w:val="0"/>
        </w:rPr>
        <w:t xml:space="preserve">v</w:t>
      </w:r>
      <w:r w:rsidDel="00000000" w:rsidR="00000000" w:rsidRPr="00000000">
        <w:rPr>
          <w:rtl w:val="0"/>
        </w:rPr>
        <w:t xml:space="preserve"> = wind speed at height H (m/s); </w:t>
      </w:r>
      <w:r w:rsidDel="00000000" w:rsidR="00000000" w:rsidRPr="00000000">
        <w:rPr>
          <w:i w:val="1"/>
          <w:iCs w:val="1"/>
          <w:rtl w:val="0"/>
        </w:rPr>
        <w:t xml:space="preserve">v</w:t>
      </w:r>
      <w:r w:rsidDel="00000000" w:rsidR="00000000" w:rsidRPr="00000000">
        <w:rPr>
          <w:i w:val="1"/>
          <w:iCs w:val="1"/>
          <w:vertAlign w:val="subscript"/>
          <w:rtl w:val="0"/>
        </w:rPr>
        <w:t xml:space="preserve">0</w:t>
      </w:r>
      <w:r w:rsidDel="00000000" w:rsidR="00000000" w:rsidRPr="00000000">
        <w:rPr>
          <w:rtl w:val="0"/>
        </w:rPr>
        <w:t xml:space="preserve"> = wind speed at the reference height (m/s); </w:t>
      </w:r>
      <w:r w:rsidDel="00000000" w:rsidR="00000000" w:rsidRPr="00000000">
        <w:rPr>
          <w:i w:val="1"/>
          <w:iCs w:val="1"/>
          <w:rtl w:val="0"/>
        </w:rPr>
        <w:t xml:space="preserve">H</w:t>
      </w:r>
      <w:r w:rsidDel="00000000" w:rsidR="00000000" w:rsidRPr="00000000">
        <w:rPr>
          <w:rtl w:val="0"/>
        </w:rPr>
        <w:t xml:space="preserve"> = hub height (m); </w:t>
      </w:r>
      <w:r w:rsidDel="00000000" w:rsidR="00000000" w:rsidRPr="00000000">
        <w:rPr>
          <w:i w:val="1"/>
          <w:iCs w:val="1"/>
          <w:rtl w:val="0"/>
        </w:rPr>
        <w:t xml:space="preserve">H</w:t>
      </w:r>
      <w:r w:rsidDel="00000000" w:rsidR="00000000" w:rsidRPr="00000000">
        <w:rPr>
          <w:i w:val="1"/>
          <w:iCs w:val="1"/>
          <w:vertAlign w:val="subscript"/>
          <w:rtl w:val="0"/>
        </w:rPr>
        <w:t xml:space="preserve">0</w:t>
      </w:r>
      <w:r w:rsidDel="00000000" w:rsidR="00000000" w:rsidRPr="00000000">
        <w:rPr>
          <w:rtl w:val="0"/>
        </w:rPr>
        <w:t xml:space="preserve"> = reference height (m); </w:t>
      </w:r>
      <w:r w:rsidDel="00000000" w:rsidR="00000000" w:rsidRPr="00000000">
        <w:rPr>
          <w:i w:val="1"/>
          <w:iCs w:val="1"/>
          <w:rtl w:val="0"/>
        </w:rPr>
        <w:t xml:space="preserve">α</w:t>
      </w:r>
      <w:r w:rsidDel="00000000" w:rsidR="00000000" w:rsidRPr="00000000">
        <w:rPr>
          <w:rtl w:val="0"/>
        </w:rPr>
        <w:t xml:space="preserve"> = shear (Hellman) exponent (dimensionless).</w:t>
      </w:r>
    </w:p>
    <w:p>
      <w:pPr>
        <w:spacing w:after="120" w:before="0"/>
        <w:jc w:val="both"/>
      </w:pPr>
      <w:r>
        <w:t>v</w:t>
      </w:r>
      <w:r>
        <w:rPr>
          <w:vertAlign w:val="subscript"/>
        </w:rPr>
        <w:t>80</w:t>
      </w:r>
      <w:r>
        <w:t xml:space="preserve"> = 6.519 m/s and v</w:t>
      </w:r>
      <w:r>
        <w:rPr>
          <w:vertAlign w:val="subscript"/>
        </w:rPr>
        <w:t>100</w:t>
      </w:r>
      <w:r>
        <w:t xml:space="preserve"> = 6.911 m/s, so α = ln(6.911/6.519) / ln(100/80) = 0.0585 / 0.2231 = </w:t>
      </w:r>
      <w:r>
        <w:rPr>
          <w:b/>
        </w:rPr>
        <w:t>0.262</w:t>
      </w:r>
      <w:r>
        <w:t>. The 100 to 120 m pair gives α = 0.260, confirming the value. The exponent is higher than the 1/7 (0.143) rule of thumb, which is typical of the stable night-time boundary layer over the coastal plain. Because the 95 m hub is not a WIND Toolkit height, the 100 m series was scaled to hub height: v</w:t>
      </w:r>
      <w:r>
        <w:rPr>
          <w:vertAlign w:val="subscript"/>
        </w:rPr>
        <w:t>95</w:t>
      </w:r>
      <w:r>
        <w:t xml:space="preserve"> = v</w:t>
      </w:r>
      <w:r>
        <w:rPr>
          <w:vertAlign w:val="subscript"/>
        </w:rPr>
        <w:t>100</w:t>
      </w:r>
      <w:r>
        <w:t>(95/100)</w:t>
      </w:r>
      <w:r>
        <w:rPr>
          <w:vertAlign w:val="superscript"/>
        </w:rPr>
        <w:t>α</w:t>
      </w:r>
      <w:r>
        <w:t xml:space="preserve"> = 6.911 × 0.95</w:t>
      </w:r>
      <w:r>
        <w:rPr>
          <w:vertAlign w:val="superscript"/>
        </w:rPr>
        <w:t>0.262</w:t>
      </w:r>
      <w:r>
        <w:t xml:space="preserve"> = </w:t>
      </w:r>
      <w:r>
        <w:rPr>
          <w:b/>
        </w:rPr>
        <w:t>6.82 m/s</w:t>
      </w:r>
      <w:r>
        <w:t>.</w:t>
      </w:r>
    </w:p>
    <w:p w:rsidR="00000000" w:rsidDel="00000000" w:rsidP="00000000" w:rsidRDefault="00000000" w:rsidRPr="00000000" w14:paraId="00000079">
      <w:pPr>
        <w:pStyle w:val="Heading2"/>
        <w:rPr/>
      </w:pPr>
      <w:r w:rsidDel="00000000" w:rsidR="00000000" w:rsidRPr="00000000">
        <w:rPr>
          <w:rtl w:val="0"/>
        </w:rPr>
        <w:t xml:space="preserve">3.4 Turbulence Intensity</w:t>
      </w:r>
    </w:p>
    <w:p>
      <w:pPr>
        <w:spacing w:after="120" w:before="0"/>
        <w:jc w:val="both"/>
      </w:pPr>
      <w:r>
        <w:t>IEC 61400-1 defines σ</w:t>
      </w:r>
      <w:r>
        <w:rPr>
          <w:vertAlign w:val="subscript"/>
        </w:rPr>
        <w:t>v</w:t>
      </w:r>
      <w:r>
        <w:t xml:space="preserve"> from high-frequency (1 Hz) samples within 10-minute periods. The WIND Toolkit only provides 5-minute averages, so TI was approximated as the standard deviation of the twelve 5-minute values in each hour divided by the hourly mean (at 100 m, the nearest height), and the results were binned by hourly mean speed. This proxy removes the short-period turbulence that IEC TI includes, so it </w:t>
      </w:r>
      <w:r>
        <w:rPr>
          <w:b/>
        </w:rPr>
        <w:t>underestimates</w:t>
      </w:r>
      <w:r>
        <w:t xml:space="preserve"> true TI and is used only as an indicator.</w:t>
      </w:r>
    </w:p>
    <w:p w:rsidR="00000000" w:rsidDel="00000000" w:rsidP="00000000" w:rsidRDefault="00000000" w:rsidRPr="00000000" w14:paraId="0000007B">
      <w:pPr>
        <w:tabs>
          <w:tab w:val="center" w:leader="none" w:pos="4680"/>
          <w:tab w:val="right" w:leader="none" w:pos="9360"/>
        </w:tabs>
        <w:spacing w:after="120" w:before="120" w:lineRule="auto"/>
        <w:rPr/>
      </w:pPr>
      <w:r w:rsidDel="00000000" w:rsidR="00000000" w:rsidRPr="00000000">
        <w:rPr>
          <w:rtl w:val="0"/>
        </w:rPr>
        <w:tab/>
      </w:r>
      <m:oMath>
        <m:r>
          <w:rPr/>
          <m:t xml:space="preserve">TI=</m:t>
        </m:r>
        <m:f>
          <m:fPr>
            <m:ctrlPr>
              <w:rPr/>
            </m:ctrlPr>
          </m:fPr>
          <m:num>
            <m:sSub>
              <m:sSubPr>
                <m:ctrlPr>
                  <w:rPr/>
                </m:ctrlPr>
              </m:sSubPr>
              <m:e>
                <m:r>
                  <w:rPr/>
                  <m:t>σ</m:t>
                </m:r>
              </m:e>
              <m:sub>
                <m:r>
                  <w:rPr/>
                  <m:t xml:space="preserve">v</m:t>
                </m:r>
              </m:sub>
            </m:sSub>
          </m:num>
          <m:den>
            <m:sSub>
              <m:sSubPr>
                <m:ctrlPr>
                  <w:rPr/>
                </m:ctrlPr>
              </m:sSubPr>
              <m:e>
                <m:r>
                  <w:rPr/>
                  <m:t xml:space="preserve">v</m:t>
                </m:r>
              </m:e>
              <m:sub>
                <m:r>
                  <w:rPr/>
                  <m:t xml:space="preserve">avg,10min</m:t>
                </m:r>
              </m:sub>
            </m:sSub>
          </m:den>
        </m:f>
      </m:oMath>
      <w:r w:rsidDel="00000000" w:rsidR="00000000" w:rsidRPr="00000000">
        <w:rPr>
          <w:rtl w:val="0"/>
        </w:rPr>
        <w:tab/>
        <w:t xml:space="preserve">(4)</w:t>
      </w:r>
    </w:p>
    <w:p w:rsidR="00000000" w:rsidDel="00000000" w:rsidP="00000000" w:rsidRDefault="00000000" w:rsidRPr="00000000" w14:paraId="0000007C">
      <w:pPr>
        <w:spacing w:after="160" w:lineRule="auto"/>
        <w:rPr/>
      </w:pPr>
      <w:r w:rsidDel="00000000" w:rsidR="00000000" w:rsidRPr="00000000">
        <w:rPr>
          <w:rtl w:val="0"/>
        </w:rPr>
        <w:t xml:space="preserve">where </w:t>
      </w:r>
      <w:r w:rsidDel="00000000" w:rsidR="00000000" w:rsidRPr="00000000">
        <w:rPr>
          <w:i w:val="1"/>
          <w:iCs w:val="1"/>
          <w:rtl w:val="0"/>
        </w:rPr>
        <w:t xml:space="preserve">TI</w:t>
      </w:r>
      <w:r w:rsidDel="00000000" w:rsidR="00000000" w:rsidRPr="00000000">
        <w:rPr>
          <w:rtl w:val="0"/>
        </w:rPr>
        <w:t xml:space="preserve"> = turbulence intensity (dimensionless); </w:t>
      </w:r>
      <w:r w:rsidDel="00000000" w:rsidR="00000000" w:rsidRPr="00000000">
        <w:rPr>
          <w:i w:val="1"/>
          <w:iCs w:val="1"/>
          <w:rtl w:val="0"/>
        </w:rPr>
        <w:t xml:space="preserve">σ</w:t>
      </w:r>
      <w:r w:rsidDel="00000000" w:rsidR="00000000" w:rsidRPr="00000000">
        <w:rPr>
          <w:i w:val="1"/>
          <w:iCs w:val="1"/>
          <w:vertAlign w:val="subscript"/>
          <w:rtl w:val="0"/>
        </w:rPr>
        <w:t xml:space="preserve">v</w:t>
      </w:r>
      <w:r w:rsidDel="00000000" w:rsidR="00000000" w:rsidRPr="00000000">
        <w:rPr>
          <w:rtl w:val="0"/>
        </w:rPr>
        <w:t xml:space="preserve"> = standard deviation of wind speed (m/s); </w:t>
      </w:r>
      <w:r w:rsidDel="00000000" w:rsidR="00000000" w:rsidRPr="00000000">
        <w:rPr>
          <w:i w:val="1"/>
          <w:iCs w:val="1"/>
          <w:rtl w:val="0"/>
        </w:rPr>
        <w:t xml:space="preserve">v</w:t>
      </w:r>
      <w:r w:rsidDel="00000000" w:rsidR="00000000" w:rsidRPr="00000000">
        <w:rPr>
          <w:i w:val="1"/>
          <w:iCs w:val="1"/>
          <w:vertAlign w:val="subscript"/>
          <w:rtl w:val="0"/>
        </w:rPr>
        <w:t xml:space="preserve">avg,10min</w:t>
      </w:r>
      <w:r w:rsidDel="00000000" w:rsidR="00000000" w:rsidRPr="00000000">
        <w:rPr>
          <w:rtl w:val="0"/>
        </w:rPr>
        <w:t xml:space="preserve"> = 10-minute mean wind speed (m/s).</w:t>
      </w:r>
    </w:p>
    <w:p>
      <w:pPr>
        <w:spacing w:after="120" w:before="0"/>
        <w:jc w:val="both"/>
      </w:pPr>
      <w:r>
        <w:t xml:space="preserve">Across all hours above 3 m/s the mean TI proxy is 5.7%. In the 15 m/s bin (353 hours over 8 years) the mean is 4.3% with a standard deviation of 4.0%, giving a representative (90th-percentile, mean + 1.28σ) value of </w:t>
      </w:r>
      <w:r>
        <w:rPr>
          <w:b/>
        </w:rPr>
        <w:t>TI</w:t>
      </w:r>
      <w:r>
        <w:rPr>
          <w:b/>
          <w:vertAlign w:val="subscript"/>
        </w:rPr>
        <w:t>15</w:t>
      </w:r>
      <w:r>
        <w:rPr>
          <w:b/>
        </w:rPr>
        <w:t xml:space="preserve"> ≈ 9.4%</w:t>
      </w:r>
      <w:r>
        <w:t>. Measured TI over flat farmland with scattered woodlots is typically 10 to 14%, so the site is conservatively treated as turbulence category A (16%) in Section 3.6.</w:t>
      </w:r>
    </w:p>
    <w:p w:rsidR="00000000" w:rsidDel="00000000" w:rsidP="00000000" w:rsidRDefault="00000000" w:rsidRPr="00000000" w14:paraId="0000007D">
      <w:pPr>
        <w:pStyle w:val="Heading2"/>
        <w:rPr/>
      </w:pPr>
      <w:r w:rsidDel="00000000" w:rsidR="00000000" w:rsidRPr="00000000">
        <w:rPr>
          <w:rtl w:val="0"/>
        </w:rPr>
        <w:t xml:space="preserve">3.5 Seasonal and Diurnal Variation</w:t>
      </w:r>
    </w:p>
    <w:p>
      <w:pPr>
        <w:spacing w:after="120" w:before="0"/>
        <w:jc w:val="both"/>
      </w:pPr>
      <w:r>
        <w:t>Figure 3-2 shows a clear cool-season maximum. March (7.85 m/s), April (7.76 m/s) and February (7.52 m/s) are the windiest months, driven by passing mid-latitude storms and fronts. August (5.33 m/s) and July (5.90 m/s) are the calmest, under the Bermuda High. Figure 3-3 shows that at hub height the wind is strongest at night: speeds of about 7.6 m/s from 21:00 to 02:00 local time, driven by the nocturnal low-level jet above a stable surface layer. They are weakest in late morning (5.7 m/s around 10:00 to 11:00), when daytime mixing couples the 95 m level to the slower surface flow. Both patterns matter for a flat 14 MW load (Section 5.2).</w:t>
      </w:r>
    </w:p>
    <w:p w:rsidR="00000000" w:rsidDel="00000000" w:rsidP="00000000" w:rsidRDefault="00000000" w:rsidRPr="00000000" w14:paraId="0000007F">
      <w:pPr>
        <w:keepNext/>
        <w:spacing w:before="0" w:lineRule="auto"/>
        <w:jc w:val="center"/>
        <w:rPr/>
      </w:pPr>
      <w:r w:rsidDel="00000000" w:rsidR="00000000" w:rsidRPr="00000000">
        <w:rPr>
          <w:rtl w:val="0"/>
        </w:rPr>
      </w:r>
      <w:r>
        <w:drawing>
          <wp:inline>
            <wp:extent cx="5303520" cy="2447778"/>
            <wp:docPr id="3" name="Picture 3"/>
            <wp:cNvGraphicFramePr>
              <a:graphicFrameLocks noChangeAspect="1"/>
            </wp:cNvGraphicFramePr>
            <a:graphic>
              <a:graphicData uri="http://schemas.openxmlformats.org/drawingml/2006/picture">
                <pic:pic>
                  <pic:nvPicPr>
                    <pic:cNvPr id="0" name="fig_seasonal.png"/>
                    <pic:cNvPicPr/>
                  </pic:nvPicPr>
                  <pic:blipFill>
                    <a:blip r:embed="rId10"/>
                    <a:stretch>
                      <a:fillRect/>
                    </a:stretch>
                  </pic:blipFill>
                  <pic:spPr>
                    <a:xfrm>
                      <a:off x="0" y="0"/>
                      <a:ext cx="5303520" cy="2447778"/>
                    </a:xfrm>
                    <a:prstGeom prst="rect"/>
                  </pic:spPr>
                </pic:pic>
              </a:graphicData>
            </a:graphic>
          </wp:inline>
        </w:drawing>
      </w:r>
    </w:p>
    <w:p w:rsidR="00000000" w:rsidDel="00000000" w:rsidP="00000000" w:rsidRDefault="00000000" w:rsidRPr="00000000" w14:paraId="00000080">
      <w:pPr>
        <w:spacing w:after="200" w:lineRule="auto"/>
        <w:jc w:val="center"/>
        <w:rPr/>
      </w:pPr>
      <w:r w:rsidDel="00000000" w:rsidR="00000000" w:rsidRPr="00000000">
        <w:rPr>
          <w:i w:val="1"/>
          <w:iCs w:val="1"/>
          <w:sz w:val="20"/>
          <w:szCs w:val="20"/>
          <w:rtl w:val="0"/>
        </w:rPr>
        <w:t>Figure 3-2. Seasonal variation (monthly mean wind speed at 95 m, 2007 to 2014)</w:t>
      </w:r>
    </w:p>
    <w:p w:rsidR="00000000" w:rsidDel="00000000" w:rsidP="00000000" w:rsidRDefault="00000000" w:rsidRPr="00000000" w14:paraId="00000081">
      <w:pPr>
        <w:keepNext/>
        <w:spacing w:before="0" w:lineRule="auto"/>
        <w:jc w:val="center"/>
        <w:rPr/>
      </w:pPr>
      <w:r w:rsidDel="00000000" w:rsidR="00000000" w:rsidRPr="00000000">
        <w:rPr>
          <w:rtl w:val="0"/>
        </w:rPr>
      </w:r>
      <w:r>
        <w:drawing>
          <wp:inline>
            <wp:extent cx="5303520" cy="2447778"/>
            <wp:docPr id="4" name="Picture 4"/>
            <wp:cNvGraphicFramePr>
              <a:graphicFrameLocks noChangeAspect="1"/>
            </wp:cNvGraphicFramePr>
            <a:graphic>
              <a:graphicData uri="http://schemas.openxmlformats.org/drawingml/2006/picture">
                <pic:pic>
                  <pic:nvPicPr>
                    <pic:cNvPr id="0" name="fig_diurnal.png"/>
                    <pic:cNvPicPr/>
                  </pic:nvPicPr>
                  <pic:blipFill>
                    <a:blip r:embed="rId11"/>
                    <a:stretch>
                      <a:fillRect/>
                    </a:stretch>
                  </pic:blipFill>
                  <pic:spPr>
                    <a:xfrm>
                      <a:off x="0" y="0"/>
                      <a:ext cx="5303520" cy="2447778"/>
                    </a:xfrm>
                    <a:prstGeom prst="rect"/>
                  </pic:spPr>
                </pic:pic>
              </a:graphicData>
            </a:graphic>
          </wp:inline>
        </w:drawing>
      </w:r>
    </w:p>
    <w:p w:rsidR="00000000" w:rsidDel="00000000" w:rsidP="00000000" w:rsidRDefault="00000000" w:rsidRPr="00000000" w14:paraId="00000082">
      <w:pPr>
        <w:spacing w:after="200" w:lineRule="auto"/>
        <w:jc w:val="center"/>
        <w:rPr/>
      </w:pPr>
      <w:r w:rsidDel="00000000" w:rsidR="00000000" w:rsidRPr="00000000">
        <w:rPr>
          <w:i w:val="1"/>
          <w:iCs w:val="1"/>
          <w:sz w:val="20"/>
          <w:szCs w:val="20"/>
          <w:rtl w:val="0"/>
        </w:rPr>
        <w:t>Figure 3-3. Diurnal variation (mean wind speed at 95 m by local hour)</w:t>
      </w:r>
    </w:p>
    <w:p w:rsidR="00000000" w:rsidDel="00000000" w:rsidP="00000000" w:rsidRDefault="00000000" w:rsidRPr="00000000" w14:paraId="00000083">
      <w:pPr>
        <w:pStyle w:val="Heading2"/>
        <w:rPr/>
      </w:pPr>
      <w:r w:rsidDel="00000000" w:rsidR="00000000" w:rsidRPr="00000000">
        <w:rPr>
          <w:rtl w:val="0"/>
        </w:rPr>
        <w:t xml:space="preserve">3.6 IEC Wind Class</w:t>
      </w:r>
    </w:p>
    <w:p>
      <w:pPr>
        <w:spacing w:after="120" w:before="0"/>
        <w:jc w:val="both"/>
      </w:pPr>
      <w:r>
        <w:t xml:space="preserve">The hub-height mean wind speed of 6.82 m/s is below the 7.5 m/s Class III limit, so the site is </w:t>
      </w:r>
      <w:r>
        <w:rPr>
          <w:b/>
        </w:rPr>
        <w:t>IEC Class III</w:t>
      </w:r>
      <w:r>
        <w:t>.</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60"/>
        <w:gridCol w:w="1600"/>
        <w:gridCol w:w="1600"/>
        <w:gridCol w:w="1600"/>
        <w:tblGridChange w:id="0">
          <w:tblGrid>
            <w:gridCol w:w="4560"/>
            <w:gridCol w:w="1600"/>
            <w:gridCol w:w="1600"/>
            <w:gridCol w:w="16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85">
            <w:pPr>
              <w:rPr/>
            </w:pPr>
            <w:r w:rsidDel="00000000" w:rsidR="00000000" w:rsidRPr="00000000">
              <w:rPr>
                <w:b w:val="1"/>
                <w:bCs w:val="1"/>
                <w:color w:val="000000"/>
                <w:sz w:val="20"/>
                <w:szCs w:val="20"/>
                <w:rtl w:val="0"/>
              </w:rPr>
              <w:t xml:space="preserve">IEC 61400-1 Class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86">
            <w:pPr>
              <w:rPr/>
            </w:pPr>
            <w:r w:rsidDel="00000000" w:rsidR="00000000" w:rsidRPr="00000000">
              <w:rPr>
                <w:b w:val="1"/>
                <w:bCs w:val="1"/>
                <w:color w:val="000000"/>
                <w:sz w:val="20"/>
                <w:szCs w:val="20"/>
                <w:rtl w:val="0"/>
              </w:rPr>
              <w:t xml:space="preserve">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87">
            <w:pPr>
              <w:rPr/>
            </w:pPr>
            <w:r w:rsidDel="00000000" w:rsidR="00000000" w:rsidRPr="00000000">
              <w:rPr>
                <w:b w:val="1"/>
                <w:bCs w:val="1"/>
                <w:color w:val="000000"/>
                <w:sz w:val="20"/>
                <w:szCs w:val="20"/>
                <w:rtl w:val="0"/>
              </w:rPr>
              <w:t xml:space="preserve">II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88">
            <w:pPr>
              <w:rPr/>
            </w:pPr>
            <w:r w:rsidDel="00000000" w:rsidR="00000000" w:rsidRPr="00000000">
              <w:rPr>
                <w:b w:val="1"/>
                <w:bCs w:val="1"/>
                <w:color w:val="000000"/>
                <w:sz w:val="20"/>
                <w:szCs w:val="20"/>
                <w:rtl w:val="0"/>
              </w:rPr>
              <w:t xml:space="preserve">III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89">
            <w:pPr>
              <w:rPr/>
            </w:pPr>
            <w:r w:rsidDel="00000000" w:rsidR="00000000" w:rsidRPr="00000000">
              <w:rPr>
                <w:sz w:val="20"/>
                <w:szCs w:val="20"/>
                <w:rtl w:val="0"/>
              </w:rPr>
              <w:t xml:space="preserve">Average wind speed at hub height (m/s)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8A">
            <w:pPr>
              <w:rPr/>
            </w:pPr>
            <w:r w:rsidDel="00000000" w:rsidR="00000000" w:rsidRPr="00000000">
              <w:rPr>
                <w:sz w:val="20"/>
                <w:szCs w:val="20"/>
                <w:rtl w:val="0"/>
              </w:rPr>
              <w:t xml:space="preserve">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8B">
            <w:pPr>
              <w:rPr/>
            </w:pPr>
            <w:r w:rsidDel="00000000" w:rsidR="00000000" w:rsidRPr="00000000">
              <w:rPr>
                <w:sz w:val="20"/>
                <w:szCs w:val="20"/>
                <w:rtl w:val="0"/>
              </w:rPr>
              <w:t xml:space="preserve">8.5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8C">
            <w:pPr>
              <w:rPr/>
            </w:pPr>
            <w:r w:rsidDel="00000000" w:rsidR="00000000" w:rsidRPr="00000000">
              <w:rPr>
                <w:sz w:val="20"/>
                <w:szCs w:val="20"/>
                <w:rtl w:val="0"/>
              </w:rPr>
              <w:t xml:space="preserve">7.5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8D">
            <w:pPr>
              <w:rPr/>
            </w:pPr>
            <w:r w:rsidDel="00000000" w:rsidR="00000000" w:rsidRPr="00000000">
              <w:rPr>
                <w:sz w:val="20"/>
                <w:szCs w:val="20"/>
                <w:rtl w:val="0"/>
              </w:rPr>
              <w:t xml:space="preserve">50-year maximum 10-minute wind speed (m/s)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8E">
            <w:pPr>
              <w:rPr/>
            </w:pPr>
            <w:r w:rsidDel="00000000" w:rsidR="00000000" w:rsidRPr="00000000">
              <w:rPr>
                <w:sz w:val="20"/>
                <w:szCs w:val="20"/>
                <w:rtl w:val="0"/>
              </w:rPr>
              <w:t xml:space="preserve">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8F">
            <w:pPr>
              <w:rPr/>
            </w:pPr>
            <w:r w:rsidDel="00000000" w:rsidR="00000000" w:rsidRPr="00000000">
              <w:rPr>
                <w:sz w:val="20"/>
                <w:szCs w:val="20"/>
                <w:rtl w:val="0"/>
              </w:rPr>
              <w:t xml:space="preserve">42.5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0">
            <w:pPr>
              <w:rPr/>
            </w:pPr>
            <w:r w:rsidDel="00000000" w:rsidR="00000000" w:rsidRPr="00000000">
              <w:rPr>
                <w:sz w:val="20"/>
                <w:szCs w:val="20"/>
                <w:rtl w:val="0"/>
              </w:rPr>
              <w:t xml:space="preserve">37.5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1">
            <w:pPr>
              <w:rPr/>
            </w:pPr>
            <w:r w:rsidDel="00000000" w:rsidR="00000000" w:rsidRPr="00000000">
              <w:rPr>
                <w:sz w:val="20"/>
                <w:szCs w:val="20"/>
                <w:rtl w:val="0"/>
              </w:rPr>
              <w:t xml:space="preserve">50-year extreme 3-second gust (m/s)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2">
            <w:pPr>
              <w:rPr/>
            </w:pPr>
            <w:r w:rsidDel="00000000" w:rsidR="00000000" w:rsidRPr="00000000">
              <w:rPr>
                <w:sz w:val="20"/>
                <w:szCs w:val="20"/>
                <w:rtl w:val="0"/>
              </w:rPr>
              <w:t xml:space="preserve">70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3">
            <w:pPr>
              <w:rPr/>
            </w:pPr>
            <w:r w:rsidDel="00000000" w:rsidR="00000000" w:rsidRPr="00000000">
              <w:rPr>
                <w:sz w:val="20"/>
                <w:szCs w:val="20"/>
                <w:rtl w:val="0"/>
              </w:rPr>
              <w:t xml:space="preserve">59.5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4">
            <w:pPr>
              <w:rPr/>
            </w:pPr>
            <w:r w:rsidDel="00000000" w:rsidR="00000000" w:rsidRPr="00000000">
              <w:rPr>
                <w:sz w:val="20"/>
                <w:szCs w:val="20"/>
                <w:rtl w:val="0"/>
              </w:rPr>
              <w:t xml:space="preserve">53.5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5">
            <w:pPr>
              <w:rPr/>
            </w:pPr>
            <w:r w:rsidDel="00000000" w:rsidR="00000000" w:rsidRPr="00000000">
              <w:rPr>
                <w:sz w:val="20"/>
                <w:szCs w:val="20"/>
                <w:rtl w:val="0"/>
              </w:rPr>
              <w:t xml:space="preserve">Turbulence Class 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6">
            <w:pPr>
              <w:rPr/>
            </w:pPr>
            <w:r w:rsidDel="00000000" w:rsidR="00000000" w:rsidRPr="00000000">
              <w:rPr>
                <w:sz w:val="20"/>
                <w:szCs w:val="20"/>
                <w:rtl w:val="0"/>
              </w:rPr>
              <w:t xml:space="preserve">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7">
            <w:pPr>
              <w:rPr/>
            </w:pPr>
            <w:r w:rsidDel="00000000" w:rsidR="00000000" w:rsidRPr="00000000">
              <w:rPr>
                <w:sz w:val="20"/>
                <w:szCs w:val="20"/>
                <w:rtl w:val="0"/>
              </w:rPr>
              <w:t xml:space="preserve">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8">
            <w:pPr>
              <w:rPr/>
            </w:pPr>
            <w:r w:rsidDel="00000000" w:rsidR="00000000" w:rsidRPr="00000000">
              <w:rPr>
                <w:sz w:val="20"/>
                <w:szCs w:val="20"/>
                <w:rtl w:val="0"/>
              </w:rPr>
              <w:t xml:space="preserve">16%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9">
            <w:pPr>
              <w:rPr/>
            </w:pPr>
            <w:r w:rsidDel="00000000" w:rsidR="00000000" w:rsidRPr="00000000">
              <w:rPr>
                <w:sz w:val="20"/>
                <w:szCs w:val="20"/>
                <w:rtl w:val="0"/>
              </w:rPr>
              <w:t xml:space="preserve">Turbulence Class 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A">
            <w:pPr>
              <w:rPr/>
            </w:pPr>
            <w:r w:rsidDel="00000000" w:rsidR="00000000" w:rsidRPr="00000000">
              <w:rPr>
                <w:sz w:val="20"/>
                <w:szCs w:val="20"/>
                <w:rtl w:val="0"/>
              </w:rPr>
              <w:t xml:space="preserve">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B">
            <w:pPr>
              <w:rPr/>
            </w:pPr>
            <w:r w:rsidDel="00000000" w:rsidR="00000000" w:rsidRPr="00000000">
              <w:rPr>
                <w:sz w:val="20"/>
                <w:szCs w:val="20"/>
                <w:rtl w:val="0"/>
              </w:rPr>
              <w:t xml:space="preserve">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C">
            <w:pPr>
              <w:rPr/>
            </w:pPr>
            <w:r w:rsidDel="00000000" w:rsidR="00000000" w:rsidRPr="00000000">
              <w:rPr>
                <w:sz w:val="20"/>
                <w:szCs w:val="20"/>
                <w:rtl w:val="0"/>
              </w:rPr>
              <w:t xml:space="preserve">14%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D">
            <w:pPr>
              <w:rPr/>
            </w:pPr>
            <w:r w:rsidDel="00000000" w:rsidR="00000000" w:rsidRPr="00000000">
              <w:rPr>
                <w:sz w:val="20"/>
                <w:szCs w:val="20"/>
                <w:rtl w:val="0"/>
              </w:rPr>
              <w:t xml:space="preserve">Turbulence Class 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E">
            <w:pPr>
              <w:rPr/>
            </w:pPr>
            <w:r w:rsidDel="00000000" w:rsidR="00000000" w:rsidRPr="00000000">
              <w:rPr>
                <w:sz w:val="20"/>
                <w:szCs w:val="20"/>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F">
            <w:pPr>
              <w:rPr/>
            </w:pPr>
            <w:r w:rsidDel="00000000" w:rsidR="00000000" w:rsidRPr="00000000">
              <w:rPr>
                <w:sz w:val="20"/>
                <w:szCs w:val="20"/>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A0">
            <w:pPr>
              <w:rPr/>
            </w:pPr>
            <w:r w:rsidDel="00000000" w:rsidR="00000000" w:rsidRPr="00000000">
              <w:rPr>
                <w:sz w:val="20"/>
                <w:szCs w:val="20"/>
                <w:rtl w:val="0"/>
              </w:rPr>
              <w:t xml:space="preserve">12%</w:t>
            </w:r>
            <w:r w:rsidDel="00000000" w:rsidR="00000000" w:rsidRPr="00000000">
              <w:rPr>
                <w:rtl w:val="0"/>
              </w:rPr>
            </w:r>
          </w:p>
        </w:tc>
      </w:tr>
    </w:tbl>
    <w:p w:rsidR="00000000" w:rsidDel="00000000" w:rsidP="00000000" w:rsidRDefault="00000000" w:rsidRPr="00000000" w14:paraId="000000A1">
      <w:pPr>
        <w:spacing w:after="200" w:lineRule="auto"/>
        <w:jc w:val="center"/>
        <w:rPr/>
      </w:pPr>
      <w:r w:rsidDel="00000000" w:rsidR="00000000" w:rsidRPr="00000000">
        <w:rPr>
          <w:i w:val="1"/>
          <w:iCs w:val="1"/>
          <w:sz w:val="20"/>
          <w:szCs w:val="20"/>
          <w:rtl w:val="0"/>
        </w:rPr>
        <w:t xml:space="preserve">Table 3-2. IEC 61400-1 wind turbine classes</w:t>
      </w:r>
      <w:r w:rsidDel="00000000" w:rsidR="00000000" w:rsidRPr="00000000">
        <w:rPr>
          <w:rtl w:val="0"/>
        </w:rPr>
      </w:r>
    </w:p>
    <w:p>
      <w:pPr>
        <w:spacing w:after="120" w:before="0"/>
        <w:jc w:val="both"/>
      </w:pPr>
      <w:r>
        <w:t xml:space="preserve">The WIND Toolkit TI proxy (9.4%) would place the site in turbulence category C. Because that proxy underestimates IEC turbulence, the design is based on category A, so the site is designated </w:t>
      </w:r>
      <w:r>
        <w:rPr>
          <w:b/>
        </w:rPr>
        <w:t>IIIA</w:t>
      </w:r>
      <w:r>
        <w:t xml:space="preserve">. Category A (16%) envelopes categories B and C, so a Class IIIA turbine is the conservative choice and is selected in Section 4.1. The 50-year extreme wind (tropical storms) should be confirmed against the 37.5 m/s Class III limit during final design. </w:t>
      </w:r>
      <w:r>
        <w:rPr>
          <w:highlight w:val="yellow"/>
        </w:rPr>
        <w:t>Optional: cite ASCE 7 / NOAA extreme-wind data for Perquimans County.</w:t>
      </w:r>
    </w:p>
    <w:p w:rsidR="00000000" w:rsidDel="00000000" w:rsidP="00000000" w:rsidRDefault="00000000" w:rsidRPr="00000000" w14:paraId="000000A2">
      <w:pPr>
        <w:pStyle w:val="Heading1"/>
        <w:rPr/>
      </w:pPr>
      <w:r w:rsidDel="00000000" w:rsidR="00000000" w:rsidRPr="00000000">
        <w:rPr>
          <w:rtl w:val="0"/>
        </w:rPr>
        <w:t xml:space="preserve">4. Turbine Selection, Sizing, and Micrositing</w:t>
      </w:r>
    </w:p>
    <w:p w:rsidR="00000000" w:rsidDel="00000000" w:rsidP="00000000" w:rsidRDefault="00000000" w:rsidRPr="00000000" w14:paraId="000000A3">
      <w:pPr>
        <w:pStyle w:val="Heading2"/>
        <w:rPr/>
      </w:pPr>
      <w:r w:rsidDel="00000000" w:rsidR="00000000" w:rsidRPr="00000000">
        <w:rPr>
          <w:rtl w:val="0"/>
        </w:rPr>
        <w:t xml:space="preserve">4.1 Selected Turbine</w:t>
      </w:r>
    </w:p>
    <w:p>
      <w:pPr>
        <w:spacing w:after="120" w:before="0"/>
        <w:jc w:val="both"/>
      </w:pPr>
      <w:r>
        <w:t xml:space="preserve">The </w:t>
      </w:r>
      <w:r>
        <w:rPr>
          <w:b/>
        </w:rPr>
        <w:t>Vestas V110-2.0 MW (IEC IIIA)</w:t>
      </w:r>
      <w:r>
        <w:t xml:space="preserve"> was selected. It is a low-wind-speed turbine with a very large rotor relative to its rating: 2,000 kW over 9,503 m² of swept area gives a specific power of 210 W/m², among the lowest of commercial onshore turbines, which raises capacity factor at a 6.8 m/s site. It is the Lecture 3/4 example turbine, and its power curve is in the NLR SAM turbine library, so the hand calculation and the SAM model (Sections 4.4, 5.5 and 6.4) use an identical curve. The 95 m hub keeps the tip height at 150 m (492 ft), below the 499 ft FAA obstruction standard and below Perquimans County's 600 ft height cap. 2 MW-class low-wind turbines are also proven locally: the neighboring Amazon Wind Farm US East uses 104 Gamesa G114-2.0 MW units. Larger current platforms (e.g., Vestas V150-4.2 MW at Timbermill, or the Siemens Gamesa SG 2.1-114) would reduce the turbine count to about 8. They are a reasonable alternative, but their full power-curve tables are not public.</w:t>
      </w:r>
    </w:p>
    <w:p>
      <w:pPr>
        <w:spacing w:after="120" w:before="0"/>
        <w:jc w:val="both"/>
      </w:pPr>
      <w:r>
        <w:rPr>
          <w:highlight w:val="yellow"/>
        </w:rPr>
        <w:t>Cite the current Vestas V110-2.0 MW product datasheet. The power curve used is the SAM library curve "Vestas V110-2.0".</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A5">
            <w:pPr>
              <w:rPr/>
            </w:pPr>
            <w:r w:rsidDel="00000000" w:rsidR="00000000" w:rsidRPr="00000000">
              <w:rPr>
                <w:b w:val="1"/>
                <w:bCs w:val="1"/>
                <w:color w:val="000000"/>
                <w:sz w:val="20"/>
                <w:szCs w:val="20"/>
                <w:rtl w:val="0"/>
              </w:rPr>
              <w:t xml:space="preserve">Parameter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A6">
            <w:pPr>
              <w:rPr/>
            </w:pPr>
            <w:r w:rsidDel="00000000" w:rsidR="00000000" w:rsidRPr="00000000">
              <w:rPr>
                <w:b w:val="1"/>
                <w:bCs w:val="1"/>
                <w:color w:val="000000"/>
                <w:sz w:val="20"/>
                <w:szCs w:val="20"/>
                <w:rtl w:val="0"/>
              </w:rPr>
              <w:t xml:space="preserve">Value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A7">
            <w:pPr>
              <w:rPr/>
            </w:pPr>
            <w:r w:rsidDel="00000000" w:rsidR="00000000" w:rsidRPr="00000000">
              <w:rPr>
                <w:sz w:val="20"/>
                <w:szCs w:val="20"/>
                <w:rtl w:val="0"/>
              </w:rPr>
              <w:t xml:space="preserve">Manufacturer / model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A8">
            <w:pPr>
              <w:rPr/>
            </w:pPr>
            <w:r>
              <w:rPr>
                <w:sz w:val="20"/>
              </w:rPr>
              <w:t>Vestas V110-2.0 MW</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A9">
            <w:pPr>
              <w:rPr/>
            </w:pPr>
            <w:r w:rsidDel="00000000" w:rsidR="00000000" w:rsidRPr="00000000">
              <w:rPr>
                <w:sz w:val="20"/>
                <w:szCs w:val="20"/>
                <w:rtl w:val="0"/>
              </w:rPr>
              <w:t xml:space="preserve">Rated power (MW)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AA">
            <w:pPr>
              <w:rPr/>
            </w:pPr>
            <w:r>
              <w:rPr>
                <w:sz w:val="20"/>
              </w:rPr>
              <w:t>2.0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AB">
            <w:pPr>
              <w:rPr/>
            </w:pPr>
            <w:r w:rsidDel="00000000" w:rsidR="00000000" w:rsidRPr="00000000">
              <w:rPr>
                <w:sz w:val="20"/>
                <w:szCs w:val="20"/>
                <w:rtl w:val="0"/>
              </w:rPr>
              <w:t xml:space="preserve">Rotor diameter, D (m)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AC">
            <w:pPr>
              <w:rPr/>
            </w:pPr>
            <w:r>
              <w:rPr>
                <w:sz w:val="20"/>
              </w:rPr>
              <w:t>110 (swept area 9,503 m²; 210 W/m²)</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AD">
            <w:pPr>
              <w:rPr/>
            </w:pPr>
            <w:r w:rsidDel="00000000" w:rsidR="00000000" w:rsidRPr="00000000">
              <w:rPr>
                <w:sz w:val="20"/>
                <w:szCs w:val="20"/>
                <w:rtl w:val="0"/>
              </w:rPr>
              <w:t xml:space="preserve">Hub height (m)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AE">
            <w:pPr>
              <w:rPr/>
            </w:pPr>
            <w:r>
              <w:rPr>
                <w:sz w:val="20"/>
              </w:rPr>
              <w:t>95 (options 80 / 95 / 125)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AF">
            <w:pPr>
              <w:rPr/>
            </w:pPr>
            <w:r w:rsidDel="00000000" w:rsidR="00000000" w:rsidRPr="00000000">
              <w:rPr>
                <w:sz w:val="20"/>
                <w:szCs w:val="20"/>
                <w:rtl w:val="0"/>
              </w:rPr>
              <w:t xml:space="preserve">Cut-in / cut-out speed (m/s)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B0">
            <w:pPr>
              <w:rPr/>
            </w:pPr>
            <w:r>
              <w:rPr>
                <w:sz w:val="20"/>
              </w:rPr>
              <w:t>3.0 / 20.0 (rated about 11.5)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B1">
            <w:pPr>
              <w:rPr/>
            </w:pPr>
            <w:r w:rsidDel="00000000" w:rsidR="00000000" w:rsidRPr="00000000">
              <w:rPr>
                <w:sz w:val="20"/>
                <w:szCs w:val="20"/>
                <w:rtl w:val="0"/>
              </w:rPr>
              <w:t xml:space="preserve">IEC class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B2">
            <w:pPr>
              <w:rPr/>
            </w:pPr>
            <w:r>
              <w:rPr>
                <w:sz w:val="20"/>
              </w:rPr>
              <w:t>IIIA</w:t>
            </w:r>
          </w:p>
        </w:tc>
      </w:tr>
    </w:tbl>
    <w:p w:rsidR="00000000" w:rsidDel="00000000" w:rsidP="00000000" w:rsidRDefault="00000000" w:rsidRPr="00000000" w14:paraId="000000B3">
      <w:pPr>
        <w:spacing w:after="200" w:lineRule="auto"/>
        <w:jc w:val="center"/>
        <w:rPr/>
      </w:pPr>
      <w:r w:rsidDel="00000000" w:rsidR="00000000" w:rsidRPr="00000000">
        <w:rPr>
          <w:i w:val="1"/>
          <w:iCs w:val="1"/>
          <w:sz w:val="20"/>
          <w:szCs w:val="20"/>
          <w:rtl w:val="0"/>
        </w:rPr>
        <w:t xml:space="preserve">Table 4-1. Selected turbine</w:t>
      </w:r>
      <w:r w:rsidDel="00000000" w:rsidR="00000000" w:rsidRPr="00000000">
        <w:rPr>
          <w:rtl w:val="0"/>
        </w:rPr>
      </w:r>
    </w:p>
    <w:p w:rsidR="00000000" w:rsidDel="00000000" w:rsidP="00000000" w:rsidRDefault="00000000" w:rsidRPr="00000000" w14:paraId="000000B4">
      <w:pPr>
        <w:pStyle w:val="Heading2"/>
        <w:rPr/>
      </w:pPr>
      <w:r w:rsidDel="00000000" w:rsidR="00000000" w:rsidRPr="00000000">
        <w:rPr>
          <w:rtl w:val="0"/>
        </w:rPr>
        <w:t xml:space="preserve">4.2 Number of Turbines</w:t>
      </w:r>
    </w:p>
    <w:p>
      <w:pPr>
        <w:spacing w:after="120" w:before="0"/>
        <w:jc w:val="both"/>
      </w:pPr>
      <w:r>
        <w:t>The per-turbine capacity factor from the Section 5.1 bin calculation is used in Eq. (5).</w:t>
      </w:r>
    </w:p>
    <w:p w:rsidR="00000000" w:rsidDel="00000000" w:rsidP="00000000" w:rsidRDefault="00000000" w:rsidRPr="00000000" w14:paraId="000000B6">
      <w:pPr>
        <w:tabs>
          <w:tab w:val="center" w:leader="none" w:pos="4680"/>
          <w:tab w:val="right" w:leader="none" w:pos="9360"/>
        </w:tabs>
        <w:spacing w:after="120" w:before="120" w:lineRule="auto"/>
        <w:rPr/>
      </w:pPr>
      <w:r w:rsidDel="00000000" w:rsidR="00000000" w:rsidRPr="00000000">
        <w:rPr>
          <w:rtl w:val="0"/>
        </w:rPr>
        <w:tab/>
      </w:r>
      <m:oMath>
        <m:sSub>
          <m:sSubPr>
            <m:ctrlPr>
              <w:rPr/>
            </m:ctrlPr>
          </m:sSubPr>
          <m:e>
            <m:r>
              <w:rPr/>
              <m:t xml:space="preserve">n</m:t>
            </m:r>
          </m:e>
          <m:sub>
            <m:r>
              <w:rPr/>
              <m:t xml:space="preserve">T</m:t>
            </m:r>
          </m:sub>
        </m:sSub>
        <m:r>
          <w:rPr/>
          <m:t xml:space="preserve">=</m:t>
        </m:r>
        <m:f>
          <m:fPr>
            <m:ctrlPr>
              <w:rPr/>
            </m:ctrlPr>
          </m:fPr>
          <m:num>
            <m:sSub>
              <m:sSubPr>
                <m:ctrlPr>
                  <w:rPr/>
                </m:ctrlPr>
              </m:sSubPr>
              <m:e>
                <m:r>
                  <w:rPr/>
                  <m:t xml:space="preserve">E</m:t>
                </m:r>
              </m:e>
              <m:sub>
                <m:r>
                  <w:rPr/>
                  <m:t xml:space="preserve">demand</m:t>
                </m:r>
              </m:sub>
            </m:sSub>
          </m:num>
          <m:den>
            <m:sSub>
              <m:sSubPr>
                <m:ctrlPr>
                  <w:rPr/>
                </m:ctrlPr>
              </m:sSubPr>
              <m:e>
                <m:r>
                  <w:rPr/>
                  <m:t xml:space="preserve">P</m:t>
                </m:r>
              </m:e>
              <m:sub>
                <m:r>
                  <w:rPr/>
                  <m:t xml:space="preserve">rated</m:t>
                </m:r>
              </m:sub>
            </m:sSub>
            <m:r>
              <w:rPr/>
              <m:t xml:space="preserve">×8760×CF</m:t>
            </m:r>
          </m:den>
        </m:f>
        <m:r>
          <w:rPr/>
          <m:t xml:space="preserve">,     </m:t>
        </m:r>
        <m:sSub>
          <m:sSubPr>
            <m:ctrlPr>
              <w:rPr/>
            </m:ctrlPr>
          </m:sSubPr>
          <m:e>
            <m:r>
              <w:rPr/>
              <m:t xml:space="preserve">P</m:t>
            </m:r>
          </m:e>
          <m:sub>
            <m:r>
              <w:rPr/>
              <m:t xml:space="preserve">inst</m:t>
            </m:r>
          </m:sub>
        </m:sSub>
        <m:r>
          <w:rPr/>
          <m:t xml:space="preserve">=</m:t>
        </m:r>
        <m:sSub>
          <m:sSubPr>
            <m:ctrlPr>
              <w:rPr/>
            </m:ctrlPr>
          </m:sSubPr>
          <m:e>
            <m:r>
              <w:rPr/>
              <m:t xml:space="preserve">n</m:t>
            </m:r>
          </m:e>
          <m:sub>
            <m:r>
              <w:rPr/>
              <m:t xml:space="preserve">T</m:t>
            </m:r>
          </m:sub>
        </m:sSub>
        <m:r>
          <w:rPr/>
          <m:t>×</m:t>
        </m:r>
        <m:sSub>
          <m:sSubPr>
            <m:ctrlPr>
              <w:rPr/>
            </m:ctrlPr>
          </m:sSubPr>
          <m:e>
            <m:r>
              <w:rPr/>
              <m:t xml:space="preserve">P</m:t>
            </m:r>
          </m:e>
          <m:sub>
            <m:r>
              <w:rPr/>
              <m:t xml:space="preserve">rated</m:t>
            </m:r>
          </m:sub>
        </m:sSub>
      </m:oMath>
      <w:r w:rsidDel="00000000" w:rsidR="00000000" w:rsidRPr="00000000">
        <w:rPr>
          <w:rtl w:val="0"/>
        </w:rPr>
        <w:tab/>
        <w:t xml:space="preserve">(5)</w:t>
      </w:r>
    </w:p>
    <w:p w:rsidR="00000000" w:rsidDel="00000000" w:rsidP="00000000" w:rsidRDefault="00000000" w:rsidRPr="00000000" w14:paraId="000000B7">
      <w:pPr>
        <w:spacing w:after="160" w:lineRule="auto"/>
        <w:rPr/>
      </w:pPr>
      <w:r w:rsidDel="00000000" w:rsidR="00000000" w:rsidRPr="00000000">
        <w:rPr>
          <w:rtl w:val="0"/>
        </w:rPr>
        <w:t xml:space="preserve">where </w:t>
      </w:r>
      <w:r w:rsidDel="00000000" w:rsidR="00000000" w:rsidRPr="00000000">
        <w:rPr>
          <w:i w:val="1"/>
          <w:iCs w:val="1"/>
          <w:rtl w:val="0"/>
        </w:rPr>
        <w:t xml:space="preserve">n</w:t>
      </w:r>
      <w:r w:rsidDel="00000000" w:rsidR="00000000" w:rsidRPr="00000000">
        <w:rPr>
          <w:i w:val="1"/>
          <w:iCs w:val="1"/>
          <w:vertAlign w:val="subscript"/>
          <w:rtl w:val="0"/>
        </w:rPr>
        <w:t xml:space="preserve">T</w:t>
      </w:r>
      <w:r w:rsidDel="00000000" w:rsidR="00000000" w:rsidRPr="00000000">
        <w:rPr>
          <w:rtl w:val="0"/>
        </w:rPr>
        <w:t xml:space="preserve"> = number of turbines, rounded up; </w:t>
      </w:r>
      <w:r w:rsidDel="00000000" w:rsidR="00000000" w:rsidRPr="00000000">
        <w:rPr>
          <w:i w:val="1"/>
          <w:iCs w:val="1"/>
          <w:rtl w:val="0"/>
        </w:rPr>
        <w:t xml:space="preserve">E</w:t>
      </w:r>
      <w:r w:rsidDel="00000000" w:rsidR="00000000" w:rsidRPr="00000000">
        <w:rPr>
          <w:i w:val="1"/>
          <w:iCs w:val="1"/>
          <w:vertAlign w:val="subscript"/>
          <w:rtl w:val="0"/>
        </w:rPr>
        <w:t xml:space="preserve">demand</w:t>
      </w:r>
      <w:r w:rsidDel="00000000" w:rsidR="00000000" w:rsidRPr="00000000">
        <w:rPr>
          <w:rtl w:val="0"/>
        </w:rPr>
        <w:t xml:space="preserve"> = annual energy demand, 122,640 MWh/yr; </w:t>
      </w:r>
      <w:r w:rsidDel="00000000" w:rsidR="00000000" w:rsidRPr="00000000">
        <w:rPr>
          <w:i w:val="1"/>
          <w:iCs w:val="1"/>
          <w:rtl w:val="0"/>
        </w:rPr>
        <w:t xml:space="preserve">P</w:t>
      </w:r>
      <w:r w:rsidDel="00000000" w:rsidR="00000000" w:rsidRPr="00000000">
        <w:rPr>
          <w:i w:val="1"/>
          <w:iCs w:val="1"/>
          <w:vertAlign w:val="subscript"/>
          <w:rtl w:val="0"/>
        </w:rPr>
        <w:t xml:space="preserve">rated</w:t>
      </w:r>
      <w:r w:rsidDel="00000000" w:rsidR="00000000" w:rsidRPr="00000000">
        <w:rPr>
          <w:rtl w:val="0"/>
        </w:rPr>
        <w:t xml:space="preserve"> = turbine rated power (MW); </w:t>
      </w:r>
      <w:r w:rsidDel="00000000" w:rsidR="00000000" w:rsidRPr="00000000">
        <w:rPr>
          <w:i w:val="1"/>
          <w:iCs w:val="1"/>
          <w:rtl w:val="0"/>
        </w:rPr>
        <w:t xml:space="preserve">8760</w:t>
      </w:r>
      <w:r w:rsidDel="00000000" w:rsidR="00000000" w:rsidRPr="00000000">
        <w:rPr>
          <w:rtl w:val="0"/>
        </w:rPr>
        <w:t xml:space="preserve"> = hours per year (h/yr); </w:t>
      </w:r>
      <w:r w:rsidDel="00000000" w:rsidR="00000000" w:rsidRPr="00000000">
        <w:rPr>
          <w:i w:val="1"/>
          <w:iCs w:val="1"/>
          <w:rtl w:val="0"/>
        </w:rPr>
        <w:t xml:space="preserve">CF</w:t>
      </w:r>
      <w:r w:rsidDel="00000000" w:rsidR="00000000" w:rsidRPr="00000000">
        <w:rPr>
          <w:rtl w:val="0"/>
        </w:rPr>
        <w:t xml:space="preserve"> = capacity factor (dimensionless); </w:t>
      </w:r>
      <w:r w:rsidDel="00000000" w:rsidR="00000000" w:rsidRPr="00000000">
        <w:rPr>
          <w:i w:val="1"/>
          <w:iCs w:val="1"/>
          <w:rtl w:val="0"/>
        </w:rPr>
        <w:t xml:space="preserve">P</w:t>
      </w:r>
      <w:r w:rsidDel="00000000" w:rsidR="00000000" w:rsidRPr="00000000">
        <w:rPr>
          <w:i w:val="1"/>
          <w:iCs w:val="1"/>
          <w:vertAlign w:val="subscript"/>
          <w:rtl w:val="0"/>
        </w:rPr>
        <w:t xml:space="preserve">inst</w:t>
      </w:r>
      <w:r w:rsidDel="00000000" w:rsidR="00000000" w:rsidRPr="00000000">
        <w:rPr>
          <w:rtl w:val="0"/>
        </w:rPr>
        <w:t xml:space="preserve"> = installed capacity (MW).</w:t>
      </w:r>
    </w:p>
    <w:p>
      <w:pPr>
        <w:spacing w:after="120" w:before="0"/>
        <w:jc w:val="both"/>
      </w:pPr>
      <w:r>
        <w:t>CF = 0.4602 (Section 5.1), so n</w:t>
      </w:r>
      <w:r>
        <w:rPr>
          <w:vertAlign w:val="subscript"/>
        </w:rPr>
        <w:t>T</w:t>
      </w:r>
      <w:r>
        <w:t xml:space="preserve"> = 122,640 / (2.0 × 8,760 × 0.4602) = 122,640 / 8,063 = 15.21, which rounds up to </w:t>
      </w:r>
      <w:r>
        <w:rPr>
          <w:b/>
        </w:rPr>
        <w:t>n</w:t>
      </w:r>
      <w:r>
        <w:rPr>
          <w:b/>
          <w:vertAlign w:val="subscript"/>
        </w:rPr>
        <w:t>T</w:t>
      </w:r>
      <w:r>
        <w:rPr>
          <w:b/>
        </w:rPr>
        <w:t xml:space="preserve"> = 16 turbines</w:t>
      </w:r>
      <w:r>
        <w:t>. Installed capacity is P</w:t>
      </w:r>
      <w:r>
        <w:rPr>
          <w:vertAlign w:val="subscript"/>
        </w:rPr>
        <w:t>inst</w:t>
      </w:r>
      <w:r>
        <w:t xml:space="preserve"> = 16 × 2.0 = </w:t>
      </w:r>
      <w:r>
        <w:rPr>
          <w:b/>
        </w:rPr>
        <w:t>32 MW</w:t>
      </w:r>
      <w:r>
        <w:t>. This is a gross (no-loss) sizing, as in class. With typical availability, electrical and wake losses (Section 4.4) about 19 turbines would be required to meet 100% of demand on a net basis.</w:t>
      </w:r>
    </w:p>
    <w:p w:rsidR="00000000" w:rsidDel="00000000" w:rsidP="00000000" w:rsidRDefault="00000000" w:rsidRPr="00000000" w14:paraId="000000B8">
      <w:pPr>
        <w:pStyle w:val="Heading2"/>
        <w:rPr/>
      </w:pPr>
      <w:r w:rsidDel="00000000" w:rsidR="00000000" w:rsidRPr="00000000">
        <w:rPr>
          <w:rtl w:val="0"/>
        </w:rPr>
        <w:t xml:space="preserve">4.3 Array Layout</w:t>
      </w:r>
    </w:p>
    <w:p>
      <w:pPr>
        <w:spacing w:after="120" w:before="0"/>
        <w:jc w:val="both"/>
      </w:pPr>
      <w:r>
        <w:t>The prevailing energy-weighted wind direction at 100 m is from 210° (SSW to SW, Figure 4-2), so turbine rows were oriented perpendicular to that direction. Following the Lecture 5 example, 5D crosswind and 10D downwind spacing was used. The lattice was placed on the setback-compliant land map, and each node was kept only if it landed on open land at least 375 m from every structure and outside wetlands and road setbacks. The result is 5 rows of 2, 7, 3, 1, 3 turbines (Figures 4-1 and 8-1), with a minimum distance to any structure of 377 m. The array footprint is about 4,472 acres.</w:t>
      </w:r>
    </w:p>
    <w:p w:rsidR="00000000" w:rsidDel="00000000" w:rsidP="00000000" w:rsidRDefault="00000000" w:rsidRPr="00000000" w14:paraId="000000BA">
      <w:pPr>
        <w:tabs>
          <w:tab w:val="center" w:leader="none" w:pos="4680"/>
          <w:tab w:val="right" w:leader="none" w:pos="9360"/>
        </w:tabs>
        <w:spacing w:after="120" w:before="120" w:lineRule="auto"/>
        <w:rPr/>
      </w:pPr>
      <w:r w:rsidDel="00000000" w:rsidR="00000000" w:rsidRPr="00000000">
        <w:rPr>
          <w:rtl w:val="0"/>
        </w:rPr>
        <w:tab/>
      </w:r>
      <m:oMath>
        <m:sSub>
          <m:sSubPr>
            <m:ctrlPr>
              <w:rPr/>
            </m:ctrlPr>
          </m:sSubPr>
          <m:e>
            <m:r>
              <w:rPr/>
              <m:t xml:space="preserve">S</m:t>
            </m:r>
          </m:e>
          <m:sub>
            <m:r>
              <w:rPr/>
              <m:t xml:space="preserve">down</m:t>
            </m:r>
          </m:sub>
        </m:sSub>
        <m:r>
          <w:rPr/>
          <m:t xml:space="preserve">=x×D,     </m:t>
        </m:r>
        <m:sSub>
          <m:sSubPr>
            <m:ctrlPr>
              <w:rPr/>
            </m:ctrlPr>
          </m:sSubPr>
          <m:e>
            <m:r>
              <w:rPr/>
              <m:t xml:space="preserve">S</m:t>
            </m:r>
          </m:e>
          <m:sub>
            <m:r>
              <w:rPr/>
              <m:t xml:space="preserve">cross</m:t>
            </m:r>
          </m:sub>
        </m:sSub>
        <m:r>
          <w:rPr/>
          <m:t xml:space="preserve">=y×D</m:t>
        </m:r>
      </m:oMath>
      <w:r w:rsidDel="00000000" w:rsidR="00000000" w:rsidRPr="00000000">
        <w:rPr>
          <w:rtl w:val="0"/>
        </w:rPr>
        <w:tab/>
        <w:t xml:space="preserve">(6)</w:t>
      </w:r>
    </w:p>
    <w:p w:rsidR="00000000" w:rsidDel="00000000" w:rsidP="00000000" w:rsidRDefault="00000000" w:rsidRPr="00000000" w14:paraId="000000BB">
      <w:pPr>
        <w:spacing w:after="160" w:lineRule="auto"/>
        <w:rPr/>
      </w:pPr>
      <w:r w:rsidDel="00000000" w:rsidR="00000000" w:rsidRPr="00000000">
        <w:rPr>
          <w:rtl w:val="0"/>
        </w:rPr>
        <w:t xml:space="preserve">where </w:t>
      </w:r>
      <w:r w:rsidDel="00000000" w:rsidR="00000000" w:rsidRPr="00000000">
        <w:rPr>
          <w:i w:val="1"/>
          <w:iCs w:val="1"/>
          <w:rtl w:val="0"/>
        </w:rPr>
        <w:t xml:space="preserve">S</w:t>
      </w:r>
      <w:r w:rsidDel="00000000" w:rsidR="00000000" w:rsidRPr="00000000">
        <w:rPr>
          <w:i w:val="1"/>
          <w:iCs w:val="1"/>
          <w:vertAlign w:val="subscript"/>
          <w:rtl w:val="0"/>
        </w:rPr>
        <w:t xml:space="preserve">down</w:t>
      </w:r>
      <w:r w:rsidDel="00000000" w:rsidR="00000000" w:rsidRPr="00000000">
        <w:rPr>
          <w:rtl w:val="0"/>
        </w:rPr>
        <w:t xml:space="preserve"> = downwind spacing (m); </w:t>
      </w:r>
      <w:r w:rsidDel="00000000" w:rsidR="00000000" w:rsidRPr="00000000">
        <w:rPr>
          <w:i w:val="1"/>
          <w:iCs w:val="1"/>
          <w:rtl w:val="0"/>
        </w:rPr>
        <w:t xml:space="preserve">S</w:t>
      </w:r>
      <w:r w:rsidDel="00000000" w:rsidR="00000000" w:rsidRPr="00000000">
        <w:rPr>
          <w:i w:val="1"/>
          <w:iCs w:val="1"/>
          <w:vertAlign w:val="subscript"/>
          <w:rtl w:val="0"/>
        </w:rPr>
        <w:t xml:space="preserve">cross</w:t>
      </w:r>
      <w:r w:rsidDel="00000000" w:rsidR="00000000" w:rsidRPr="00000000">
        <w:rPr>
          <w:rtl w:val="0"/>
        </w:rPr>
        <w:t xml:space="preserve"> = crosswind spacing (m); </w:t>
      </w:r>
      <w:r w:rsidDel="00000000" w:rsidR="00000000" w:rsidRPr="00000000">
        <w:rPr>
          <w:i w:val="1"/>
          <w:iCs w:val="1"/>
          <w:rtl w:val="0"/>
        </w:rPr>
        <w:t xml:space="preserve">D</w:t>
      </w:r>
      <w:r w:rsidDel="00000000" w:rsidR="00000000" w:rsidRPr="00000000">
        <w:rPr>
          <w:rtl w:val="0"/>
        </w:rPr>
        <w:t xml:space="preserve"> = rotor diameter (m); </w:t>
      </w:r>
      <w:r w:rsidDel="00000000" w:rsidR="00000000" w:rsidRPr="00000000">
        <w:rPr>
          <w:i w:val="1"/>
          <w:iCs w:val="1"/>
          <w:rtl w:val="0"/>
        </w:rPr>
        <w:t xml:space="preserve">x</w:t>
      </w:r>
      <w:r w:rsidDel="00000000" w:rsidR="00000000" w:rsidRPr="00000000">
        <w:rPr>
          <w:rtl w:val="0"/>
        </w:rPr>
        <w:t xml:space="preserve"> = downwind multiplier, 6 to 10 rotor diameters; </w:t>
      </w:r>
      <w:r w:rsidDel="00000000" w:rsidR="00000000" w:rsidRPr="00000000">
        <w:rPr>
          <w:i w:val="1"/>
          <w:iCs w:val="1"/>
          <w:rtl w:val="0"/>
        </w:rPr>
        <w:t xml:space="preserve">y</w:t>
      </w:r>
      <w:r w:rsidDel="00000000" w:rsidR="00000000" w:rsidRPr="00000000">
        <w:rPr>
          <w:rtl w:val="0"/>
        </w:rPr>
        <w:t xml:space="preserve"> = crosswind multiplier, 3 to 5 rotor diameters.</w:t>
      </w:r>
    </w:p>
    <w:p w:rsidR="00000000" w:rsidDel="00000000" w:rsidP="00000000" w:rsidRDefault="00000000" w:rsidRPr="00000000" w14:paraId="000000BC">
      <w:pPr>
        <w:spacing w:after="120" w:lineRule="auto"/>
        <w:rPr/>
      </w:pPr>
      <w:r>
        <w:t xml:space="preserve">Turbines are spaced at </w:t>
      </w:r>
      <w:r>
        <w:rPr>
          <w:b/>
        </w:rPr>
        <w:t>10D (1,100 m)</w:t>
      </w:r>
      <w:r>
        <w:t xml:space="preserve"> downwind and </w:t>
      </w:r>
      <w:r>
        <w:rPr>
          <w:b/>
        </w:rPr>
        <w:t>5D (550 m)</w:t>
      </w:r>
      <w:r>
        <w:t xml:space="preserve"> crosswind relative to the prevailing wind direction. Wake losses are not included in this analysis.</w:t>
      </w:r>
    </w:p>
    <w:p w:rsidR="00000000" w:rsidDel="00000000" w:rsidP="00000000" w:rsidRDefault="00000000" w:rsidRPr="00000000" w14:paraId="000000BD">
      <w:pPr>
        <w:keepNext/>
        <w:spacing w:before="0" w:lineRule="auto"/>
        <w:jc w:val="center"/>
        <w:rPr/>
      </w:pPr>
      <w:r w:rsidDel="00000000" w:rsidR="00000000" w:rsidRPr="00000000">
        <w:rPr>
          <w:rtl w:val="0"/>
        </w:rPr>
      </w:r>
      <w:r>
        <w:drawing>
          <wp:inline>
            <wp:extent cx="5120640" cy="3623838"/>
            <wp:docPr id="5" name="Picture 5"/>
            <wp:cNvGraphicFramePr>
              <a:graphicFrameLocks noChangeAspect="1"/>
            </wp:cNvGraphicFramePr>
            <a:graphic>
              <a:graphicData uri="http://schemas.openxmlformats.org/drawingml/2006/picture">
                <pic:pic>
                  <pic:nvPicPr>
                    <pic:cNvPr id="0" name="fig_layout.png"/>
                    <pic:cNvPicPr/>
                  </pic:nvPicPr>
                  <pic:blipFill>
                    <a:blip r:embed="rId12"/>
                    <a:stretch>
                      <a:fillRect/>
                    </a:stretch>
                  </pic:blipFill>
                  <pic:spPr>
                    <a:xfrm>
                      <a:off x="0" y="0"/>
                      <a:ext cx="5120640" cy="3623838"/>
                    </a:xfrm>
                    <a:prstGeom prst="rect"/>
                  </pic:spPr>
                </pic:pic>
              </a:graphicData>
            </a:graphic>
          </wp:inline>
        </w:drawing>
      </w:r>
    </w:p>
    <w:p w:rsidR="00000000" w:rsidDel="00000000" w:rsidP="00000000" w:rsidRDefault="00000000" w:rsidRPr="00000000" w14:paraId="000000BE">
      <w:pPr>
        <w:spacing w:after="200" w:lineRule="auto"/>
        <w:jc w:val="center"/>
        <w:rPr/>
      </w:pPr>
      <w:r w:rsidDel="00000000" w:rsidR="00000000" w:rsidRPr="00000000">
        <w:rPr>
          <w:i w:val="1"/>
          <w:iCs w:val="1"/>
          <w:sz w:val="20"/>
          <w:szCs w:val="20"/>
          <w:rtl w:val="0"/>
        </w:rPr>
        <w:t xml:space="preserve">Figure 4-1. Array layout</w:t>
      </w:r>
      <w:r w:rsidDel="00000000" w:rsidR="00000000" w:rsidRPr="00000000">
        <w:rPr>
          <w:rtl w:val="0"/>
        </w:rPr>
      </w:r>
    </w:p>
    <w:p>
      <w:pPr>
        <w:keepNext/>
        <w:spacing w:after="60" w:before="0"/>
        <w:jc w:val="center"/>
      </w:pPr>
      <w:r>
        <w:drawing>
          <wp:inline>
            <wp:extent cx="2926080" cy="2926080"/>
            <wp:docPr id="6" name="Picture 6"/>
            <wp:cNvGraphicFramePr>
              <a:graphicFrameLocks noChangeAspect="1"/>
            </wp:cNvGraphicFramePr>
            <a:graphic>
              <a:graphicData uri="http://schemas.openxmlformats.org/drawingml/2006/picture">
                <pic:pic>
                  <pic:nvPicPr>
                    <pic:cNvPr id="0" name="fig_rose.png"/>
                    <pic:cNvPicPr/>
                  </pic:nvPicPr>
                  <pic:blipFill>
                    <a:blip r:embed="rId13"/>
                    <a:stretch>
                      <a:fillRect/>
                    </a:stretch>
                  </pic:blipFill>
                  <pic:spPr>
                    <a:xfrm>
                      <a:off x="0" y="0"/>
                      <a:ext cx="2926080" cy="2926080"/>
                    </a:xfrm>
                    <a:prstGeom prst="rect"/>
                  </pic:spPr>
                </pic:pic>
              </a:graphicData>
            </a:graphic>
          </wp:inline>
        </w:drawing>
      </w:r>
    </w:p>
    <w:p>
      <w:pPr>
        <w:spacing w:after="200" w:before="0"/>
        <w:jc w:val="center"/>
      </w:pPr>
      <w:r>
        <w:rPr>
          <w:i/>
          <w:sz w:val="20"/>
        </w:rPr>
        <w:t>Figure 4-2. Wind rose at 100 m, frequency and energy (v³) per 30° sector, 2007 to 2014</w:t>
      </w:r>
    </w:p>
    <w:p w:rsidR="00000000" w:rsidDel="00000000" w:rsidP="00000000" w:rsidRDefault="00000000" w:rsidRPr="00000000" w14:paraId="000000BF">
      <w:pPr>
        <w:pStyle w:val="Heading2"/>
        <w:rPr/>
      </w:pPr>
      <w:r w:rsidDel="00000000" w:rsidR="00000000" w:rsidRPr="00000000">
        <w:rPr>
          <w:rtl w:val="0"/>
        </w:rPr>
        <w:t xml:space="preserve">4.4 SAM Analysis</w:t>
      </w:r>
    </w:p>
    <w:p>
      <w:pPr>
        <w:spacing w:after="120" w:before="0"/>
        <w:jc w:val="both"/>
      </w:pPr>
      <w:r>
        <w:t>The Phase 3 analysis was repeated with the NLR SAM simulation engine (PySAM 7.1.1.post1, the SAM Wind Power model) using the same eight years of WIND Toolkit data. The data were converted to SAM's resource format with speed and direction at 80, 100 and 120 m and temperature and pressure at 100 m. The model used the SAM library "Vestas V110-2.0" power curve, a 95 m hub, the 16-turbine coordinates from Figure 8-1, wakes off (constant 0% loss) and all other losses set to 0%, to match the hand calculation. SAM gives 8,111 MWh/yr per turbine (CF 46.3%), so n</w:t>
      </w:r>
      <w:r>
        <w:rPr>
          <w:vertAlign w:val="subscript"/>
        </w:rPr>
        <w:t>T</w:t>
      </w:r>
      <w:r>
        <w:t xml:space="preserve"> = 122,640 / 8,111 = 15.12, which rounds up to </w:t>
      </w:r>
      <w:r>
        <w:rPr>
          <w:b/>
        </w:rPr>
        <w:t>16 turbines</w:t>
      </w:r>
      <w:r>
        <w:t>, the same as the hand calculation.</w:t>
      </w:r>
    </w:p>
    <w:p>
      <w:pPr>
        <w:spacing w:after="120" w:before="0"/>
        <w:jc w:val="both"/>
      </w:pPr>
      <w:r>
        <w:t>Sensitivity: with SAM's default loss assumptions (availability, electrical, environmental and turbine-performance losses) and the SAM Simple wake model enabled, net farm output falls to 107,222 MWh/yr (CF 38.2%, 87% of demand). About 19 turbines would therefore be needed to meet 100% of demand on a net basis.</w:t>
      </w:r>
    </w:p>
    <w:p>
      <w:pPr>
        <w:spacing w:after="120" w:before="0"/>
        <w:jc w:val="both"/>
      </w:pPr>
      <w:r>
        <w:rPr>
          <w:highlight w:val="yellow"/>
        </w:rPr>
        <w:t>Graduate requirement: reproduce this run in the SAM desktop application (Wind / Single Owner) and paste screenshots of the inputs and results.</w:t>
      </w:r>
    </w:p>
    <w:p w:rsidR="00000000" w:rsidDel="00000000" w:rsidP="00000000" w:rsidRDefault="00000000" w:rsidRPr="00000000" w14:paraId="000000C1">
      <w:pPr>
        <w:pStyle w:val="Heading1"/>
        <w:rPr/>
      </w:pPr>
      <w:r w:rsidDel="00000000" w:rsidR="00000000" w:rsidRPr="00000000">
        <w:rPr>
          <w:rtl w:val="0"/>
        </w:rPr>
        <w:t xml:space="preserve">5. Annual Energy Production and System Sizing</w:t>
      </w:r>
    </w:p>
    <w:p w:rsidR="00000000" w:rsidDel="00000000" w:rsidP="00000000" w:rsidRDefault="00000000" w:rsidRPr="00000000" w14:paraId="000000C2">
      <w:pPr>
        <w:pStyle w:val="Heading2"/>
        <w:rPr/>
      </w:pPr>
      <w:r w:rsidDel="00000000" w:rsidR="00000000" w:rsidRPr="00000000">
        <w:rPr>
          <w:rtl w:val="0"/>
        </w:rPr>
        <w:t xml:space="preserve">5.1 AEP and Capacity Factor</w:t>
      </w:r>
    </w:p>
    <w:p>
      <w:pPr>
        <w:spacing w:after="120" w:before="0"/>
        <w:jc w:val="both"/>
      </w:pPr>
      <w:r>
        <w:t>The Lecture 3/4 workflow was followed: Weibull fit (Section 3.2), then the V110-2.0 power curve, then the bin table below. Energy is gross, with no wake, availability or electrical losses.</w:t>
      </w:r>
    </w:p>
    <w:p w:rsidR="00000000" w:rsidDel="00000000" w:rsidP="00000000" w:rsidRDefault="00000000" w:rsidRPr="00000000" w14:paraId="000000C4">
      <w:pPr>
        <w:tabs>
          <w:tab w:val="center" w:leader="none" w:pos="4680"/>
          <w:tab w:val="right" w:leader="none" w:pos="9360"/>
        </w:tabs>
        <w:spacing w:after="120" w:before="120" w:lineRule="auto"/>
        <w:rPr/>
      </w:pPr>
      <w:r w:rsidDel="00000000" w:rsidR="00000000" w:rsidRPr="00000000">
        <w:rPr>
          <w:rtl w:val="0"/>
        </w:rPr>
        <w:tab/>
      </w:r>
      <m:oMath>
        <m:sSub>
          <m:sSubPr>
            <m:ctrlPr>
              <w:rPr/>
            </m:ctrlPr>
          </m:sSubPr>
          <m:e>
            <m:r>
              <w:rPr/>
              <m:t xml:space="preserve">h</m:t>
            </m:r>
          </m:e>
          <m:sub>
            <m:r>
              <w:rPr/>
              <m:t xml:space="preserve">i</m:t>
            </m:r>
          </m:sub>
        </m:sSub>
        <m:r>
          <w:rPr/>
          <m:t xml:space="preserve">=8760×</m:t>
        </m:r>
        <m:sSub>
          <m:sSubPr>
            <m:ctrlPr>
              <w:rPr/>
            </m:ctrlPr>
          </m:sSubPr>
          <m:e>
            <m:r>
              <w:rPr/>
              <m:t xml:space="preserve">f</m:t>
            </m:r>
          </m:e>
          <m:sub>
            <m:r>
              <w:rPr/>
              <m:t xml:space="preserve">Weibull</m:t>
            </m:r>
          </m:sub>
        </m:sSub>
        <m:d>
          <m:dPr>
            <m:begChr m:val="("/>
            <m:endChr m:val=")"/>
            <m:ctrlPr>
              <w:rPr/>
            </m:ctrlPr>
          </m:dPr>
          <m:e>
            <m:sSub>
              <m:sSubPr>
                <m:ctrlPr>
                  <w:rPr/>
                </m:ctrlPr>
              </m:sSubPr>
              <m:e>
                <m:r>
                  <w:rPr/>
                  <m:t xml:space="preserve">v</m:t>
                </m:r>
              </m:e>
              <m:sub>
                <m:r>
                  <w:rPr/>
                  <m:t xml:space="preserve">i</m:t>
                </m:r>
              </m:sub>
            </m:sSub>
          </m:e>
        </m:d>
        <m:r>
          <w:rPr/>
          <m:t xml:space="preserve">×Δv</m:t>
        </m:r>
      </m:oMath>
      <w:r w:rsidDel="00000000" w:rsidR="00000000" w:rsidRPr="00000000">
        <w:rPr>
          <w:rtl w:val="0"/>
        </w:rPr>
        <w:tab/>
        <w:t xml:space="preserve">(7)</w:t>
      </w:r>
    </w:p>
    <w:p w:rsidR="00000000" w:rsidDel="00000000" w:rsidP="00000000" w:rsidRDefault="00000000" w:rsidRPr="00000000" w14:paraId="000000C5">
      <w:pPr>
        <w:tabs>
          <w:tab w:val="center" w:leader="none" w:pos="4680"/>
          <w:tab w:val="right" w:leader="none" w:pos="9360"/>
        </w:tabs>
        <w:spacing w:after="120" w:before="120" w:lineRule="auto"/>
        <w:rPr/>
      </w:pPr>
      <w:r w:rsidDel="00000000" w:rsidR="00000000" w:rsidRPr="00000000">
        <w:rPr>
          <w:rtl w:val="0"/>
        </w:rPr>
        <w:tab/>
      </w:r>
      <m:oMath>
        <m:sSub>
          <m:sSubPr>
            <m:ctrlPr>
              <w:rPr/>
            </m:ctrlPr>
          </m:sSubPr>
          <m:e>
            <m:r>
              <w:rPr/>
              <m:t xml:space="preserve">AEP</m:t>
            </m:r>
          </m:e>
          <m:sub>
            <m:r>
              <w:rPr/>
              <m:t xml:space="preserve">turbine</m:t>
            </m:r>
          </m:sub>
        </m:sSub>
        <m:r>
          <w:rPr/>
          <m:t xml:space="preserve">=</m:t>
        </m:r>
        <m:nary>
          <m:naryPr>
            <m:chr m:val="∑"/>
            <m:ctrlPr>
              <w:rPr/>
            </m:ctrlPr>
          </m:naryPr>
          <m:sub>
            <m:r>
              <w:rPr/>
              <m:t xml:space="preserve">i</m:t>
            </m:r>
          </m:sub>
          <m:sup/>
        </m:nary>
        <m:r>
          <w:rPr/>
          <m:t xml:space="preserve">P</m:t>
        </m:r>
        <m:d>
          <m:dPr>
            <m:begChr m:val="("/>
            <m:endChr m:val=")"/>
            <m:ctrlPr>
              <w:rPr/>
            </m:ctrlPr>
          </m:dPr>
          <m:e>
            <m:sSub>
              <m:sSubPr>
                <m:ctrlPr>
                  <w:rPr/>
                </m:ctrlPr>
              </m:sSubPr>
              <m:e>
                <m:r>
                  <w:rPr/>
                  <m:t xml:space="preserve">v</m:t>
                </m:r>
              </m:e>
              <m:sub>
                <m:r>
                  <w:rPr/>
                  <m:t xml:space="preserve">i</m:t>
                </m:r>
              </m:sub>
            </m:sSub>
          </m:e>
        </m:d>
        <m:r>
          <w:rPr/>
          <m:t>×</m:t>
        </m:r>
        <m:sSub>
          <m:sSubPr>
            <m:ctrlPr>
              <w:rPr/>
            </m:ctrlPr>
          </m:sSubPr>
          <m:e>
            <m:r>
              <w:rPr/>
              <m:t xml:space="preserve">h</m:t>
            </m:r>
          </m:e>
          <m:sub>
            <m:r>
              <w:rPr/>
              <m:t xml:space="preserve">i</m:t>
            </m:r>
          </m:sub>
        </m:sSub>
        <m:r>
          <w:rPr/>
          <m:t xml:space="preserve">,     </m:t>
        </m:r>
        <m:sSub>
          <m:sSubPr>
            <m:ctrlPr>
              <w:rPr/>
            </m:ctrlPr>
          </m:sSubPr>
          <m:e>
            <m:r>
              <w:rPr/>
              <m:t xml:space="preserve">AEP</m:t>
            </m:r>
          </m:e>
          <m:sub>
            <m:r>
              <w:rPr/>
              <m:t xml:space="preserve">farm</m:t>
            </m:r>
          </m:sub>
        </m:sSub>
        <m:r>
          <w:rPr/>
          <m:t xml:space="preserve">=</m:t>
        </m:r>
        <m:sSub>
          <m:sSubPr>
            <m:ctrlPr>
              <w:rPr/>
            </m:ctrlPr>
          </m:sSubPr>
          <m:e>
            <m:r>
              <w:rPr/>
              <m:t xml:space="preserve">n</m:t>
            </m:r>
          </m:e>
          <m:sub>
            <m:r>
              <w:rPr/>
              <m:t xml:space="preserve">T</m:t>
            </m:r>
          </m:sub>
        </m:sSub>
        <m:r>
          <w:rPr/>
          <m:t>×</m:t>
        </m:r>
        <m:sSub>
          <m:sSubPr>
            <m:ctrlPr>
              <w:rPr/>
            </m:ctrlPr>
          </m:sSubPr>
          <m:e>
            <m:r>
              <w:rPr/>
              <m:t xml:space="preserve">AEP</m:t>
            </m:r>
          </m:e>
          <m:sub>
            <m:r>
              <w:rPr/>
              <m:t xml:space="preserve">turbine</m:t>
            </m:r>
          </m:sub>
        </m:sSub>
      </m:oMath>
      <w:r w:rsidDel="00000000" w:rsidR="00000000" w:rsidRPr="00000000">
        <w:rPr>
          <w:rtl w:val="0"/>
        </w:rPr>
        <w:tab/>
        <w:t xml:space="preserve">(8)</w:t>
      </w:r>
    </w:p>
    <w:p w:rsidR="00000000" w:rsidDel="00000000" w:rsidP="00000000" w:rsidRDefault="00000000" w:rsidRPr="00000000" w14:paraId="000000C6">
      <w:pPr>
        <w:tabs>
          <w:tab w:val="center" w:leader="none" w:pos="4680"/>
          <w:tab w:val="right" w:leader="none" w:pos="9360"/>
        </w:tabs>
        <w:spacing w:after="120" w:before="120" w:lineRule="auto"/>
        <w:rPr/>
      </w:pPr>
      <w:r w:rsidDel="00000000" w:rsidR="00000000" w:rsidRPr="00000000">
        <w:rPr>
          <w:rtl w:val="0"/>
        </w:rPr>
        <w:tab/>
      </w:r>
      <m:oMath>
        <m:r>
          <w:rPr/>
          <m:t xml:space="preserve">CF=</m:t>
        </m:r>
        <m:f>
          <m:fPr>
            <m:ctrlPr>
              <w:rPr/>
            </m:ctrlPr>
          </m:fPr>
          <m:num>
            <m:sSub>
              <m:sSubPr>
                <m:ctrlPr>
                  <w:rPr/>
                </m:ctrlPr>
              </m:sSubPr>
              <m:e>
                <m:r>
                  <w:rPr/>
                  <m:t xml:space="preserve">P</m:t>
                </m:r>
              </m:e>
              <m:sub>
                <m:r>
                  <w:rPr/>
                  <m:t xml:space="preserve">avg</m:t>
                </m:r>
              </m:sub>
            </m:sSub>
          </m:num>
          <m:den>
            <m:sSub>
              <m:sSubPr>
                <m:ctrlPr>
                  <w:rPr/>
                </m:ctrlPr>
              </m:sSubPr>
              <m:e>
                <m:r>
                  <w:rPr/>
                  <m:t xml:space="preserve">P</m:t>
                </m:r>
              </m:e>
              <m:sub>
                <m:r>
                  <w:rPr/>
                  <m:t xml:space="preserve">rated</m:t>
                </m:r>
              </m:sub>
            </m:sSub>
          </m:den>
        </m:f>
        <m:r>
          <w:rPr/>
          <m:t xml:space="preserve">=</m:t>
        </m:r>
        <m:f>
          <m:fPr>
            <m:ctrlPr>
              <w:rPr/>
            </m:ctrlPr>
          </m:fPr>
          <m:num>
            <m:r>
              <w:rPr/>
              <m:t xml:space="preserve">AEP</m:t>
            </m:r>
          </m:num>
          <m:den>
            <m:sSub>
              <m:sSubPr>
                <m:ctrlPr>
                  <w:rPr/>
                </m:ctrlPr>
              </m:sSubPr>
              <m:e>
                <m:r>
                  <w:rPr/>
                  <m:t xml:space="preserve">P</m:t>
                </m:r>
              </m:e>
              <m:sub>
                <m:r>
                  <w:rPr/>
                  <m:t xml:space="preserve">rated</m:t>
                </m:r>
              </m:sub>
            </m:sSub>
            <m:r>
              <w:rPr/>
              <m:t xml:space="preserve">×8760</m:t>
            </m:r>
          </m:den>
        </m:f>
      </m:oMath>
      <w:r w:rsidDel="00000000" w:rsidR="00000000" w:rsidRPr="00000000">
        <w:rPr>
          <w:rtl w:val="0"/>
        </w:rPr>
        <w:tab/>
        <w:t xml:space="preserve">(9)</w:t>
      </w:r>
    </w:p>
    <w:p w:rsidR="00000000" w:rsidDel="00000000" w:rsidP="00000000" w:rsidRDefault="00000000" w:rsidRPr="00000000" w14:paraId="000000C7">
      <w:pPr>
        <w:spacing w:after="160" w:lineRule="auto"/>
        <w:rPr/>
      </w:pPr>
      <w:r w:rsidDel="00000000" w:rsidR="00000000" w:rsidRPr="00000000">
        <w:rPr>
          <w:rtl w:val="0"/>
        </w:rPr>
        <w:t xml:space="preserve">where </w:t>
      </w:r>
      <w:r w:rsidDel="00000000" w:rsidR="00000000" w:rsidRPr="00000000">
        <w:rPr>
          <w:i w:val="1"/>
          <w:iCs w:val="1"/>
          <w:rtl w:val="0"/>
        </w:rPr>
        <w:t xml:space="preserve">h</w:t>
      </w:r>
      <w:r w:rsidDel="00000000" w:rsidR="00000000" w:rsidRPr="00000000">
        <w:rPr>
          <w:i w:val="1"/>
          <w:iCs w:val="1"/>
          <w:vertAlign w:val="subscript"/>
          <w:rtl w:val="0"/>
        </w:rPr>
        <w:t xml:space="preserve">i</w:t>
      </w:r>
      <w:r w:rsidDel="00000000" w:rsidR="00000000" w:rsidRPr="00000000">
        <w:rPr>
          <w:rtl w:val="0"/>
        </w:rPr>
        <w:t xml:space="preserve"> = hours per year in wind speed bin i (h/yr); </w:t>
      </w:r>
      <w:r w:rsidDel="00000000" w:rsidR="00000000" w:rsidRPr="00000000">
        <w:rPr>
          <w:i w:val="1"/>
          <w:iCs w:val="1"/>
          <w:rtl w:val="0"/>
        </w:rPr>
        <w:t xml:space="preserve">v</w:t>
      </w:r>
      <w:r w:rsidDel="00000000" w:rsidR="00000000" w:rsidRPr="00000000">
        <w:rPr>
          <w:i w:val="1"/>
          <w:iCs w:val="1"/>
          <w:vertAlign w:val="subscript"/>
          <w:rtl w:val="0"/>
        </w:rPr>
        <w:t xml:space="preserve">i</w:t>
      </w:r>
      <w:r w:rsidDel="00000000" w:rsidR="00000000" w:rsidRPr="00000000">
        <w:rPr>
          <w:rtl w:val="0"/>
        </w:rPr>
        <w:t xml:space="preserve"> = wind speed of bin i (m/s); </w:t>
      </w:r>
      <w:r w:rsidDel="00000000" w:rsidR="00000000" w:rsidRPr="00000000">
        <w:rPr>
          <w:i w:val="1"/>
          <w:iCs w:val="1"/>
          <w:rtl w:val="0"/>
        </w:rPr>
        <w:t xml:space="preserve">Δv</w:t>
      </w:r>
      <w:r w:rsidDel="00000000" w:rsidR="00000000" w:rsidRPr="00000000">
        <w:rPr>
          <w:rtl w:val="0"/>
        </w:rPr>
        <w:t xml:space="preserve"> = bin width, 1 m/s; </w:t>
      </w:r>
      <w:r w:rsidDel="00000000" w:rsidR="00000000" w:rsidRPr="00000000">
        <w:rPr>
          <w:i w:val="1"/>
          <w:iCs w:val="1"/>
          <w:rtl w:val="0"/>
        </w:rPr>
        <w:t xml:space="preserve">P(v</w:t>
      </w:r>
      <w:r w:rsidDel="00000000" w:rsidR="00000000" w:rsidRPr="00000000">
        <w:rPr>
          <w:i w:val="1"/>
          <w:iCs w:val="1"/>
          <w:vertAlign w:val="subscript"/>
          <w:rtl w:val="0"/>
        </w:rPr>
        <w:t xml:space="preserve">i</w:t>
      </w:r>
      <w:r w:rsidDel="00000000" w:rsidR="00000000" w:rsidRPr="00000000">
        <w:rPr>
          <w:i w:val="1"/>
          <w:iCs w:val="1"/>
          <w:rtl w:val="0"/>
        </w:rPr>
        <w:t xml:space="preserve">)</w:t>
      </w:r>
      <w:r w:rsidDel="00000000" w:rsidR="00000000" w:rsidRPr="00000000">
        <w:rPr>
          <w:rtl w:val="0"/>
        </w:rPr>
        <w:t xml:space="preserve"> = turbine power output from the manufacturer power curve (kW); </w:t>
      </w:r>
      <w:r w:rsidDel="00000000" w:rsidR="00000000" w:rsidRPr="00000000">
        <w:rPr>
          <w:i w:val="1"/>
          <w:iCs w:val="1"/>
          <w:rtl w:val="0"/>
        </w:rPr>
        <w:t xml:space="preserve">AEP</w:t>
      </w:r>
      <w:r w:rsidDel="00000000" w:rsidR="00000000" w:rsidRPr="00000000">
        <w:rPr>
          <w:i w:val="1"/>
          <w:iCs w:val="1"/>
          <w:vertAlign w:val="subscript"/>
          <w:rtl w:val="0"/>
        </w:rPr>
        <w:t xml:space="preserve">turbine</w:t>
      </w:r>
      <w:r w:rsidDel="00000000" w:rsidR="00000000" w:rsidRPr="00000000">
        <w:rPr>
          <w:rtl w:val="0"/>
        </w:rPr>
        <w:t xml:space="preserve"> = annual energy production of one turbine (kWh/yr); </w:t>
      </w:r>
      <w:r w:rsidDel="00000000" w:rsidR="00000000" w:rsidRPr="00000000">
        <w:rPr>
          <w:i w:val="1"/>
          <w:iCs w:val="1"/>
          <w:rtl w:val="0"/>
        </w:rPr>
        <w:t xml:space="preserve">AEP</w:t>
      </w:r>
      <w:r w:rsidDel="00000000" w:rsidR="00000000" w:rsidRPr="00000000">
        <w:rPr>
          <w:i w:val="1"/>
          <w:iCs w:val="1"/>
          <w:vertAlign w:val="subscript"/>
          <w:rtl w:val="0"/>
        </w:rPr>
        <w:t xml:space="preserve">farm</w:t>
      </w:r>
      <w:r w:rsidDel="00000000" w:rsidR="00000000" w:rsidRPr="00000000">
        <w:rPr>
          <w:rtl w:val="0"/>
        </w:rPr>
        <w:t xml:space="preserve"> = annual energy production of the wind farm (MWh/yr); </w:t>
      </w:r>
      <w:r w:rsidDel="00000000" w:rsidR="00000000" w:rsidRPr="00000000">
        <w:rPr>
          <w:i w:val="1"/>
          <w:iCs w:val="1"/>
          <w:rtl w:val="0"/>
        </w:rPr>
        <w:t xml:space="preserve">P</w:t>
      </w:r>
      <w:r w:rsidDel="00000000" w:rsidR="00000000" w:rsidRPr="00000000">
        <w:rPr>
          <w:i w:val="1"/>
          <w:iCs w:val="1"/>
          <w:vertAlign w:val="subscript"/>
          <w:rtl w:val="0"/>
        </w:rPr>
        <w:t xml:space="preserve">avg</w:t>
      </w:r>
      <w:r w:rsidDel="00000000" w:rsidR="00000000" w:rsidRPr="00000000">
        <w:rPr>
          <w:rtl w:val="0"/>
        </w:rPr>
        <w:t xml:space="preserve"> = annual average power output (kW); </w:t>
      </w:r>
      <w:r w:rsidDel="00000000" w:rsidR="00000000" w:rsidRPr="00000000">
        <w:rPr>
          <w:i w:val="1"/>
          <w:iCs w:val="1"/>
          <w:rtl w:val="0"/>
        </w:rPr>
        <w:t xml:space="preserve">P</w:t>
      </w:r>
      <w:r w:rsidDel="00000000" w:rsidR="00000000" w:rsidRPr="00000000">
        <w:rPr>
          <w:i w:val="1"/>
          <w:iCs w:val="1"/>
          <w:vertAlign w:val="subscript"/>
          <w:rtl w:val="0"/>
        </w:rPr>
        <w:t xml:space="preserve">rated</w:t>
      </w:r>
      <w:r w:rsidDel="00000000" w:rsidR="00000000" w:rsidRPr="00000000">
        <w:rPr>
          <w:rtl w:val="0"/>
        </w:rPr>
        <w:t xml:space="preserve"> = turbine rated power (kW); </w:t>
      </w:r>
      <w:r w:rsidDel="00000000" w:rsidR="00000000" w:rsidRPr="00000000">
        <w:rPr>
          <w:i w:val="1"/>
          <w:iCs w:val="1"/>
          <w:rtl w:val="0"/>
        </w:rPr>
        <w:t xml:space="preserve">CF</w:t>
      </w:r>
      <w:r w:rsidDel="00000000" w:rsidR="00000000" w:rsidRPr="00000000">
        <w:rPr>
          <w:rtl w:val="0"/>
        </w:rPr>
        <w:t xml:space="preserve"> = capacity factor (dimensionless).</w:t>
      </w:r>
    </w:p>
    <w:tbl>
      <w:tblPr>
        <w:tblW w:type="auto" w:w="0"/>
        <w:jc w:val="center"/>
        <w:tblLook w:firstColumn="1" w:firstRow="1" w:lastColumn="0" w:lastRow="0" w:noHBand="0" w:noVBand="1" w:val="04A0"/>
      </w:tblPr>
      <w:tblGrid>
        <w:gridCol w:w="1872"/>
        <w:gridCol w:w="1872"/>
        <w:gridCol w:w="1872"/>
        <w:gridCol w:w="1872"/>
        <w:gridCol w:w="1872"/>
      </w:tblGrid>
      <w:tr>
        <w:tc>
          <w:tcPr>
            <w:tcW w:type="dxa" w:w="1440"/>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shd w:val="clear" w:fill="D9E2F3"/>
          </w:tcPr>
          <w:p>
            <w:pPr>
              <w:spacing w:after="0"/>
              <w:jc w:val="center"/>
            </w:pPr>
            <w:r>
              <w:rPr>
                <w:b/>
                <w:sz w:val="17"/>
              </w:rPr>
              <w:t>v</w:t>
            </w:r>
            <w:r>
              <w:rPr>
                <w:b/>
                <w:sz w:val="17"/>
                <w:vertAlign w:val="subscript"/>
              </w:rPr>
              <w:t>i</w:t>
            </w:r>
            <w:r>
              <w:rPr>
                <w:b/>
                <w:sz w:val="17"/>
              </w:rPr>
              <w:t xml:space="preserve"> (m/s)</w:t>
            </w:r>
          </w:p>
        </w:tc>
        <w:tc>
          <w:tcPr>
            <w:tcW w:type="dxa" w:w="1440"/>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shd w:val="clear" w:fill="D9E2F3"/>
          </w:tcPr>
          <w:p>
            <w:pPr>
              <w:spacing w:after="0"/>
              <w:jc w:val="center"/>
            </w:pPr>
            <w:r>
              <w:rPr>
                <w:b/>
                <w:sz w:val="17"/>
              </w:rPr>
              <w:t>f(v</w:t>
            </w:r>
            <w:r>
              <w:rPr>
                <w:b/>
                <w:sz w:val="17"/>
                <w:vertAlign w:val="subscript"/>
              </w:rPr>
              <w:t>i</w:t>
            </w:r>
            <w:r>
              <w:rPr>
                <w:b/>
                <w:sz w:val="17"/>
              </w:rPr>
              <w:t>) (s/m)</w:t>
            </w:r>
          </w:p>
        </w:tc>
        <w:tc>
          <w:tcPr>
            <w:tcW w:type="dxa" w:w="1440"/>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shd w:val="clear" w:fill="D9E2F3"/>
          </w:tcPr>
          <w:p>
            <w:pPr>
              <w:spacing w:after="0"/>
              <w:jc w:val="center"/>
            </w:pPr>
            <w:r>
              <w:rPr>
                <w:b/>
                <w:sz w:val="17"/>
              </w:rPr>
              <w:t>h</w:t>
            </w:r>
            <w:r>
              <w:rPr>
                <w:b/>
                <w:sz w:val="17"/>
                <w:vertAlign w:val="subscript"/>
              </w:rPr>
              <w:t>i</w:t>
            </w:r>
            <w:r>
              <w:rPr>
                <w:b/>
                <w:sz w:val="17"/>
              </w:rPr>
              <w:t xml:space="preserve"> (h/yr)</w:t>
            </w:r>
          </w:p>
        </w:tc>
        <w:tc>
          <w:tcPr>
            <w:tcW w:type="dxa" w:w="1440"/>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shd w:val="clear" w:fill="D9E2F3"/>
          </w:tcPr>
          <w:p>
            <w:pPr>
              <w:spacing w:after="0"/>
              <w:jc w:val="center"/>
            </w:pPr>
            <w:r>
              <w:rPr>
                <w:b/>
                <w:sz w:val="17"/>
              </w:rPr>
              <w:t>P(v</w:t>
            </w:r>
            <w:r>
              <w:rPr>
                <w:b/>
                <w:sz w:val="17"/>
                <w:vertAlign w:val="subscript"/>
              </w:rPr>
              <w:t>i</w:t>
            </w:r>
            <w:r>
              <w:rPr>
                <w:b/>
                <w:sz w:val="17"/>
              </w:rPr>
              <w:t>) (kW)</w:t>
            </w:r>
          </w:p>
        </w:tc>
        <w:tc>
          <w:tcPr>
            <w:tcW w:type="dxa" w:w="1584"/>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shd w:val="clear" w:fill="D9E2F3"/>
          </w:tcPr>
          <w:p>
            <w:pPr>
              <w:spacing w:after="0"/>
              <w:jc w:val="center"/>
            </w:pPr>
            <w:r>
              <w:rPr>
                <w:b/>
                <w:sz w:val="17"/>
              </w:rPr>
              <w:t>E</w:t>
            </w:r>
            <w:r>
              <w:rPr>
                <w:b/>
                <w:sz w:val="17"/>
                <w:vertAlign w:val="subscript"/>
              </w:rPr>
              <w:t>i</w:t>
            </w:r>
            <w:r>
              <w:rPr>
                <w:b/>
                <w:sz w:val="17"/>
              </w:rPr>
              <w:t xml:space="preserve"> (MWh/yr)</w:t>
            </w:r>
          </w:p>
        </w:tc>
      </w:tr>
      <w:tr>
        <w:tc>
          <w:tcPr>
            <w:tcW w:type="dxa" w:w="1440"/>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spacing w:after="0"/>
              <w:jc w:val="center"/>
            </w:pPr>
            <w:r>
              <w:rPr>
                <w:sz w:val="17"/>
              </w:rPr>
              <w:t>1</w:t>
            </w:r>
          </w:p>
        </w:tc>
        <w:tc>
          <w:tcPr>
            <w:tcW w:type="dxa" w:w="1440"/>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spacing w:after="0"/>
              <w:jc w:val="center"/>
            </w:pPr>
            <w:r>
              <w:rPr>
                <w:sz w:val="17"/>
              </w:rPr>
              <w:t>0.0178</w:t>
            </w:r>
          </w:p>
        </w:tc>
        <w:tc>
          <w:tcPr>
            <w:tcW w:type="dxa" w:w="1440"/>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spacing w:after="0"/>
              <w:jc w:val="center"/>
            </w:pPr>
            <w:r>
              <w:rPr>
                <w:sz w:val="17"/>
              </w:rPr>
              <w:t>156</w:t>
            </w:r>
          </w:p>
        </w:tc>
        <w:tc>
          <w:tcPr>
            <w:tcW w:type="dxa" w:w="1440"/>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spacing w:after="0"/>
              <w:jc w:val="center"/>
            </w:pPr>
            <w:r>
              <w:rPr>
                <w:sz w:val="17"/>
              </w:rPr>
              <w:t>0</w:t>
            </w:r>
          </w:p>
        </w:tc>
        <w:tc>
          <w:tcPr>
            <w:tcW w:type="dxa" w:w="1584"/>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spacing w:after="0"/>
              <w:jc w:val="center"/>
            </w:pPr>
            <w:r>
              <w:rPr>
                <w:sz w:val="17"/>
              </w:rPr>
              <w:t>0</w:t>
            </w:r>
          </w:p>
        </w:tc>
      </w:tr>
      <w:tr>
        <w:tc>
          <w:tcPr>
            <w:tcW w:type="dxa" w:w="1440"/>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spacing w:after="0"/>
              <w:jc w:val="center"/>
            </w:pPr>
            <w:r>
              <w:rPr>
                <w:sz w:val="17"/>
              </w:rPr>
              <w:t>2</w:t>
            </w:r>
          </w:p>
        </w:tc>
        <w:tc>
          <w:tcPr>
            <w:tcW w:type="dxa" w:w="1440"/>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spacing w:after="0"/>
              <w:jc w:val="center"/>
            </w:pPr>
            <w:r>
              <w:rPr>
                <w:sz w:val="17"/>
              </w:rPr>
              <w:t>0.0455</w:t>
            </w:r>
          </w:p>
        </w:tc>
        <w:tc>
          <w:tcPr>
            <w:tcW w:type="dxa" w:w="1440"/>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spacing w:after="0"/>
              <w:jc w:val="center"/>
            </w:pPr>
            <w:r>
              <w:rPr>
                <w:sz w:val="17"/>
              </w:rPr>
              <w:t>398</w:t>
            </w:r>
          </w:p>
        </w:tc>
        <w:tc>
          <w:tcPr>
            <w:tcW w:type="dxa" w:w="1440"/>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spacing w:after="0"/>
              <w:jc w:val="center"/>
            </w:pPr>
            <w:r>
              <w:rPr>
                <w:sz w:val="17"/>
              </w:rPr>
              <w:t>0</w:t>
            </w:r>
          </w:p>
        </w:tc>
        <w:tc>
          <w:tcPr>
            <w:tcW w:type="dxa" w:w="1584"/>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spacing w:after="0"/>
              <w:jc w:val="center"/>
            </w:pPr>
            <w:r>
              <w:rPr>
                <w:sz w:val="17"/>
              </w:rPr>
              <w:t>0</w:t>
            </w:r>
          </w:p>
        </w:tc>
      </w:tr>
      <w:tr>
        <w:tc>
          <w:tcPr>
            <w:tcW w:type="dxa" w:w="1440"/>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spacing w:after="0"/>
              <w:jc w:val="center"/>
            </w:pPr>
            <w:r>
              <w:rPr>
                <w:sz w:val="17"/>
              </w:rPr>
              <w:t>3</w:t>
            </w:r>
          </w:p>
        </w:tc>
        <w:tc>
          <w:tcPr>
            <w:tcW w:type="dxa" w:w="1440"/>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spacing w:after="0"/>
              <w:jc w:val="center"/>
            </w:pPr>
            <w:r>
              <w:rPr>
                <w:sz w:val="17"/>
              </w:rPr>
              <w:t>0.0752</w:t>
            </w:r>
          </w:p>
        </w:tc>
        <w:tc>
          <w:tcPr>
            <w:tcW w:type="dxa" w:w="1440"/>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spacing w:after="0"/>
              <w:jc w:val="center"/>
            </w:pPr>
            <w:r>
              <w:rPr>
                <w:sz w:val="17"/>
              </w:rPr>
              <w:t>659</w:t>
            </w:r>
          </w:p>
        </w:tc>
        <w:tc>
          <w:tcPr>
            <w:tcW w:type="dxa" w:w="1440"/>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spacing w:after="0"/>
              <w:jc w:val="center"/>
            </w:pPr>
            <w:r>
              <w:rPr>
                <w:sz w:val="17"/>
              </w:rPr>
              <w:t>28</w:t>
            </w:r>
          </w:p>
        </w:tc>
        <w:tc>
          <w:tcPr>
            <w:tcW w:type="dxa" w:w="1584"/>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spacing w:after="0"/>
              <w:jc w:val="center"/>
            </w:pPr>
            <w:r>
              <w:rPr>
                <w:sz w:val="17"/>
              </w:rPr>
              <w:t>18</w:t>
            </w:r>
          </w:p>
        </w:tc>
      </w:tr>
      <w:tr>
        <w:tc>
          <w:tcPr>
            <w:tcW w:type="dxa" w:w="1440"/>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spacing w:after="0"/>
              <w:jc w:val="center"/>
            </w:pPr>
            <w:r>
              <w:rPr>
                <w:sz w:val="17"/>
              </w:rPr>
              <w:t>4</w:t>
            </w:r>
          </w:p>
        </w:tc>
        <w:tc>
          <w:tcPr>
            <w:tcW w:type="dxa" w:w="1440"/>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spacing w:after="0"/>
              <w:jc w:val="center"/>
            </w:pPr>
            <w:r>
              <w:rPr>
                <w:sz w:val="17"/>
              </w:rPr>
              <w:t>0.1015</w:t>
            </w:r>
          </w:p>
        </w:tc>
        <w:tc>
          <w:tcPr>
            <w:tcW w:type="dxa" w:w="1440"/>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spacing w:after="0"/>
              <w:jc w:val="center"/>
            </w:pPr>
            <w:r>
              <w:rPr>
                <w:sz w:val="17"/>
              </w:rPr>
              <w:t>889</w:t>
            </w:r>
          </w:p>
        </w:tc>
        <w:tc>
          <w:tcPr>
            <w:tcW w:type="dxa" w:w="1440"/>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spacing w:after="0"/>
              <w:jc w:val="center"/>
            </w:pPr>
            <w:r>
              <w:rPr>
                <w:sz w:val="17"/>
              </w:rPr>
              <w:t>143</w:t>
            </w:r>
          </w:p>
        </w:tc>
        <w:tc>
          <w:tcPr>
            <w:tcW w:type="dxa" w:w="1584"/>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spacing w:after="0"/>
              <w:jc w:val="center"/>
            </w:pPr>
            <w:r>
              <w:rPr>
                <w:sz w:val="17"/>
              </w:rPr>
              <w:t>127</w:t>
            </w:r>
          </w:p>
        </w:tc>
      </w:tr>
      <w:tr>
        <w:tc>
          <w:tcPr>
            <w:tcW w:type="dxa" w:w="1440"/>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spacing w:after="0"/>
              <w:jc w:val="center"/>
            </w:pPr>
            <w:r>
              <w:rPr>
                <w:sz w:val="17"/>
              </w:rPr>
              <w:t>5</w:t>
            </w:r>
          </w:p>
        </w:tc>
        <w:tc>
          <w:tcPr>
            <w:tcW w:type="dxa" w:w="1440"/>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spacing w:after="0"/>
              <w:jc w:val="center"/>
            </w:pPr>
            <w:r>
              <w:rPr>
                <w:sz w:val="17"/>
              </w:rPr>
              <w:t>0.1197</w:t>
            </w:r>
          </w:p>
        </w:tc>
        <w:tc>
          <w:tcPr>
            <w:tcW w:type="dxa" w:w="1440"/>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spacing w:after="0"/>
              <w:jc w:val="center"/>
            </w:pPr>
            <w:r>
              <w:rPr>
                <w:sz w:val="17"/>
              </w:rPr>
              <w:t>1,049</w:t>
            </w:r>
          </w:p>
        </w:tc>
        <w:tc>
          <w:tcPr>
            <w:tcW w:type="dxa" w:w="1440"/>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spacing w:after="0"/>
              <w:jc w:val="center"/>
            </w:pPr>
            <w:r>
              <w:rPr>
                <w:sz w:val="17"/>
              </w:rPr>
              <w:t>315</w:t>
            </w:r>
          </w:p>
        </w:tc>
        <w:tc>
          <w:tcPr>
            <w:tcW w:type="dxa" w:w="1584"/>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spacing w:after="0"/>
              <w:jc w:val="center"/>
            </w:pPr>
            <w:r>
              <w:rPr>
                <w:sz w:val="17"/>
              </w:rPr>
              <w:t>330</w:t>
            </w:r>
          </w:p>
        </w:tc>
      </w:tr>
      <w:tr>
        <w:tc>
          <w:tcPr>
            <w:tcW w:type="dxa" w:w="1440"/>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spacing w:after="0"/>
              <w:jc w:val="center"/>
            </w:pPr>
            <w:r>
              <w:rPr>
                <w:sz w:val="17"/>
              </w:rPr>
              <w:t>6</w:t>
            </w:r>
          </w:p>
        </w:tc>
        <w:tc>
          <w:tcPr>
            <w:tcW w:type="dxa" w:w="1440"/>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spacing w:after="0"/>
              <w:jc w:val="center"/>
            </w:pPr>
            <w:r>
              <w:rPr>
                <w:sz w:val="17"/>
              </w:rPr>
              <w:t>0.1271</w:t>
            </w:r>
          </w:p>
        </w:tc>
        <w:tc>
          <w:tcPr>
            <w:tcW w:type="dxa" w:w="1440"/>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spacing w:after="0"/>
              <w:jc w:val="center"/>
            </w:pPr>
            <w:r>
              <w:rPr>
                <w:sz w:val="17"/>
              </w:rPr>
              <w:t>1,114</w:t>
            </w:r>
          </w:p>
        </w:tc>
        <w:tc>
          <w:tcPr>
            <w:tcW w:type="dxa" w:w="1440"/>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spacing w:after="0"/>
              <w:jc w:val="center"/>
            </w:pPr>
            <w:r>
              <w:rPr>
                <w:sz w:val="17"/>
              </w:rPr>
              <w:t>552</w:t>
            </w:r>
          </w:p>
        </w:tc>
        <w:tc>
          <w:tcPr>
            <w:tcW w:type="dxa" w:w="1584"/>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spacing w:after="0"/>
              <w:jc w:val="center"/>
            </w:pPr>
            <w:r>
              <w:rPr>
                <w:sz w:val="17"/>
              </w:rPr>
              <w:t>614</w:t>
            </w:r>
          </w:p>
        </w:tc>
      </w:tr>
      <w:tr>
        <w:tc>
          <w:tcPr>
            <w:tcW w:type="dxa" w:w="1440"/>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spacing w:after="0"/>
              <w:jc w:val="center"/>
            </w:pPr>
            <w:r>
              <w:rPr>
                <w:sz w:val="17"/>
              </w:rPr>
              <w:t>7</w:t>
            </w:r>
          </w:p>
        </w:tc>
        <w:tc>
          <w:tcPr>
            <w:tcW w:type="dxa" w:w="1440"/>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spacing w:after="0"/>
              <w:jc w:val="center"/>
            </w:pPr>
            <w:r>
              <w:rPr>
                <w:sz w:val="17"/>
              </w:rPr>
              <w:t>0.1233</w:t>
            </w:r>
          </w:p>
        </w:tc>
        <w:tc>
          <w:tcPr>
            <w:tcW w:type="dxa" w:w="1440"/>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spacing w:after="0"/>
              <w:jc w:val="center"/>
            </w:pPr>
            <w:r>
              <w:rPr>
                <w:sz w:val="17"/>
              </w:rPr>
              <w:t>1,080</w:t>
            </w:r>
          </w:p>
        </w:tc>
        <w:tc>
          <w:tcPr>
            <w:tcW w:type="dxa" w:w="1440"/>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spacing w:after="0"/>
              <w:jc w:val="center"/>
            </w:pPr>
            <w:r>
              <w:rPr>
                <w:sz w:val="17"/>
              </w:rPr>
              <w:t>904</w:t>
            </w:r>
          </w:p>
        </w:tc>
        <w:tc>
          <w:tcPr>
            <w:tcW w:type="dxa" w:w="1584"/>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spacing w:after="0"/>
              <w:jc w:val="center"/>
            </w:pPr>
            <w:r>
              <w:rPr>
                <w:sz w:val="17"/>
              </w:rPr>
              <w:t>976</w:t>
            </w:r>
          </w:p>
        </w:tc>
      </w:tr>
      <w:tr>
        <w:tc>
          <w:tcPr>
            <w:tcW w:type="dxa" w:w="1440"/>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spacing w:after="0"/>
              <w:jc w:val="center"/>
            </w:pPr>
            <w:r>
              <w:rPr>
                <w:sz w:val="17"/>
              </w:rPr>
              <w:t>8</w:t>
            </w:r>
          </w:p>
        </w:tc>
        <w:tc>
          <w:tcPr>
            <w:tcW w:type="dxa" w:w="1440"/>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spacing w:after="0"/>
              <w:jc w:val="center"/>
            </w:pPr>
            <w:r>
              <w:rPr>
                <w:sz w:val="17"/>
              </w:rPr>
              <w:t>0.1099</w:t>
            </w:r>
          </w:p>
        </w:tc>
        <w:tc>
          <w:tcPr>
            <w:tcW w:type="dxa" w:w="1440"/>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spacing w:after="0"/>
              <w:jc w:val="center"/>
            </w:pPr>
            <w:r>
              <w:rPr>
                <w:sz w:val="17"/>
              </w:rPr>
              <w:t>963</w:t>
            </w:r>
          </w:p>
        </w:tc>
        <w:tc>
          <w:tcPr>
            <w:tcW w:type="dxa" w:w="1440"/>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spacing w:after="0"/>
              <w:jc w:val="center"/>
            </w:pPr>
            <w:r>
              <w:rPr>
                <w:sz w:val="17"/>
              </w:rPr>
              <w:t>1,349</w:t>
            </w:r>
          </w:p>
        </w:tc>
        <w:tc>
          <w:tcPr>
            <w:tcW w:type="dxa" w:w="1584"/>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spacing w:after="0"/>
              <w:jc w:val="center"/>
            </w:pPr>
            <w:r>
              <w:rPr>
                <w:sz w:val="17"/>
              </w:rPr>
              <w:t>1,299</w:t>
            </w:r>
          </w:p>
        </w:tc>
      </w:tr>
      <w:tr>
        <w:tc>
          <w:tcPr>
            <w:tcW w:type="dxa" w:w="1440"/>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spacing w:after="0"/>
              <w:jc w:val="center"/>
            </w:pPr>
            <w:r>
              <w:rPr>
                <w:sz w:val="17"/>
              </w:rPr>
              <w:t>9</w:t>
            </w:r>
          </w:p>
        </w:tc>
        <w:tc>
          <w:tcPr>
            <w:tcW w:type="dxa" w:w="1440"/>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spacing w:after="0"/>
              <w:jc w:val="center"/>
            </w:pPr>
            <w:r>
              <w:rPr>
                <w:sz w:val="17"/>
              </w:rPr>
              <w:t>0.0905</w:t>
            </w:r>
          </w:p>
        </w:tc>
        <w:tc>
          <w:tcPr>
            <w:tcW w:type="dxa" w:w="1440"/>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spacing w:after="0"/>
              <w:jc w:val="center"/>
            </w:pPr>
            <w:r>
              <w:rPr>
                <w:sz w:val="17"/>
              </w:rPr>
              <w:t>793</w:t>
            </w:r>
          </w:p>
        </w:tc>
        <w:tc>
          <w:tcPr>
            <w:tcW w:type="dxa" w:w="1440"/>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spacing w:after="0"/>
              <w:jc w:val="center"/>
            </w:pPr>
            <w:r>
              <w:rPr>
                <w:sz w:val="17"/>
              </w:rPr>
              <w:t>1,774</w:t>
            </w:r>
          </w:p>
        </w:tc>
        <w:tc>
          <w:tcPr>
            <w:tcW w:type="dxa" w:w="1584"/>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spacing w:after="0"/>
              <w:jc w:val="center"/>
            </w:pPr>
            <w:r>
              <w:rPr>
                <w:sz w:val="17"/>
              </w:rPr>
              <w:t>1,407</w:t>
            </w:r>
          </w:p>
        </w:tc>
      </w:tr>
      <w:tr>
        <w:tc>
          <w:tcPr>
            <w:tcW w:type="dxa" w:w="1440"/>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spacing w:after="0"/>
              <w:jc w:val="center"/>
            </w:pPr>
            <w:r>
              <w:rPr>
                <w:sz w:val="17"/>
              </w:rPr>
              <w:t>10</w:t>
            </w:r>
          </w:p>
        </w:tc>
        <w:tc>
          <w:tcPr>
            <w:tcW w:type="dxa" w:w="1440"/>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spacing w:after="0"/>
              <w:jc w:val="center"/>
            </w:pPr>
            <w:r>
              <w:rPr>
                <w:sz w:val="17"/>
              </w:rPr>
              <w:t>0.0689</w:t>
            </w:r>
          </w:p>
        </w:tc>
        <w:tc>
          <w:tcPr>
            <w:tcW w:type="dxa" w:w="1440"/>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spacing w:after="0"/>
              <w:jc w:val="center"/>
            </w:pPr>
            <w:r>
              <w:rPr>
                <w:sz w:val="17"/>
              </w:rPr>
              <w:t>604</w:t>
            </w:r>
          </w:p>
        </w:tc>
        <w:tc>
          <w:tcPr>
            <w:tcW w:type="dxa" w:w="1440"/>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spacing w:after="0"/>
              <w:jc w:val="center"/>
            </w:pPr>
            <w:r>
              <w:rPr>
                <w:sz w:val="17"/>
              </w:rPr>
              <w:t>1,970</w:t>
            </w:r>
          </w:p>
        </w:tc>
        <w:tc>
          <w:tcPr>
            <w:tcW w:type="dxa" w:w="1584"/>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spacing w:after="0"/>
              <w:jc w:val="center"/>
            </w:pPr>
            <w:r>
              <w:rPr>
                <w:sz w:val="17"/>
              </w:rPr>
              <w:t>1,190</w:t>
            </w:r>
          </w:p>
        </w:tc>
      </w:tr>
      <w:tr>
        <w:tc>
          <w:tcPr>
            <w:tcW w:type="dxa" w:w="1440"/>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spacing w:after="0"/>
              <w:jc w:val="center"/>
            </w:pPr>
            <w:r>
              <w:rPr>
                <w:sz w:val="17"/>
              </w:rPr>
              <w:t>11</w:t>
            </w:r>
          </w:p>
        </w:tc>
        <w:tc>
          <w:tcPr>
            <w:tcW w:type="dxa" w:w="1440"/>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spacing w:after="0"/>
              <w:jc w:val="center"/>
            </w:pPr>
            <w:r>
              <w:rPr>
                <w:sz w:val="17"/>
              </w:rPr>
              <w:t>0.0486</w:t>
            </w:r>
          </w:p>
        </w:tc>
        <w:tc>
          <w:tcPr>
            <w:tcW w:type="dxa" w:w="1440"/>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spacing w:after="0"/>
              <w:jc w:val="center"/>
            </w:pPr>
            <w:r>
              <w:rPr>
                <w:sz w:val="17"/>
              </w:rPr>
              <w:t>426</w:t>
            </w:r>
          </w:p>
        </w:tc>
        <w:tc>
          <w:tcPr>
            <w:tcW w:type="dxa" w:w="1440"/>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spacing w:after="0"/>
              <w:jc w:val="center"/>
            </w:pPr>
            <w:r>
              <w:rPr>
                <w:sz w:val="17"/>
              </w:rPr>
              <w:t>1,998</w:t>
            </w:r>
          </w:p>
        </w:tc>
        <w:tc>
          <w:tcPr>
            <w:tcW w:type="dxa" w:w="1584"/>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spacing w:after="0"/>
              <w:jc w:val="center"/>
            </w:pPr>
            <w:r>
              <w:rPr>
                <w:sz w:val="17"/>
              </w:rPr>
              <w:t>850</w:t>
            </w:r>
          </w:p>
        </w:tc>
      </w:tr>
      <w:tr>
        <w:tc>
          <w:tcPr>
            <w:tcW w:type="dxa" w:w="1440"/>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spacing w:after="0"/>
              <w:jc w:val="center"/>
            </w:pPr>
            <w:r>
              <w:rPr>
                <w:sz w:val="17"/>
              </w:rPr>
              <w:t>12</w:t>
            </w:r>
          </w:p>
        </w:tc>
        <w:tc>
          <w:tcPr>
            <w:tcW w:type="dxa" w:w="1440"/>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spacing w:after="0"/>
              <w:jc w:val="center"/>
            </w:pPr>
            <w:r>
              <w:rPr>
                <w:sz w:val="17"/>
              </w:rPr>
              <w:t>0.0317</w:t>
            </w:r>
          </w:p>
        </w:tc>
        <w:tc>
          <w:tcPr>
            <w:tcW w:type="dxa" w:w="1440"/>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spacing w:after="0"/>
              <w:jc w:val="center"/>
            </w:pPr>
            <w:r>
              <w:rPr>
                <w:sz w:val="17"/>
              </w:rPr>
              <w:t>278</w:t>
            </w:r>
          </w:p>
        </w:tc>
        <w:tc>
          <w:tcPr>
            <w:tcW w:type="dxa" w:w="1440"/>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spacing w:after="0"/>
              <w:jc w:val="center"/>
            </w:pPr>
            <w:r>
              <w:rPr>
                <w:sz w:val="17"/>
              </w:rPr>
              <w:t>2,000</w:t>
            </w:r>
          </w:p>
        </w:tc>
        <w:tc>
          <w:tcPr>
            <w:tcW w:type="dxa" w:w="1584"/>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spacing w:after="0"/>
              <w:jc w:val="center"/>
            </w:pPr>
            <w:r>
              <w:rPr>
                <w:sz w:val="17"/>
              </w:rPr>
              <w:t>555</w:t>
            </w:r>
          </w:p>
        </w:tc>
      </w:tr>
      <w:tr>
        <w:tc>
          <w:tcPr>
            <w:tcW w:type="dxa" w:w="1440"/>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spacing w:after="0"/>
              <w:jc w:val="center"/>
            </w:pPr>
            <w:r>
              <w:rPr>
                <w:sz w:val="17"/>
              </w:rPr>
              <w:t>13</w:t>
            </w:r>
          </w:p>
        </w:tc>
        <w:tc>
          <w:tcPr>
            <w:tcW w:type="dxa" w:w="1440"/>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spacing w:after="0"/>
              <w:jc w:val="center"/>
            </w:pPr>
            <w:r>
              <w:rPr>
                <w:sz w:val="17"/>
              </w:rPr>
              <w:t>0.0191</w:t>
            </w:r>
          </w:p>
        </w:tc>
        <w:tc>
          <w:tcPr>
            <w:tcW w:type="dxa" w:w="1440"/>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spacing w:after="0"/>
              <w:jc w:val="center"/>
            </w:pPr>
            <w:r>
              <w:rPr>
                <w:sz w:val="17"/>
              </w:rPr>
              <w:t>168</w:t>
            </w:r>
          </w:p>
        </w:tc>
        <w:tc>
          <w:tcPr>
            <w:tcW w:type="dxa" w:w="1440"/>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spacing w:after="0"/>
              <w:jc w:val="center"/>
            </w:pPr>
            <w:r>
              <w:rPr>
                <w:sz w:val="17"/>
              </w:rPr>
              <w:t>2,000</w:t>
            </w:r>
          </w:p>
        </w:tc>
        <w:tc>
          <w:tcPr>
            <w:tcW w:type="dxa" w:w="1584"/>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spacing w:after="0"/>
              <w:jc w:val="center"/>
            </w:pPr>
            <w:r>
              <w:rPr>
                <w:sz w:val="17"/>
              </w:rPr>
              <w:t>335</w:t>
            </w:r>
          </w:p>
        </w:tc>
      </w:tr>
      <w:tr>
        <w:tc>
          <w:tcPr>
            <w:tcW w:type="dxa" w:w="1440"/>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spacing w:after="0"/>
              <w:jc w:val="center"/>
            </w:pPr>
            <w:r>
              <w:rPr>
                <w:sz w:val="17"/>
              </w:rPr>
              <w:t>14</w:t>
            </w:r>
          </w:p>
        </w:tc>
        <w:tc>
          <w:tcPr>
            <w:tcW w:type="dxa" w:w="1440"/>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spacing w:after="0"/>
              <w:jc w:val="center"/>
            </w:pPr>
            <w:r>
              <w:rPr>
                <w:sz w:val="17"/>
              </w:rPr>
              <w:t>0.0107</w:t>
            </w:r>
          </w:p>
        </w:tc>
        <w:tc>
          <w:tcPr>
            <w:tcW w:type="dxa" w:w="1440"/>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spacing w:after="0"/>
              <w:jc w:val="center"/>
            </w:pPr>
            <w:r>
              <w:rPr>
                <w:sz w:val="17"/>
              </w:rPr>
              <w:t>93</w:t>
            </w:r>
          </w:p>
        </w:tc>
        <w:tc>
          <w:tcPr>
            <w:tcW w:type="dxa" w:w="1440"/>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spacing w:after="0"/>
              <w:jc w:val="center"/>
            </w:pPr>
            <w:r>
              <w:rPr>
                <w:sz w:val="17"/>
              </w:rPr>
              <w:t>2,000</w:t>
            </w:r>
          </w:p>
        </w:tc>
        <w:tc>
          <w:tcPr>
            <w:tcW w:type="dxa" w:w="1584"/>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spacing w:after="0"/>
              <w:jc w:val="center"/>
            </w:pPr>
            <w:r>
              <w:rPr>
                <w:sz w:val="17"/>
              </w:rPr>
              <w:t>187</w:t>
            </w:r>
          </w:p>
        </w:tc>
      </w:tr>
      <w:tr>
        <w:tc>
          <w:tcPr>
            <w:tcW w:type="dxa" w:w="1440"/>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spacing w:after="0"/>
              <w:jc w:val="center"/>
            </w:pPr>
            <w:r>
              <w:rPr>
                <w:sz w:val="17"/>
              </w:rPr>
              <w:t>15</w:t>
            </w:r>
          </w:p>
        </w:tc>
        <w:tc>
          <w:tcPr>
            <w:tcW w:type="dxa" w:w="1440"/>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spacing w:after="0"/>
              <w:jc w:val="center"/>
            </w:pPr>
            <w:r>
              <w:rPr>
                <w:sz w:val="17"/>
              </w:rPr>
              <w:t>0.0055</w:t>
            </w:r>
          </w:p>
        </w:tc>
        <w:tc>
          <w:tcPr>
            <w:tcW w:type="dxa" w:w="1440"/>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spacing w:after="0"/>
              <w:jc w:val="center"/>
            </w:pPr>
            <w:r>
              <w:rPr>
                <w:sz w:val="17"/>
              </w:rPr>
              <w:t>48</w:t>
            </w:r>
          </w:p>
        </w:tc>
        <w:tc>
          <w:tcPr>
            <w:tcW w:type="dxa" w:w="1440"/>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spacing w:after="0"/>
              <w:jc w:val="center"/>
            </w:pPr>
            <w:r>
              <w:rPr>
                <w:sz w:val="17"/>
              </w:rPr>
              <w:t>2,000</w:t>
            </w:r>
          </w:p>
        </w:tc>
        <w:tc>
          <w:tcPr>
            <w:tcW w:type="dxa" w:w="1584"/>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spacing w:after="0"/>
              <w:jc w:val="center"/>
            </w:pPr>
            <w:r>
              <w:rPr>
                <w:sz w:val="17"/>
              </w:rPr>
              <w:t>96</w:t>
            </w:r>
          </w:p>
        </w:tc>
      </w:tr>
      <w:tr>
        <w:tc>
          <w:tcPr>
            <w:tcW w:type="dxa" w:w="1440"/>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spacing w:after="0"/>
              <w:jc w:val="center"/>
            </w:pPr>
            <w:r>
              <w:rPr>
                <w:sz w:val="17"/>
              </w:rPr>
              <w:t>16</w:t>
            </w:r>
          </w:p>
        </w:tc>
        <w:tc>
          <w:tcPr>
            <w:tcW w:type="dxa" w:w="1440"/>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spacing w:after="0"/>
              <w:jc w:val="center"/>
            </w:pPr>
            <w:r>
              <w:rPr>
                <w:sz w:val="17"/>
              </w:rPr>
              <w:t>0.0026</w:t>
            </w:r>
          </w:p>
        </w:tc>
        <w:tc>
          <w:tcPr>
            <w:tcW w:type="dxa" w:w="1440"/>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spacing w:after="0"/>
              <w:jc w:val="center"/>
            </w:pPr>
            <w:r>
              <w:rPr>
                <w:sz w:val="17"/>
              </w:rPr>
              <w:t>23</w:t>
            </w:r>
          </w:p>
        </w:tc>
        <w:tc>
          <w:tcPr>
            <w:tcW w:type="dxa" w:w="1440"/>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spacing w:after="0"/>
              <w:jc w:val="center"/>
            </w:pPr>
            <w:r>
              <w:rPr>
                <w:sz w:val="17"/>
              </w:rPr>
              <w:t>2,000</w:t>
            </w:r>
          </w:p>
        </w:tc>
        <w:tc>
          <w:tcPr>
            <w:tcW w:type="dxa" w:w="1584"/>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spacing w:after="0"/>
              <w:jc w:val="center"/>
            </w:pPr>
            <w:r>
              <w:rPr>
                <w:sz w:val="17"/>
              </w:rPr>
              <w:t>46</w:t>
            </w:r>
          </w:p>
        </w:tc>
      </w:tr>
      <w:tr>
        <w:tc>
          <w:tcPr>
            <w:tcW w:type="dxa" w:w="1440"/>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spacing w:after="0"/>
              <w:jc w:val="center"/>
            </w:pPr>
            <w:r>
              <w:rPr>
                <w:sz w:val="17"/>
              </w:rPr>
              <w:t>17</w:t>
            </w:r>
          </w:p>
        </w:tc>
        <w:tc>
          <w:tcPr>
            <w:tcW w:type="dxa" w:w="1440"/>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spacing w:after="0"/>
              <w:jc w:val="center"/>
            </w:pPr>
            <w:r>
              <w:rPr>
                <w:sz w:val="17"/>
              </w:rPr>
              <w:t>0.0011</w:t>
            </w:r>
          </w:p>
        </w:tc>
        <w:tc>
          <w:tcPr>
            <w:tcW w:type="dxa" w:w="1440"/>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spacing w:after="0"/>
              <w:jc w:val="center"/>
            </w:pPr>
            <w:r>
              <w:rPr>
                <w:sz w:val="17"/>
              </w:rPr>
              <w:t>10</w:t>
            </w:r>
          </w:p>
        </w:tc>
        <w:tc>
          <w:tcPr>
            <w:tcW w:type="dxa" w:w="1440"/>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spacing w:after="0"/>
              <w:jc w:val="center"/>
            </w:pPr>
            <w:r>
              <w:rPr>
                <w:sz w:val="17"/>
              </w:rPr>
              <w:t>2,000</w:t>
            </w:r>
          </w:p>
        </w:tc>
        <w:tc>
          <w:tcPr>
            <w:tcW w:type="dxa" w:w="1584"/>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spacing w:after="0"/>
              <w:jc w:val="center"/>
            </w:pPr>
            <w:r>
              <w:rPr>
                <w:sz w:val="17"/>
              </w:rPr>
              <w:t>20</w:t>
            </w:r>
          </w:p>
        </w:tc>
      </w:tr>
      <w:tr>
        <w:tc>
          <w:tcPr>
            <w:tcW w:type="dxa" w:w="1440"/>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spacing w:after="0"/>
              <w:jc w:val="center"/>
            </w:pPr>
            <w:r>
              <w:rPr>
                <w:sz w:val="17"/>
              </w:rPr>
              <w:t>18</w:t>
            </w:r>
          </w:p>
        </w:tc>
        <w:tc>
          <w:tcPr>
            <w:tcW w:type="dxa" w:w="1440"/>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spacing w:after="0"/>
              <w:jc w:val="center"/>
            </w:pPr>
            <w:r>
              <w:rPr>
                <w:sz w:val="17"/>
              </w:rPr>
              <w:t>0.0005</w:t>
            </w:r>
          </w:p>
        </w:tc>
        <w:tc>
          <w:tcPr>
            <w:tcW w:type="dxa" w:w="1440"/>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spacing w:after="0"/>
              <w:jc w:val="center"/>
            </w:pPr>
            <w:r>
              <w:rPr>
                <w:sz w:val="17"/>
              </w:rPr>
              <w:t>4</w:t>
            </w:r>
          </w:p>
        </w:tc>
        <w:tc>
          <w:tcPr>
            <w:tcW w:type="dxa" w:w="1440"/>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spacing w:after="0"/>
              <w:jc w:val="center"/>
            </w:pPr>
            <w:r>
              <w:rPr>
                <w:sz w:val="17"/>
              </w:rPr>
              <w:t>2,000</w:t>
            </w:r>
          </w:p>
        </w:tc>
        <w:tc>
          <w:tcPr>
            <w:tcW w:type="dxa" w:w="1584"/>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spacing w:after="0"/>
              <w:jc w:val="center"/>
            </w:pPr>
            <w:r>
              <w:rPr>
                <w:sz w:val="17"/>
              </w:rPr>
              <w:t>8</w:t>
            </w:r>
          </w:p>
        </w:tc>
      </w:tr>
      <w:tr>
        <w:tc>
          <w:tcPr>
            <w:tcW w:type="dxa" w:w="1440"/>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spacing w:after="0"/>
              <w:jc w:val="center"/>
            </w:pPr>
            <w:r>
              <w:rPr>
                <w:sz w:val="17"/>
              </w:rPr>
              <w:t>19</w:t>
            </w:r>
          </w:p>
        </w:tc>
        <w:tc>
          <w:tcPr>
            <w:tcW w:type="dxa" w:w="1440"/>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spacing w:after="0"/>
              <w:jc w:val="center"/>
            </w:pPr>
            <w:r>
              <w:rPr>
                <w:sz w:val="17"/>
              </w:rPr>
              <w:t>0.0002</w:t>
            </w:r>
          </w:p>
        </w:tc>
        <w:tc>
          <w:tcPr>
            <w:tcW w:type="dxa" w:w="1440"/>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spacing w:after="0"/>
              <w:jc w:val="center"/>
            </w:pPr>
            <w:r>
              <w:rPr>
                <w:sz w:val="17"/>
              </w:rPr>
              <w:t>1</w:t>
            </w:r>
          </w:p>
        </w:tc>
        <w:tc>
          <w:tcPr>
            <w:tcW w:type="dxa" w:w="1440"/>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spacing w:after="0"/>
              <w:jc w:val="center"/>
            </w:pPr>
            <w:r>
              <w:rPr>
                <w:sz w:val="17"/>
              </w:rPr>
              <w:t>2,000</w:t>
            </w:r>
          </w:p>
        </w:tc>
        <w:tc>
          <w:tcPr>
            <w:tcW w:type="dxa" w:w="1584"/>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spacing w:after="0"/>
              <w:jc w:val="center"/>
            </w:pPr>
            <w:r>
              <w:rPr>
                <w:sz w:val="17"/>
              </w:rPr>
              <w:t>3</w:t>
            </w:r>
          </w:p>
        </w:tc>
      </w:tr>
      <w:tr>
        <w:tc>
          <w:tcPr>
            <w:tcW w:type="dxa" w:w="1440"/>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spacing w:after="0"/>
              <w:jc w:val="center"/>
            </w:pPr>
            <w:r>
              <w:rPr>
                <w:sz w:val="17"/>
              </w:rPr>
              <w:t>20</w:t>
            </w:r>
          </w:p>
        </w:tc>
        <w:tc>
          <w:tcPr>
            <w:tcW w:type="dxa" w:w="1440"/>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spacing w:after="0"/>
              <w:jc w:val="center"/>
            </w:pPr>
            <w:r>
              <w:rPr>
                <w:sz w:val="17"/>
              </w:rPr>
              <w:t>0.0001</w:t>
            </w:r>
          </w:p>
        </w:tc>
        <w:tc>
          <w:tcPr>
            <w:tcW w:type="dxa" w:w="1440"/>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spacing w:after="0"/>
              <w:jc w:val="center"/>
            </w:pPr>
            <w:r>
              <w:rPr>
                <w:sz w:val="17"/>
              </w:rPr>
              <w:t>1</w:t>
            </w:r>
          </w:p>
        </w:tc>
        <w:tc>
          <w:tcPr>
            <w:tcW w:type="dxa" w:w="1440"/>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spacing w:after="0"/>
              <w:jc w:val="center"/>
            </w:pPr>
            <w:r>
              <w:rPr>
                <w:sz w:val="17"/>
              </w:rPr>
              <w:t>0</w:t>
            </w:r>
          </w:p>
        </w:tc>
        <w:tc>
          <w:tcPr>
            <w:tcW w:type="dxa" w:w="1584"/>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spacing w:after="0"/>
              <w:jc w:val="center"/>
            </w:pPr>
            <w:r>
              <w:rPr>
                <w:sz w:val="17"/>
              </w:rPr>
              <w:t>0</w:t>
            </w:r>
          </w:p>
        </w:tc>
      </w:tr>
      <w:tr>
        <w:tc>
          <w:tcPr>
            <w:tcW w:type="dxa" w:w="1440"/>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spacing w:after="0"/>
              <w:jc w:val="center"/>
            </w:pPr>
            <w:r>
              <w:rPr>
                <w:sz w:val="17"/>
              </w:rPr>
              <w:t>21</w:t>
            </w:r>
          </w:p>
        </w:tc>
        <w:tc>
          <w:tcPr>
            <w:tcW w:type="dxa" w:w="1440"/>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spacing w:after="0"/>
              <w:jc w:val="center"/>
            </w:pPr>
            <w:r>
              <w:rPr>
                <w:sz w:val="17"/>
              </w:rPr>
              <w:t>0.0000</w:t>
            </w:r>
          </w:p>
        </w:tc>
        <w:tc>
          <w:tcPr>
            <w:tcW w:type="dxa" w:w="1440"/>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spacing w:after="0"/>
              <w:jc w:val="center"/>
            </w:pPr>
            <w:r>
              <w:rPr>
                <w:sz w:val="17"/>
              </w:rPr>
              <w:t>0</w:t>
            </w:r>
          </w:p>
        </w:tc>
        <w:tc>
          <w:tcPr>
            <w:tcW w:type="dxa" w:w="1440"/>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spacing w:after="0"/>
              <w:jc w:val="center"/>
            </w:pPr>
            <w:r>
              <w:rPr>
                <w:sz w:val="17"/>
              </w:rPr>
              <w:t>0</w:t>
            </w:r>
          </w:p>
        </w:tc>
        <w:tc>
          <w:tcPr>
            <w:tcW w:type="dxa" w:w="1584"/>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spacing w:after="0"/>
              <w:jc w:val="center"/>
            </w:pPr>
            <w:r>
              <w:rPr>
                <w:sz w:val="17"/>
              </w:rPr>
              <w:t>0</w:t>
            </w:r>
          </w:p>
        </w:tc>
      </w:tr>
      <w:tr>
        <w:tc>
          <w:tcPr>
            <w:tcW w:type="dxa" w:w="1440"/>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spacing w:after="0"/>
              <w:jc w:val="center"/>
            </w:pPr>
            <w:r>
              <w:rPr>
                <w:sz w:val="17"/>
              </w:rPr>
              <w:t>22</w:t>
            </w:r>
          </w:p>
        </w:tc>
        <w:tc>
          <w:tcPr>
            <w:tcW w:type="dxa" w:w="1440"/>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spacing w:after="0"/>
              <w:jc w:val="center"/>
            </w:pPr>
            <w:r>
              <w:rPr>
                <w:sz w:val="17"/>
              </w:rPr>
              <w:t>0.0000</w:t>
            </w:r>
          </w:p>
        </w:tc>
        <w:tc>
          <w:tcPr>
            <w:tcW w:type="dxa" w:w="1440"/>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spacing w:after="0"/>
              <w:jc w:val="center"/>
            </w:pPr>
            <w:r>
              <w:rPr>
                <w:sz w:val="17"/>
              </w:rPr>
              <w:t>0</w:t>
            </w:r>
          </w:p>
        </w:tc>
        <w:tc>
          <w:tcPr>
            <w:tcW w:type="dxa" w:w="1440"/>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spacing w:after="0"/>
              <w:jc w:val="center"/>
            </w:pPr>
            <w:r>
              <w:rPr>
                <w:sz w:val="17"/>
              </w:rPr>
              <w:t>0</w:t>
            </w:r>
          </w:p>
        </w:tc>
        <w:tc>
          <w:tcPr>
            <w:tcW w:type="dxa" w:w="1584"/>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spacing w:after="0"/>
              <w:jc w:val="center"/>
            </w:pPr>
            <w:r>
              <w:rPr>
                <w:sz w:val="17"/>
              </w:rPr>
              <w:t>0</w:t>
            </w:r>
          </w:p>
        </w:tc>
      </w:tr>
      <w:tr>
        <w:tc>
          <w:tcPr>
            <w:tcW w:type="dxa" w:w="1440"/>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spacing w:after="0"/>
              <w:jc w:val="center"/>
            </w:pPr>
            <w:r>
              <w:rPr>
                <w:sz w:val="17"/>
              </w:rPr>
              <w:t>Total</w:t>
            </w:r>
          </w:p>
        </w:tc>
        <w:tc>
          <w:tcPr>
            <w:tcW w:type="dxa" w:w="1440"/>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spacing w:after="0"/>
              <w:jc w:val="center"/>
            </w:pPr>
            <w:r>
              <w:rPr>
                <w:sz w:val="17"/>
              </w:rPr>
              <w:t>0.999</w:t>
            </w:r>
          </w:p>
        </w:tc>
        <w:tc>
          <w:tcPr>
            <w:tcW w:type="dxa" w:w="1440"/>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spacing w:after="0"/>
              <w:jc w:val="center"/>
            </w:pPr>
            <w:r>
              <w:rPr>
                <w:sz w:val="17"/>
              </w:rPr>
              <w:t>8,755</w:t>
            </w:r>
          </w:p>
        </w:tc>
        <w:tc>
          <w:tcPr>
            <w:tcW w:type="dxa" w:w="1440"/>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spacing w:after="0"/>
              <w:jc w:val="center"/>
            </w:pPr>
          </w:p>
        </w:tc>
        <w:tc>
          <w:tcPr>
            <w:tcW w:type="dxa" w:w="1584"/>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pPr>
              <w:spacing w:after="0"/>
              <w:jc w:val="center"/>
            </w:pPr>
            <w:r>
              <w:rPr>
                <w:b/>
                <w:sz w:val="17"/>
              </w:rPr>
              <w:t>8,063</w:t>
            </w:r>
          </w:p>
        </w:tc>
      </w:tr>
    </w:tbl>
    <w:p>
      <w:pPr>
        <w:spacing w:after="200" w:before="0"/>
        <w:jc w:val="center"/>
      </w:pPr>
      <w:r>
        <w:rPr>
          <w:i/>
          <w:sz w:val="20"/>
        </w:rPr>
        <w:t>Table 5-1. AEP bin table, one V110-2.0 at 95 m (Weibull k = 2.40, a = 7.69 m/s; v ≥ 23 m/s bins are zero)</w:t>
      </w:r>
    </w:p>
    <w:p>
      <w:pPr>
        <w:spacing w:after="120" w:before="0"/>
        <w:jc w:val="both"/>
      </w:pPr>
      <w:r>
        <w:t>AEP</w:t>
      </w:r>
      <w:r>
        <w:rPr>
          <w:vertAlign w:val="subscript"/>
        </w:rPr>
        <w:t>turbine</w:t>
      </w:r>
      <w:r>
        <w:t xml:space="preserve"> = Σ P(v</w:t>
      </w:r>
      <w:r>
        <w:rPr>
          <w:vertAlign w:val="subscript"/>
        </w:rPr>
        <w:t>i</w:t>
      </w:r>
      <w:r>
        <w:t>)·h</w:t>
      </w:r>
      <w:r>
        <w:rPr>
          <w:vertAlign w:val="subscript"/>
        </w:rPr>
        <w:t>i</w:t>
      </w:r>
      <w:r>
        <w:t xml:space="preserve"> = </w:t>
      </w:r>
      <w:r>
        <w:rPr>
          <w:b/>
        </w:rPr>
        <w:t>8,063 MWh/yr</w:t>
      </w:r>
      <w:r>
        <w:t>, and AEP</w:t>
      </w:r>
      <w:r>
        <w:rPr>
          <w:vertAlign w:val="subscript"/>
        </w:rPr>
        <w:t>farm</w:t>
      </w:r>
      <w:r>
        <w:t xml:space="preserve"> = 16 × 8,063 = </w:t>
      </w:r>
      <w:r>
        <w:rPr>
          <w:b/>
        </w:rPr>
        <w:t>129,003 MWh/yr</w:t>
      </w:r>
      <w:r>
        <w:t xml:space="preserve">. CF = 8,063 / (2.0 × 8,760) = </w:t>
      </w:r>
      <w:r>
        <w:rPr>
          <w:b/>
        </w:rPr>
        <w:t>46.0%</w:t>
      </w:r>
      <w:r>
        <w:t>. As a check, running the 70,128 hourly hub-height speeds directly through the power curve gives 8,160 MWh/yr per turbine (1.2% higher).</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0"/>
        <w:gridCol w:w="3000"/>
        <w:gridCol w:w="3000"/>
        <w:tblGridChange w:id="0">
          <w:tblGrid>
            <w:gridCol w:w="3360"/>
            <w:gridCol w:w="3000"/>
            <w:gridCol w:w="30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C8">
            <w:pPr>
              <w:rPr/>
            </w:pPr>
            <w:r w:rsidDel="00000000" w:rsidR="00000000" w:rsidRPr="00000000">
              <w:rPr>
                <w:b w:val="1"/>
                <w:bCs w:val="1"/>
                <w:color w:val="000000"/>
                <w:sz w:val="20"/>
                <w:szCs w:val="20"/>
                <w:rtl w:val="0"/>
              </w:rPr>
              <w:t xml:space="preserve">Metric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C9">
            <w:pPr>
              <w:rPr/>
            </w:pPr>
            <w:r w:rsidDel="00000000" w:rsidR="00000000" w:rsidRPr="00000000">
              <w:rPr>
                <w:b w:val="1"/>
                <w:bCs w:val="1"/>
                <w:color w:val="000000"/>
                <w:sz w:val="20"/>
                <w:szCs w:val="20"/>
                <w:rtl w:val="0"/>
              </w:rPr>
              <w:t xml:space="preserve">Hand Calculation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CA">
            <w:pPr>
              <w:rPr/>
            </w:pPr>
            <w:r w:rsidDel="00000000" w:rsidR="00000000" w:rsidRPr="00000000">
              <w:rPr>
                <w:b w:val="1"/>
                <w:bCs w:val="1"/>
                <w:color w:val="000000"/>
                <w:sz w:val="20"/>
                <w:szCs w:val="20"/>
                <w:rtl w:val="0"/>
              </w:rPr>
              <w:t xml:space="preserve">SAM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CB">
            <w:pPr>
              <w:rPr/>
            </w:pPr>
            <w:r w:rsidDel="00000000" w:rsidR="00000000" w:rsidRPr="00000000">
              <w:rPr>
                <w:sz w:val="20"/>
                <w:szCs w:val="20"/>
                <w:rtl w:val="0"/>
              </w:rPr>
              <w:t xml:space="preserve">AEP, one turbine (MWh/yr)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CC">
            <w:pPr>
              <w:rPr/>
            </w:pPr>
            <w:r>
              <w:rPr>
                <w:sz w:val="20"/>
              </w:rPr>
              <w:t>8,063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CD">
            <w:pPr>
              <w:rPr/>
            </w:pPr>
            <w:r>
              <w:rPr>
                <w:sz w:val="20"/>
              </w:rPr>
              <w:t>8,111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CE">
            <w:pPr>
              <w:rPr/>
            </w:pPr>
            <w:r w:rsidDel="00000000" w:rsidR="00000000" w:rsidRPr="00000000">
              <w:rPr>
                <w:sz w:val="20"/>
                <w:szCs w:val="20"/>
                <w:rtl w:val="0"/>
              </w:rPr>
              <w:t xml:space="preserve">AEP, wind farm (MWh/yr)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CF">
            <w:pPr>
              <w:rPr/>
            </w:pPr>
            <w:r>
              <w:rPr>
                <w:sz w:val="20"/>
              </w:rPr>
              <w:t>129,003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0">
            <w:pPr>
              <w:rPr/>
            </w:pPr>
            <w:r>
              <w:rPr>
                <w:sz w:val="20"/>
              </w:rPr>
              <w:t>129,780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1">
            <w:pPr>
              <w:rPr/>
            </w:pPr>
            <w:r w:rsidDel="00000000" w:rsidR="00000000" w:rsidRPr="00000000">
              <w:rPr>
                <w:sz w:val="20"/>
                <w:szCs w:val="20"/>
                <w:rtl w:val="0"/>
              </w:rPr>
              <w:t xml:space="preserve">Capacity factor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2">
            <w:pPr>
              <w:rPr/>
            </w:pPr>
            <w:r>
              <w:rPr>
                <w:sz w:val="20"/>
              </w:rPr>
              <w:t>46.0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3">
            <w:pPr>
              <w:rPr/>
            </w:pPr>
            <w:r>
              <w:rPr>
                <w:sz w:val="20"/>
              </w:rPr>
              <w:t>46.3</w:t>
            </w:r>
          </w:p>
        </w:tc>
      </w:tr>
    </w:tbl>
    <w:p w:rsidR="00000000" w:rsidDel="00000000" w:rsidP="00000000" w:rsidRDefault="00000000" w:rsidRPr="00000000" w14:paraId="000000D4">
      <w:pPr>
        <w:spacing w:after="200" w:lineRule="auto"/>
        <w:jc w:val="center"/>
        <w:rPr/>
      </w:pPr>
      <w:r w:rsidDel="00000000" w:rsidR="00000000" w:rsidRPr="00000000">
        <w:rPr>
          <w:i w:val="1"/>
          <w:iCs w:val="1"/>
          <w:sz w:val="20"/>
          <w:szCs w:val="20"/>
          <w:rtl w:val="0"/>
        </w:rPr>
        <w:t>Table 5-2. Energy production</w:t>
      </w:r>
    </w:p>
    <w:p w:rsidR="00000000" w:rsidDel="00000000" w:rsidP="00000000" w:rsidRDefault="00000000" w:rsidRPr="00000000" w14:paraId="000000D5">
      <w:pPr>
        <w:pStyle w:val="Heading2"/>
        <w:rPr/>
      </w:pPr>
      <w:r w:rsidDel="00000000" w:rsidR="00000000" w:rsidRPr="00000000">
        <w:rPr>
          <w:rtl w:val="0"/>
        </w:rPr>
        <w:t xml:space="preserve">5.2 Comparison to Data Center Demand</w:t>
      </w:r>
    </w:p>
    <w:p>
      <w:pPr>
        <w:spacing w:after="120" w:before="0"/>
        <w:jc w:val="both"/>
      </w:pPr>
      <w:r>
        <w:t>On an annual basis, Eq. (10) compares wind farm output with the flat 14 MW demand.</w:t>
      </w:r>
    </w:p>
    <w:p w:rsidR="00000000" w:rsidDel="00000000" w:rsidP="00000000" w:rsidRDefault="00000000" w:rsidRPr="00000000" w14:paraId="000000D7">
      <w:pPr>
        <w:tabs>
          <w:tab w:val="center" w:leader="none" w:pos="4680"/>
          <w:tab w:val="right" w:leader="none" w:pos="9360"/>
        </w:tabs>
        <w:spacing w:after="120" w:before="120" w:lineRule="auto"/>
        <w:rPr/>
      </w:pPr>
      <w:r w:rsidDel="00000000" w:rsidR="00000000" w:rsidRPr="00000000">
        <w:rPr>
          <w:rtl w:val="0"/>
        </w:rPr>
        <w:tab/>
      </w:r>
      <m:oMath>
        <m:r>
          <w:rPr/>
          <m:t xml:space="preserve">Share=</m:t>
        </m:r>
        <m:f>
          <m:fPr>
            <m:ctrlPr>
              <w:rPr/>
            </m:ctrlPr>
          </m:fPr>
          <m:num>
            <m:sSub>
              <m:sSubPr>
                <m:ctrlPr>
                  <w:rPr/>
                </m:ctrlPr>
              </m:sSubPr>
              <m:e>
                <m:r>
                  <w:rPr/>
                  <m:t xml:space="preserve">AEP</m:t>
                </m:r>
              </m:e>
              <m:sub>
                <m:r>
                  <w:rPr/>
                  <m:t xml:space="preserve">farm</m:t>
                </m:r>
              </m:sub>
            </m:sSub>
          </m:num>
          <m:den>
            <m:sSub>
              <m:sSubPr>
                <m:ctrlPr>
                  <w:rPr/>
                </m:ctrlPr>
              </m:sSubPr>
              <m:e>
                <m:r>
                  <w:rPr/>
                  <m:t xml:space="preserve">E</m:t>
                </m:r>
              </m:e>
              <m:sub>
                <m:r>
                  <w:rPr/>
                  <m:t xml:space="preserve">demand</m:t>
                </m:r>
              </m:sub>
            </m:sSub>
          </m:den>
        </m:f>
        <m:r>
          <w:rPr/>
          <m:t xml:space="preserve">×100%</m:t>
        </m:r>
      </m:oMath>
      <w:r w:rsidDel="00000000" w:rsidR="00000000" w:rsidRPr="00000000">
        <w:rPr>
          <w:rtl w:val="0"/>
        </w:rPr>
        <w:tab/>
        <w:t xml:space="preserve">(10)</w:t>
      </w:r>
    </w:p>
    <w:p w:rsidR="00000000" w:rsidDel="00000000" w:rsidP="00000000" w:rsidRDefault="00000000" w:rsidRPr="00000000" w14:paraId="000000D8">
      <w:pPr>
        <w:spacing w:after="160" w:lineRule="auto"/>
        <w:rPr/>
      </w:pPr>
      <w:r w:rsidDel="00000000" w:rsidR="00000000" w:rsidRPr="00000000">
        <w:rPr>
          <w:rtl w:val="0"/>
        </w:rPr>
        <w:t xml:space="preserve">where </w:t>
      </w:r>
      <w:r w:rsidDel="00000000" w:rsidR="00000000" w:rsidRPr="00000000">
        <w:rPr>
          <w:i w:val="1"/>
          <w:iCs w:val="1"/>
          <w:rtl w:val="0"/>
        </w:rPr>
        <w:t xml:space="preserve">Share</w:t>
      </w:r>
      <w:r w:rsidDel="00000000" w:rsidR="00000000" w:rsidRPr="00000000">
        <w:rPr>
          <w:rtl w:val="0"/>
        </w:rPr>
        <w:t xml:space="preserve"> = fraction of annual demand supplied by wind (%); </w:t>
      </w:r>
      <w:r w:rsidDel="00000000" w:rsidR="00000000" w:rsidRPr="00000000">
        <w:rPr>
          <w:i w:val="1"/>
          <w:iCs w:val="1"/>
          <w:rtl w:val="0"/>
        </w:rPr>
        <w:t xml:space="preserve">AEP</w:t>
      </w:r>
      <w:r w:rsidDel="00000000" w:rsidR="00000000" w:rsidRPr="00000000">
        <w:rPr>
          <w:i w:val="1"/>
          <w:iCs w:val="1"/>
          <w:vertAlign w:val="subscript"/>
          <w:rtl w:val="0"/>
        </w:rPr>
        <w:t xml:space="preserve">farm</w:t>
      </w:r>
      <w:r w:rsidDel="00000000" w:rsidR="00000000" w:rsidRPr="00000000">
        <w:rPr>
          <w:rtl w:val="0"/>
        </w:rPr>
        <w:t xml:space="preserve"> = wind farm annual energy production (MWh/yr); </w:t>
      </w:r>
      <w:r w:rsidDel="00000000" w:rsidR="00000000" w:rsidRPr="00000000">
        <w:rPr>
          <w:i w:val="1"/>
          <w:iCs w:val="1"/>
          <w:rtl w:val="0"/>
        </w:rPr>
        <w:t xml:space="preserve">E</w:t>
      </w:r>
      <w:r w:rsidDel="00000000" w:rsidR="00000000" w:rsidRPr="00000000">
        <w:rPr>
          <w:i w:val="1"/>
          <w:iCs w:val="1"/>
          <w:vertAlign w:val="subscript"/>
          <w:rtl w:val="0"/>
        </w:rPr>
        <w:t xml:space="preserve">demand</w:t>
      </w:r>
      <w:r w:rsidDel="00000000" w:rsidR="00000000" w:rsidRPr="00000000">
        <w:rPr>
          <w:rtl w:val="0"/>
        </w:rPr>
        <w:t xml:space="preserve"> = annual energy demand, 122,640 MWh/yr.</w:t>
      </w:r>
    </w:p>
    <w:p w:rsidR="00000000" w:rsidDel="00000000" w:rsidP="00000000" w:rsidRDefault="00000000" w:rsidRPr="00000000" w14:paraId="000000D9">
      <w:pPr>
        <w:spacing w:after="120" w:lineRule="auto"/>
        <w:rPr/>
      </w:pPr>
      <w:r>
        <w:t xml:space="preserve">The wind farm produces </w:t>
      </w:r>
      <w:r>
        <w:rPr>
          <w:b/>
        </w:rPr>
        <w:t>129,003 MWh/yr</w:t>
      </w:r>
      <w:r>
        <w:t xml:space="preserve">, supplying </w:t>
      </w:r>
      <w:r>
        <w:rPr>
          <w:b/>
        </w:rPr>
        <w:t>105.2%</w:t>
      </w:r>
      <w:r>
        <w:t xml:space="preserve"> of the data center's 122,640 MWh/yr demand.</w:t>
      </w:r>
    </w:p>
    <w:p>
      <w:pPr>
        <w:spacing w:after="120" w:before="0"/>
        <w:jc w:val="both"/>
      </w:pPr>
      <w:r>
        <w:t xml:space="preserve">The load is flat but the wind is not. Running the hourly hub-height data through the power curve (Figures 5-1 and 5-2) shows a </w:t>
      </w:r>
      <w:r>
        <w:rPr>
          <w:b/>
        </w:rPr>
        <w:t>surplus from October to May</w:t>
      </w:r>
      <w:r>
        <w:t xml:space="preserve">, peaking in March (+3,512 MWh), and a </w:t>
      </w:r>
      <w:r>
        <w:rPr>
          <w:b/>
        </w:rPr>
        <w:t>deficit from June to September</w:t>
      </w:r>
      <w:r>
        <w:t>, worst in August (-3,950 MWh, when wind supplies only 62% of demand). Within the day, the farm averages about 17.5 MW from 20:00 to 06:00 (surplus) but only 10 to 12 MW from 09:00 to 14:00 (deficit). Hour by hour, wind output is below the load in 4,660 h/yr. 42,069 MWh/yr must be imported and 49,901 MWh/yr of surplus is exported, so wind serves about 66% of the load in real time. The other 34% is met by the grid and offset by the exports.</w:t>
      </w:r>
    </w:p>
    <w:p>
      <w:pPr>
        <w:keepNext/>
        <w:spacing w:after="60" w:before="0"/>
        <w:jc w:val="center"/>
      </w:pPr>
      <w:r>
        <w:drawing>
          <wp:inline>
            <wp:extent cx="5303520" cy="2447778"/>
            <wp:docPr id="7" name="Picture 7"/>
            <wp:cNvGraphicFramePr>
              <a:graphicFrameLocks noChangeAspect="1"/>
            </wp:cNvGraphicFramePr>
            <a:graphic>
              <a:graphicData uri="http://schemas.openxmlformats.org/drawingml/2006/picture">
                <pic:pic>
                  <pic:nvPicPr>
                    <pic:cNvPr id="0" name="fig_monthly_energy.png"/>
                    <pic:cNvPicPr/>
                  </pic:nvPicPr>
                  <pic:blipFill>
                    <a:blip r:embed="rId14"/>
                    <a:stretch>
                      <a:fillRect/>
                    </a:stretch>
                  </pic:blipFill>
                  <pic:spPr>
                    <a:xfrm>
                      <a:off x="0" y="0"/>
                      <a:ext cx="5303520" cy="2447778"/>
                    </a:xfrm>
                    <a:prstGeom prst="rect"/>
                  </pic:spPr>
                </pic:pic>
              </a:graphicData>
            </a:graphic>
          </wp:inline>
        </w:drawing>
      </w:r>
    </w:p>
    <w:p>
      <w:pPr>
        <w:spacing w:after="200" w:before="0"/>
        <w:jc w:val="center"/>
      </w:pPr>
      <w:r>
        <w:rPr>
          <w:i/>
          <w:sz w:val="20"/>
        </w:rPr>
        <w:t>Figure 5-1. Monthly wind farm energy vs. data center demand</w:t>
      </w:r>
    </w:p>
    <w:p>
      <w:pPr>
        <w:keepNext/>
        <w:spacing w:after="60" w:before="0"/>
        <w:jc w:val="center"/>
      </w:pPr>
      <w:r>
        <w:drawing>
          <wp:inline>
            <wp:extent cx="5303520" cy="2447778"/>
            <wp:docPr id="8" name="Picture 8"/>
            <wp:cNvGraphicFramePr>
              <a:graphicFrameLocks noChangeAspect="1"/>
            </wp:cNvGraphicFramePr>
            <a:graphic>
              <a:graphicData uri="http://schemas.openxmlformats.org/drawingml/2006/picture">
                <pic:pic>
                  <pic:nvPicPr>
                    <pic:cNvPr id="0" name="fig_diurnal_power.png"/>
                    <pic:cNvPicPr/>
                  </pic:nvPicPr>
                  <pic:blipFill>
                    <a:blip r:embed="rId15"/>
                    <a:stretch>
                      <a:fillRect/>
                    </a:stretch>
                  </pic:blipFill>
                  <pic:spPr>
                    <a:xfrm>
                      <a:off x="0" y="0"/>
                      <a:ext cx="5303520" cy="2447778"/>
                    </a:xfrm>
                    <a:prstGeom prst="rect"/>
                  </pic:spPr>
                </pic:pic>
              </a:graphicData>
            </a:graphic>
          </wp:inline>
        </w:drawing>
      </w:r>
    </w:p>
    <w:p>
      <w:pPr>
        <w:spacing w:after="200" w:before="0"/>
        <w:jc w:val="center"/>
      </w:pPr>
      <w:r>
        <w:rPr>
          <w:i/>
          <w:sz w:val="20"/>
        </w:rPr>
        <w:t>Figure 5-2. Mean wind farm output by local hour vs. the 14 MW load</w:t>
      </w:r>
    </w:p>
    <w:p w:rsidR="00000000" w:rsidDel="00000000" w:rsidP="00000000" w:rsidRDefault="00000000" w:rsidRPr="00000000" w14:paraId="000000DA">
      <w:pPr>
        <w:pStyle w:val="Heading2"/>
        <w:rPr/>
      </w:pPr>
      <w:r w:rsidDel="00000000" w:rsidR="00000000" w:rsidRPr="00000000">
        <w:rPr>
          <w:rtl w:val="0"/>
        </w:rPr>
        <w:t xml:space="preserve">5.3 Grid Backup Sizing</w:t>
      </w:r>
    </w:p>
    <w:p>
      <w:pPr>
        <w:spacing w:after="120" w:before="0"/>
        <w:jc w:val="both"/>
      </w:pPr>
      <w:r>
        <w:t>The hourly WIND Toolkit hub-height speeds (2007 to 2014) were run through the V110-2.0 power curve, multiplied by 16 turbines, and compared with the 14 MW load each hour.</w:t>
      </w:r>
    </w:p>
    <w:p w:rsidR="00000000" w:rsidDel="00000000" w:rsidP="00000000" w:rsidRDefault="00000000" w:rsidRPr="00000000" w14:paraId="000000DC">
      <w:pPr>
        <w:tabs>
          <w:tab w:val="center" w:leader="none" w:pos="4680"/>
          <w:tab w:val="right" w:leader="none" w:pos="9360"/>
        </w:tabs>
        <w:spacing w:after="120" w:before="120" w:lineRule="auto"/>
        <w:rPr/>
      </w:pPr>
      <w:r w:rsidDel="00000000" w:rsidR="00000000" w:rsidRPr="00000000">
        <w:rPr>
          <w:rtl w:val="0"/>
        </w:rPr>
        <w:tab/>
      </w:r>
      <m:oMath>
        <m:sSub>
          <m:sSubPr>
            <m:ctrlPr>
              <w:rPr/>
            </m:ctrlPr>
          </m:sSubPr>
          <m:e>
            <m:r>
              <w:rPr/>
              <m:t xml:space="preserve">P</m:t>
            </m:r>
          </m:e>
          <m:sub>
            <m:r>
              <w:rPr/>
              <m:t xml:space="preserve">backup</m:t>
            </m:r>
          </m:sub>
        </m:sSub>
        <m:r>
          <w:rPr/>
          <m:t xml:space="preserve">=</m:t>
        </m:r>
        <m:sSub>
          <m:sSubPr>
            <m:ctrlPr>
              <w:rPr/>
            </m:ctrlPr>
          </m:sSubPr>
          <m:e>
            <m:r>
              <w:rPr/>
              <m:t xml:space="preserve">P</m:t>
            </m:r>
          </m:e>
          <m:sub>
            <m:r>
              <w:rPr/>
              <m:t xml:space="preserve">load</m:t>
            </m:r>
          </m:sub>
        </m:sSub>
        <m:r>
          <w:rPr/>
          <m:t xml:space="preserve">=14 MW</m:t>
        </m:r>
      </m:oMath>
      <w:r w:rsidDel="00000000" w:rsidR="00000000" w:rsidRPr="00000000">
        <w:rPr>
          <w:rtl w:val="0"/>
        </w:rPr>
        <w:tab/>
        <w:t xml:space="preserve">(11)</w:t>
      </w:r>
    </w:p>
    <w:p w:rsidR="00000000" w:rsidDel="00000000" w:rsidP="00000000" w:rsidRDefault="00000000" w:rsidRPr="00000000" w14:paraId="000000DD">
      <w:pPr>
        <w:spacing w:after="120" w:lineRule="auto"/>
        <w:rPr/>
      </w:pPr>
      <w:r>
        <w:t xml:space="preserve">Wind output falls to zero below cut-in and above cut-out wind speed, and the data center cannot tolerate interruption. The grid backup is therefore sized to carry the full 14 MW facility load. Wind output is below 14 MW for </w:t>
      </w:r>
      <w:r>
        <w:rPr>
          <w:b/>
        </w:rPr>
        <w:t>4,660 h/yr</w:t>
      </w:r>
      <w:r>
        <w:t xml:space="preserve"> (53% of hours, including 918 h/yr at zero output), requiring </w:t>
      </w:r>
      <w:r>
        <w:rPr>
          <w:b/>
        </w:rPr>
        <w:t>42,069 MWh/yr</w:t>
      </w:r>
      <w:r>
        <w:t xml:space="preserve"> of grid energy (Figure 5-3).</w:t>
      </w:r>
    </w:p>
    <w:p>
      <w:pPr>
        <w:spacing w:after="120" w:before="0"/>
        <w:jc w:val="both"/>
      </w:pPr>
      <w:r>
        <w:t>On-site UPS and standby generators (standard for any data center) ride through grid outages. They are not part of the wind/grid energy balance.</w:t>
      </w:r>
    </w:p>
    <w:p>
      <w:pPr>
        <w:keepNext/>
        <w:spacing w:after="60" w:before="0"/>
        <w:jc w:val="center"/>
      </w:pPr>
      <w:r>
        <w:drawing>
          <wp:inline>
            <wp:extent cx="5303520" cy="2447778"/>
            <wp:docPr id="9" name="Picture 9"/>
            <wp:cNvGraphicFramePr>
              <a:graphicFrameLocks noChangeAspect="1"/>
            </wp:cNvGraphicFramePr>
            <a:graphic>
              <a:graphicData uri="http://schemas.openxmlformats.org/drawingml/2006/picture">
                <pic:pic>
                  <pic:nvPicPr>
                    <pic:cNvPr id="0" name="fig_duration.png"/>
                    <pic:cNvPicPr/>
                  </pic:nvPicPr>
                  <pic:blipFill>
                    <a:blip r:embed="rId16"/>
                    <a:stretch>
                      <a:fillRect/>
                    </a:stretch>
                  </pic:blipFill>
                  <pic:spPr>
                    <a:xfrm>
                      <a:off x="0" y="0"/>
                      <a:ext cx="5303520" cy="2447778"/>
                    </a:xfrm>
                    <a:prstGeom prst="rect"/>
                  </pic:spPr>
                </pic:pic>
              </a:graphicData>
            </a:graphic>
          </wp:inline>
        </w:drawing>
      </w:r>
    </w:p>
    <w:p>
      <w:pPr>
        <w:spacing w:after="200" w:before="0"/>
        <w:jc w:val="center"/>
      </w:pPr>
      <w:r>
        <w:rPr>
          <w:i/>
          <w:sz w:val="20"/>
        </w:rPr>
        <w:t>Figure 5-3. Hourly output duration curve; the shaded area is energy supplied by the grid</w:t>
      </w:r>
    </w:p>
    <w:p w:rsidR="00000000" w:rsidDel="00000000" w:rsidP="00000000" w:rsidRDefault="00000000" w:rsidRPr="00000000" w14:paraId="000000DE">
      <w:pPr>
        <w:pStyle w:val="Heading2"/>
        <w:rPr/>
      </w:pPr>
      <w:r w:rsidDel="00000000" w:rsidR="00000000" w:rsidRPr="00000000">
        <w:rPr>
          <w:rtl w:val="0"/>
        </w:rPr>
        <w:t xml:space="preserve">5.4 Interconnection Capacity</w:t>
      </w:r>
    </w:p>
    <w:p>
      <w:pPr>
        <w:spacing w:after="120" w:before="0"/>
        <w:jc w:val="both"/>
      </w:pPr>
      <w:r>
        <w:t>The interconnection at the point of interconnection (POI) must import the full load when wind is zero and export any surplus above the load (Eq. 12). The data center is placed behind the POI on the project substation bus (Section 8.2).</w:t>
      </w:r>
    </w:p>
    <w:p w:rsidR="00000000" w:rsidDel="00000000" w:rsidP="00000000" w:rsidRDefault="00000000" w:rsidRPr="00000000" w14:paraId="000000E0">
      <w:pPr>
        <w:tabs>
          <w:tab w:val="center" w:leader="none" w:pos="4680"/>
          <w:tab w:val="right" w:leader="none" w:pos="9360"/>
        </w:tabs>
        <w:spacing w:after="120" w:before="120" w:lineRule="auto"/>
        <w:rPr/>
      </w:pPr>
      <w:r w:rsidDel="00000000" w:rsidR="00000000" w:rsidRPr="00000000">
        <w:rPr>
          <w:rtl w:val="0"/>
        </w:rPr>
        <w:tab/>
      </w:r>
      <m:oMath>
        <m:sSub>
          <m:sSubPr>
            <m:ctrlPr>
              <w:rPr/>
            </m:ctrlPr>
          </m:sSubPr>
          <m:e>
            <m:r>
              <w:rPr/>
              <m:t xml:space="preserve">P</m:t>
            </m:r>
          </m:e>
          <m:sub>
            <m:r>
              <w:rPr/>
              <m:t xml:space="preserve">IC</m:t>
            </m:r>
          </m:sub>
        </m:sSub>
        <m:r>
          <w:rPr/>
          <m:t xml:space="preserve">=max</m:t>
        </m:r>
        <m:d>
          <m:dPr>
            <m:begChr m:val="("/>
            <m:endChr m:val=")"/>
            <m:ctrlPr>
              <w:rPr/>
            </m:ctrlPr>
          </m:dPr>
          <m:e>
            <m:sSub>
              <m:sSubPr>
                <m:ctrlPr>
                  <w:rPr/>
                </m:ctrlPr>
              </m:sSubPr>
              <m:e>
                <m:r>
                  <w:rPr/>
                  <m:t xml:space="preserve">P</m:t>
                </m:r>
              </m:e>
              <m:sub>
                <m:r>
                  <w:rPr/>
                  <m:t xml:space="preserve">load</m:t>
                </m:r>
              </m:sub>
            </m:sSub>
            <m:r>
              <w:rPr/>
              <m:t xml:space="preserve">, </m:t>
            </m:r>
            <m:sSub>
              <m:sSubPr>
                <m:ctrlPr>
                  <w:rPr/>
                </m:ctrlPr>
              </m:sSubPr>
              <m:e>
                <m:r>
                  <w:rPr/>
                  <m:t xml:space="preserve">P</m:t>
                </m:r>
              </m:e>
              <m:sub>
                <m:r>
                  <w:rPr/>
                  <m:t xml:space="preserve">inst</m:t>
                </m:r>
              </m:sub>
            </m:sSub>
            <m:r>
              <w:rPr/>
              <m:t xml:space="preserve">−</m:t>
            </m:r>
            <m:sSub>
              <m:sSubPr>
                <m:ctrlPr>
                  <w:rPr/>
                </m:ctrlPr>
              </m:sSubPr>
              <m:e>
                <m:r>
                  <w:rPr/>
                  <m:t xml:space="preserve">P</m:t>
                </m:r>
              </m:e>
              <m:sub>
                <m:r>
                  <w:rPr/>
                  <m:t xml:space="preserve">load</m:t>
                </m:r>
              </m:sub>
            </m:sSub>
          </m:e>
        </m:d>
      </m:oMath>
      <w:r w:rsidDel="00000000" w:rsidR="00000000" w:rsidRPr="00000000">
        <w:rPr>
          <w:rtl w:val="0"/>
        </w:rPr>
        <w:tab/>
        <w:t xml:space="preserve">(12)</w:t>
      </w:r>
    </w:p>
    <w:p w:rsidR="00000000" w:rsidDel="00000000" w:rsidP="00000000" w:rsidRDefault="00000000" w:rsidRPr="00000000" w14:paraId="000000E1">
      <w:pPr>
        <w:spacing w:after="160" w:lineRule="auto"/>
        <w:rPr/>
      </w:pPr>
      <w:r w:rsidDel="00000000" w:rsidR="00000000" w:rsidRPr="00000000">
        <w:rPr>
          <w:rtl w:val="0"/>
        </w:rPr>
        <w:t xml:space="preserve">where </w:t>
      </w:r>
      <w:r w:rsidDel="00000000" w:rsidR="00000000" w:rsidRPr="00000000">
        <w:rPr>
          <w:i w:val="1"/>
          <w:iCs w:val="1"/>
          <w:rtl w:val="0"/>
        </w:rPr>
        <w:t xml:space="preserve">P</w:t>
      </w:r>
      <w:r w:rsidDel="00000000" w:rsidR="00000000" w:rsidRPr="00000000">
        <w:rPr>
          <w:i w:val="1"/>
          <w:iCs w:val="1"/>
          <w:vertAlign w:val="subscript"/>
          <w:rtl w:val="0"/>
        </w:rPr>
        <w:t xml:space="preserve">IC</w:t>
      </w:r>
      <w:r w:rsidDel="00000000" w:rsidR="00000000" w:rsidRPr="00000000">
        <w:rPr>
          <w:rtl w:val="0"/>
        </w:rPr>
        <w:t xml:space="preserve"> = required interconnection capacity (MW); </w:t>
      </w:r>
      <w:r w:rsidDel="00000000" w:rsidR="00000000" w:rsidRPr="00000000">
        <w:rPr>
          <w:i w:val="1"/>
          <w:iCs w:val="1"/>
          <w:rtl w:val="0"/>
        </w:rPr>
        <w:t xml:space="preserve">P</w:t>
      </w:r>
      <w:r w:rsidDel="00000000" w:rsidR="00000000" w:rsidRPr="00000000">
        <w:rPr>
          <w:i w:val="1"/>
          <w:iCs w:val="1"/>
          <w:vertAlign w:val="subscript"/>
          <w:rtl w:val="0"/>
        </w:rPr>
        <w:t xml:space="preserve">load</w:t>
      </w:r>
      <w:r w:rsidDel="00000000" w:rsidR="00000000" w:rsidRPr="00000000">
        <w:rPr>
          <w:rtl w:val="0"/>
        </w:rPr>
        <w:t xml:space="preserve"> = import required when wind output is zero, 14 MW; </w:t>
      </w:r>
      <w:r w:rsidDel="00000000" w:rsidR="00000000" w:rsidRPr="00000000">
        <w:rPr>
          <w:i w:val="1"/>
          <w:iCs w:val="1"/>
          <w:rtl w:val="0"/>
        </w:rPr>
        <w:t xml:space="preserve">P</w:t>
      </w:r>
      <w:r w:rsidDel="00000000" w:rsidR="00000000" w:rsidRPr="00000000">
        <w:rPr>
          <w:i w:val="1"/>
          <w:iCs w:val="1"/>
          <w:vertAlign w:val="subscript"/>
          <w:rtl w:val="0"/>
        </w:rPr>
        <w:t xml:space="preserve">inst</w:t>
      </w:r>
      <w:r w:rsidDel="00000000" w:rsidR="00000000" w:rsidRPr="00000000">
        <w:rPr>
          <w:rtl w:val="0"/>
        </w:rPr>
        <w:t xml:space="preserve"> = installed wind capacity (MW).</w:t>
      </w:r>
    </w:p>
    <w:p w:rsidR="00000000" w:rsidDel="00000000" w:rsidP="00000000" w:rsidRDefault="00000000" w:rsidRPr="00000000" w14:paraId="000000E2">
      <w:pPr>
        <w:spacing w:after="120" w:lineRule="auto"/>
        <w:rPr/>
      </w:pPr>
      <w:r>
        <w:t xml:space="preserve">With </w:t>
      </w:r>
      <w:r>
        <w:rPr>
          <w:b/>
        </w:rPr>
        <w:t>32 MW</w:t>
      </w:r>
      <w:r>
        <w:t xml:space="preserve"> installed, maximum export is 32 − 14 = </w:t>
      </w:r>
      <w:r>
        <w:rPr>
          <w:b/>
        </w:rPr>
        <w:t>18 MW</w:t>
      </w:r>
      <w:r>
        <w:t>. The required interconnection capacity is P</w:t>
      </w:r>
      <w:r>
        <w:rPr>
          <w:vertAlign w:val="subscript"/>
        </w:rPr>
        <w:t>IC</w:t>
      </w:r>
      <w:r>
        <w:t xml:space="preserve"> = max(14, 18) = </w:t>
      </w:r>
      <w:r>
        <w:rPr>
          <w:b/>
        </w:rPr>
        <w:t>18 MW</w:t>
      </w:r>
      <w:r>
        <w:t>. The project main transformer is still rated for the full 32 MW of wind output (40 MVA), because the wind serves the data center through the shared project bus.</w:t>
      </w:r>
    </w:p>
    <w:p w:rsidR="00000000" w:rsidDel="00000000" w:rsidP="00000000" w:rsidRDefault="00000000" w:rsidRPr="00000000" w14:paraId="000000E3">
      <w:pPr>
        <w:pStyle w:val="Heading2"/>
        <w:rPr/>
      </w:pPr>
      <w:r w:rsidDel="00000000" w:rsidR="00000000" w:rsidRPr="00000000">
        <w:rPr>
          <w:rtl w:val="0"/>
        </w:rPr>
        <w:t xml:space="preserve">5.5 SAM Analysis</w:t>
      </w:r>
    </w:p>
    <w:p>
      <w:pPr>
        <w:spacing w:after="120" w:before="0"/>
        <w:jc w:val="both"/>
      </w:pPr>
      <w:r>
        <w:t xml:space="preserve">In SAM the farm produces 129,780 MWh/yr (CF 46.3%), +0.6% relative to the hand calculation. The small difference is because SAM runs the hourly time series (with air-density correction) rather than the Weibull bins. Year-to-year output ranges from 122,081 MWh (2012) to 135,894 MWh (2008). In SAM's hourly output the farm is below 14 MW for 4,684 h/yr with a 42,095 MWh/yr grid requirement, within 1% of the hand calculation. </w:t>
      </w:r>
      <w:r>
        <w:rPr>
          <w:highlight w:val="yellow"/>
        </w:rPr>
        <w:t>Add the SAM desktop screenshot.</w:t>
      </w:r>
    </w:p>
    <w:p w:rsidR="00000000" w:rsidDel="00000000" w:rsidP="00000000" w:rsidRDefault="00000000" w:rsidRPr="00000000" w14:paraId="000000E5">
      <w:pPr>
        <w:pStyle w:val="Heading1"/>
        <w:rPr/>
      </w:pPr>
      <w:r w:rsidDel="00000000" w:rsidR="00000000" w:rsidRPr="00000000">
        <w:rPr>
          <w:rtl w:val="0"/>
        </w:rPr>
        <w:t xml:space="preserve">6. Economic Analysis</w:t>
      </w:r>
    </w:p>
    <w:p w:rsidR="00000000" w:rsidDel="00000000" w:rsidP="00000000" w:rsidRDefault="00000000" w:rsidRPr="00000000" w14:paraId="000000E6">
      <w:pPr>
        <w:pStyle w:val="Heading2"/>
        <w:rPr/>
      </w:pPr>
      <w:r w:rsidDel="00000000" w:rsidR="00000000" w:rsidRPr="00000000">
        <w:rPr>
          <w:rtl w:val="0"/>
        </w:rPr>
        <w:t xml:space="preserve">6.1 Capital and O&amp;M Cost</w:t>
      </w:r>
    </w:p>
    <w:p>
      <w:pPr>
        <w:spacing w:after="120" w:before="0"/>
        <w:jc w:val="both"/>
      </w:pPr>
      <w:r>
        <w:t xml:space="preserve">Costs are from the NLR Annual Technology Baseline (ATB) 2025, land-based wind, </w:t>
      </w:r>
      <w:r>
        <w:rPr>
          <w:b/>
        </w:rPr>
        <w:t>Moderate</w:t>
      </w:r>
      <w:r>
        <w:t xml:space="preserve"> scenario, 2025 cost year, </w:t>
      </w:r>
      <w:r>
        <w:rPr>
          <w:b/>
        </w:rPr>
        <w:t>wind resource Class 8</w:t>
      </w:r>
      <w:r>
        <w:t xml:space="preserve"> (the ATB class covering a 6.5 to 7.1 m/s resource, Technology 2), in 2023 dollars. The ATB overnight capital cost is OCC = $1,779.7/kW and fixed O&amp;M is $40.3/kW-yr. With Eq. (13), CAPEX = $1,779.7/kW × 32,000 kW = </w:t>
      </w:r>
      <w:r>
        <w:rPr>
          <w:b/>
        </w:rPr>
        <w:t>$56.95 M</w:t>
      </w:r>
      <w:r>
        <w:t xml:space="preserve">, and OPEX = $40.3/kW-yr × 32,000 kW = </w:t>
      </w:r>
      <w:r>
        <w:rPr>
          <w:b/>
        </w:rPr>
        <w:t>$1.290 M/yr</w:t>
      </w:r>
      <w:r>
        <w:t xml:space="preserve">. The grid price is the EIA North Carolina industrial average retail price (7.51 ¢/kWh). </w:t>
      </w:r>
      <w:r>
        <w:rPr>
          <w:highlight w:val="yellow"/>
        </w:rPr>
        <w:t>Verify the latest EIA NC industrial price (Electric Power Monthly Table 5.6.A), or substitute the applicable Dominion Energy NC or Duke Energy industrial rate.</w:t>
      </w:r>
    </w:p>
    <w:p w:rsidR="00000000" w:rsidDel="00000000" w:rsidP="00000000" w:rsidRDefault="00000000" w:rsidRPr="00000000" w14:paraId="000000E8">
      <w:pPr>
        <w:tabs>
          <w:tab w:val="center" w:leader="none" w:pos="4680"/>
          <w:tab w:val="right" w:leader="none" w:pos="9360"/>
        </w:tabs>
        <w:spacing w:after="120" w:before="120" w:lineRule="auto"/>
        <w:rPr/>
      </w:pPr>
      <w:r w:rsidDel="00000000" w:rsidR="00000000" w:rsidRPr="00000000">
        <w:rPr>
          <w:rtl w:val="0"/>
        </w:rPr>
        <w:tab/>
      </w:r>
      <m:oMath>
        <m:r>
          <w:rPr/>
          <m:t xml:space="preserve">CAPEX=OCC×</m:t>
        </m:r>
        <m:sSub>
          <m:sSubPr>
            <m:ctrlPr>
              <w:rPr/>
            </m:ctrlPr>
          </m:sSubPr>
          <m:e>
            <m:r>
              <w:rPr/>
              <m:t xml:space="preserve">P</m:t>
            </m:r>
          </m:e>
          <m:sub>
            <m:r>
              <w:rPr/>
              <m:t xml:space="preserve">inst</m:t>
            </m:r>
          </m:sub>
        </m:sSub>
      </m:oMath>
      <w:r w:rsidDel="00000000" w:rsidR="00000000" w:rsidRPr="00000000">
        <w:rPr>
          <w:rtl w:val="0"/>
        </w:rPr>
        <w:tab/>
        <w:t xml:space="preserve">(13)</w:t>
      </w:r>
    </w:p>
    <w:p w:rsidR="00000000" w:rsidDel="00000000" w:rsidP="00000000" w:rsidRDefault="00000000" w:rsidRPr="00000000" w14:paraId="000000E9">
      <w:pPr>
        <w:spacing w:after="160" w:lineRule="auto"/>
        <w:rPr/>
      </w:pPr>
      <w:r w:rsidDel="00000000" w:rsidR="00000000" w:rsidRPr="00000000">
        <w:rPr>
          <w:rtl w:val="0"/>
        </w:rPr>
        <w:t xml:space="preserve">where </w:t>
      </w:r>
      <w:r w:rsidDel="00000000" w:rsidR="00000000" w:rsidRPr="00000000">
        <w:rPr>
          <w:i w:val="1"/>
          <w:iCs w:val="1"/>
          <w:rtl w:val="0"/>
        </w:rPr>
        <w:t xml:space="preserve">CAPEX</w:t>
      </w:r>
      <w:r w:rsidDel="00000000" w:rsidR="00000000" w:rsidRPr="00000000">
        <w:rPr>
          <w:rtl w:val="0"/>
        </w:rPr>
        <w:t xml:space="preserve"> = total plant capital cost ($); </w:t>
      </w:r>
      <w:r w:rsidDel="00000000" w:rsidR="00000000" w:rsidRPr="00000000">
        <w:rPr>
          <w:i w:val="1"/>
          <w:iCs w:val="1"/>
          <w:rtl w:val="0"/>
        </w:rPr>
        <w:t xml:space="preserve">OCC</w:t>
      </w:r>
      <w:r w:rsidDel="00000000" w:rsidR="00000000" w:rsidRPr="00000000">
        <w:rPr>
          <w:rtl w:val="0"/>
        </w:rPr>
        <w:t xml:space="preserve"> = overnight capital cost ($/kW); </w:t>
      </w:r>
      <w:r w:rsidDel="00000000" w:rsidR="00000000" w:rsidRPr="00000000">
        <w:rPr>
          <w:i w:val="1"/>
          <w:iCs w:val="1"/>
          <w:rtl w:val="0"/>
        </w:rPr>
        <w:t xml:space="preserve">P</w:t>
      </w:r>
      <w:r w:rsidDel="00000000" w:rsidR="00000000" w:rsidRPr="00000000">
        <w:rPr>
          <w:i w:val="1"/>
          <w:iCs w:val="1"/>
          <w:vertAlign w:val="subscript"/>
          <w:rtl w:val="0"/>
        </w:rPr>
        <w:t xml:space="preserve">inst</w:t>
      </w:r>
      <w:r w:rsidDel="00000000" w:rsidR="00000000" w:rsidRPr="00000000">
        <w:rPr>
          <w:rtl w:val="0"/>
        </w:rPr>
        <w:t xml:space="preserve"> = installed capacity (kW).</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0"/>
        <w:gridCol w:w="3000"/>
        <w:gridCol w:w="3000"/>
        <w:tblGridChange w:id="0">
          <w:tblGrid>
            <w:gridCol w:w="3360"/>
            <w:gridCol w:w="3000"/>
            <w:gridCol w:w="30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EA">
            <w:pPr>
              <w:rPr/>
            </w:pPr>
            <w:r w:rsidDel="00000000" w:rsidR="00000000" w:rsidRPr="00000000">
              <w:rPr>
                <w:b w:val="1"/>
                <w:bCs w:val="1"/>
                <w:color w:val="000000"/>
                <w:sz w:val="20"/>
                <w:szCs w:val="20"/>
                <w:rtl w:val="0"/>
              </w:rPr>
              <w:t xml:space="preserve">Input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EB">
            <w:pPr>
              <w:rPr/>
            </w:pPr>
            <w:r w:rsidDel="00000000" w:rsidR="00000000" w:rsidRPr="00000000">
              <w:rPr>
                <w:b w:val="1"/>
                <w:bCs w:val="1"/>
                <w:color w:val="000000"/>
                <w:sz w:val="20"/>
                <w:szCs w:val="20"/>
                <w:rtl w:val="0"/>
              </w:rPr>
              <w:t xml:space="preserve">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EC">
            <w:pPr>
              <w:rPr/>
            </w:pPr>
            <w:r w:rsidDel="00000000" w:rsidR="00000000" w:rsidRPr="00000000">
              <w:rPr>
                <w:b w:val="1"/>
                <w:bCs w:val="1"/>
                <w:color w:val="000000"/>
                <w:sz w:val="20"/>
                <w:szCs w:val="20"/>
                <w:rtl w:val="0"/>
              </w:rPr>
              <w:t xml:space="preserve">Source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ED">
            <w:pPr>
              <w:rPr/>
            </w:pPr>
            <w:r w:rsidDel="00000000" w:rsidR="00000000" w:rsidRPr="00000000">
              <w:rPr>
                <w:sz w:val="20"/>
                <w:szCs w:val="20"/>
                <w:rtl w:val="0"/>
              </w:rPr>
              <w:t xml:space="preserve">CAPEX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EE">
            <w:pPr>
              <w:rPr/>
            </w:pPr>
            <w:r>
              <w:rPr>
                <w:sz w:val="20"/>
              </w:rPr>
              <w:t>56,950,400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EF">
            <w:pPr>
              <w:rPr/>
            </w:pPr>
            <w:r>
              <w:rPr>
                <w:sz w:val="20"/>
              </w:rPr>
              <w:t>NLR ATB 2025, LBW Class 8, Moderate, 2025: OCC $1,779.7/kW × 32 MW</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F0">
            <w:pPr>
              <w:rPr/>
            </w:pPr>
            <w:r w:rsidDel="00000000" w:rsidR="00000000" w:rsidRPr="00000000">
              <w:rPr>
                <w:sz w:val="20"/>
                <w:szCs w:val="20"/>
                <w:rtl w:val="0"/>
              </w:rPr>
              <w:t xml:space="preserve">OPEX ($/yr)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F1">
            <w:pPr>
              <w:rPr/>
            </w:pPr>
            <w:r>
              <w:rPr>
                <w:sz w:val="20"/>
              </w:rPr>
              <w:t>1,289,600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F2">
            <w:pPr>
              <w:rPr/>
            </w:pPr>
            <w:r>
              <w:rPr>
                <w:sz w:val="20"/>
              </w:rPr>
              <w:t>NLR ATB 2025 fixed O&amp;M $40.3/kW-yr × 32 MW</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F3">
            <w:pPr>
              <w:rPr/>
            </w:pPr>
            <w:r w:rsidDel="00000000" w:rsidR="00000000" w:rsidRPr="00000000">
              <w:rPr>
                <w:sz w:val="20"/>
                <w:szCs w:val="20"/>
                <w:rtl w:val="0"/>
              </w:rPr>
              <w:t xml:space="preserve">Grid power price ($/MWh)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F4">
            <w:pPr>
              <w:rPr/>
            </w:pPr>
            <w:r>
              <w:rPr>
                <w:sz w:val="20"/>
              </w:rPr>
              <w:t>75.0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F5">
            <w:pPr>
              <w:rPr/>
            </w:pPr>
            <w:r>
              <w:rPr>
                <w:sz w:val="20"/>
              </w:rPr>
              <w:t>EIA, NC industrial average, 7.51 ¢/kWh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F6">
            <w:pPr>
              <w:rPr/>
            </w:pPr>
            <w:r w:rsidDel="00000000" w:rsidR="00000000" w:rsidRPr="00000000">
              <w:rPr>
                <w:sz w:val="20"/>
                <w:szCs w:val="20"/>
                <w:rtl w:val="0"/>
              </w:rPr>
              <w:t xml:space="preserve">Required rate of return, 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F7">
            <w:pPr>
              <w:rPr/>
            </w:pPr>
            <w:r w:rsidDel="00000000" w:rsidR="00000000" w:rsidRPr="00000000">
              <w:rPr>
                <w:sz w:val="20"/>
                <w:szCs w:val="20"/>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F8">
            <w:pPr>
              <w:rPr/>
            </w:pPr>
            <w:r w:rsidDel="00000000" w:rsidR="00000000" w:rsidRPr="00000000">
              <w:rPr>
                <w:sz w:val="20"/>
                <w:szCs w:val="20"/>
                <w:rtl w:val="0"/>
              </w:rPr>
              <w:t xml:space="preserve">Given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F9">
            <w:pPr>
              <w:rPr/>
            </w:pPr>
            <w:r w:rsidDel="00000000" w:rsidR="00000000" w:rsidRPr="00000000">
              <w:rPr>
                <w:sz w:val="20"/>
                <w:szCs w:val="20"/>
                <w:rtl w:val="0"/>
              </w:rPr>
              <w:t xml:space="preserve">Project life, N (yr)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FA">
            <w:pPr>
              <w:rPr/>
            </w:pPr>
            <w:r>
              <w:rPr>
                <w:sz w:val="20"/>
              </w:rPr>
              <w:t>25</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FB">
            <w:pPr>
              <w:rPr/>
            </w:pPr>
            <w:r>
              <w:rPr>
                <w:sz w:val="20"/>
              </w:rPr>
              <w:t>Lecture 5 example; typical wind design life</w:t>
            </w:r>
          </w:p>
        </w:tc>
      </w:tr>
    </w:tbl>
    <w:p w:rsidR="00000000" w:rsidDel="00000000" w:rsidP="00000000" w:rsidRDefault="00000000" w:rsidRPr="00000000" w14:paraId="000000FC">
      <w:pPr>
        <w:spacing w:after="200" w:lineRule="auto"/>
        <w:jc w:val="center"/>
        <w:rPr/>
      </w:pPr>
      <w:r w:rsidDel="00000000" w:rsidR="00000000" w:rsidRPr="00000000">
        <w:rPr>
          <w:i w:val="1"/>
          <w:iCs w:val="1"/>
          <w:sz w:val="20"/>
          <w:szCs w:val="20"/>
          <w:rtl w:val="0"/>
        </w:rPr>
        <w:t xml:space="preserve">Table 6-1. Cost inputs</w:t>
      </w:r>
      <w:r w:rsidDel="00000000" w:rsidR="00000000" w:rsidRPr="00000000">
        <w:rPr>
          <w:rtl w:val="0"/>
        </w:rPr>
      </w:r>
    </w:p>
    <w:p w:rsidR="00000000" w:rsidDel="00000000" w:rsidP="00000000" w:rsidRDefault="00000000" w:rsidRPr="00000000" w14:paraId="000000FD">
      <w:pPr>
        <w:pStyle w:val="Heading2"/>
        <w:rPr/>
      </w:pPr>
      <w:r w:rsidDel="00000000" w:rsidR="00000000" w:rsidRPr="00000000">
        <w:rPr>
          <w:rtl w:val="0"/>
        </w:rPr>
        <w:t xml:space="preserve">6.2 Levelized Cost of Energy</w:t>
      </w:r>
    </w:p>
    <w:p>
      <w:pPr>
        <w:spacing w:after="120" w:before="0"/>
        <w:jc w:val="both"/>
      </w:pPr>
      <w:r>
        <w:t>CRF and LCOE follow Eq. (14) with r = 7% and N = 25 years.</w:t>
      </w:r>
    </w:p>
    <w:p w:rsidR="00000000" w:rsidDel="00000000" w:rsidP="00000000" w:rsidRDefault="00000000" w:rsidRPr="00000000" w14:paraId="000000FF">
      <w:pPr>
        <w:tabs>
          <w:tab w:val="center" w:leader="none" w:pos="4680"/>
          <w:tab w:val="right" w:leader="none" w:pos="9360"/>
        </w:tabs>
        <w:spacing w:after="120" w:before="120" w:lineRule="auto"/>
        <w:rPr/>
      </w:pPr>
      <w:r w:rsidDel="00000000" w:rsidR="00000000" w:rsidRPr="00000000">
        <w:rPr>
          <w:rtl w:val="0"/>
        </w:rPr>
        <w:tab/>
      </w:r>
      <m:oMath>
        <m:r>
          <w:rPr/>
          <m:t xml:space="preserve">LCOE=</m:t>
        </m:r>
        <m:f>
          <m:fPr>
            <m:ctrlPr>
              <w:rPr/>
            </m:ctrlPr>
          </m:fPr>
          <m:num>
            <m:r>
              <w:rPr/>
              <m:t xml:space="preserve">CAPEX×CRF+OPEX</m:t>
            </m:r>
          </m:num>
          <m:den>
            <m:r>
              <w:rPr/>
              <m:t xml:space="preserve">AEP</m:t>
            </m:r>
          </m:den>
        </m:f>
        <m:r>
          <w:rPr/>
          <m:t xml:space="preserve">,     CRF=</m:t>
        </m:r>
        <m:f>
          <m:fPr>
            <m:ctrlPr>
              <w:rPr/>
            </m:ctrlPr>
          </m:fPr>
          <m:num>
            <m:r>
              <w:rPr/>
              <m:t xml:space="preserve">r</m:t>
            </m:r>
            <m:sSup>
              <m:sSupPr>
                <m:ctrlPr>
                  <w:rPr/>
                </m:ctrlPr>
              </m:sSupPr>
              <m:e>
                <m:d>
                  <m:dPr>
                    <m:begChr m:val="("/>
                    <m:endChr m:val=")"/>
                    <m:ctrlPr>
                      <w:rPr/>
                    </m:ctrlPr>
                  </m:dPr>
                  <m:e>
                    <m:r>
                      <w:rPr/>
                      <m:t xml:space="preserve">1+r</m:t>
                    </m:r>
                  </m:e>
                </m:d>
              </m:e>
              <m:sup>
                <m:r>
                  <w:rPr/>
                  <m:t xml:space="preserve">N</m:t>
                </m:r>
              </m:sup>
            </m:sSup>
          </m:num>
          <m:den>
            <m:sSup>
              <m:sSupPr>
                <m:ctrlPr>
                  <w:rPr/>
                </m:ctrlPr>
              </m:sSupPr>
              <m:e>
                <m:d>
                  <m:dPr>
                    <m:begChr m:val="("/>
                    <m:endChr m:val=")"/>
                    <m:ctrlPr>
                      <w:rPr/>
                    </m:ctrlPr>
                  </m:dPr>
                  <m:e>
                    <m:r>
                      <w:rPr/>
                      <m:t xml:space="preserve">1+r</m:t>
                    </m:r>
                  </m:e>
                </m:d>
              </m:e>
              <m:sup>
                <m:r>
                  <w:rPr/>
                  <m:t xml:space="preserve">N</m:t>
                </m:r>
              </m:sup>
            </m:sSup>
            <m:r>
              <w:rPr/>
              <m:t xml:space="preserve">−1</m:t>
            </m:r>
          </m:den>
        </m:f>
      </m:oMath>
      <w:r w:rsidDel="00000000" w:rsidR="00000000" w:rsidRPr="00000000">
        <w:rPr>
          <w:rtl w:val="0"/>
        </w:rPr>
        <w:tab/>
        <w:t xml:space="preserve">(14)</w:t>
      </w:r>
    </w:p>
    <w:p w:rsidR="00000000" w:rsidDel="00000000" w:rsidP="00000000" w:rsidRDefault="00000000" w:rsidRPr="00000000" w14:paraId="00000100">
      <w:pPr>
        <w:spacing w:after="160" w:lineRule="auto"/>
        <w:rPr/>
      </w:pPr>
      <w:r w:rsidDel="00000000" w:rsidR="00000000" w:rsidRPr="00000000">
        <w:rPr>
          <w:rtl w:val="0"/>
        </w:rPr>
        <w:t xml:space="preserve">where </w:t>
      </w:r>
      <w:r w:rsidDel="00000000" w:rsidR="00000000" w:rsidRPr="00000000">
        <w:rPr>
          <w:i w:val="1"/>
          <w:iCs w:val="1"/>
          <w:rtl w:val="0"/>
        </w:rPr>
        <w:t xml:space="preserve">LCOE</w:t>
      </w:r>
      <w:r w:rsidDel="00000000" w:rsidR="00000000" w:rsidRPr="00000000">
        <w:rPr>
          <w:rtl w:val="0"/>
        </w:rPr>
        <w:t xml:space="preserve"> = levelized cost of energy ($/MWh); </w:t>
      </w:r>
      <w:r w:rsidDel="00000000" w:rsidR="00000000" w:rsidRPr="00000000">
        <w:rPr>
          <w:i w:val="1"/>
          <w:iCs w:val="1"/>
          <w:rtl w:val="0"/>
        </w:rPr>
        <w:t xml:space="preserve">CRF</w:t>
      </w:r>
      <w:r w:rsidDel="00000000" w:rsidR="00000000" w:rsidRPr="00000000">
        <w:rPr>
          <w:rtl w:val="0"/>
        </w:rPr>
        <w:t xml:space="preserve"> = capital recovery factor (1/yr); </w:t>
      </w:r>
      <w:r w:rsidDel="00000000" w:rsidR="00000000" w:rsidRPr="00000000">
        <w:rPr>
          <w:i w:val="1"/>
          <w:iCs w:val="1"/>
          <w:rtl w:val="0"/>
        </w:rPr>
        <w:t xml:space="preserve">OPEX</w:t>
      </w:r>
      <w:r w:rsidDel="00000000" w:rsidR="00000000" w:rsidRPr="00000000">
        <w:rPr>
          <w:rtl w:val="0"/>
        </w:rPr>
        <w:t xml:space="preserve"> = annual operating cost ($/yr); </w:t>
      </w:r>
      <w:r w:rsidDel="00000000" w:rsidR="00000000" w:rsidRPr="00000000">
        <w:rPr>
          <w:i w:val="1"/>
          <w:iCs w:val="1"/>
          <w:rtl w:val="0"/>
        </w:rPr>
        <w:t xml:space="preserve">AEP</w:t>
      </w:r>
      <w:r w:rsidDel="00000000" w:rsidR="00000000" w:rsidRPr="00000000">
        <w:rPr>
          <w:rtl w:val="0"/>
        </w:rPr>
        <w:t xml:space="preserve"> = wind farm annual energy production (MWh/yr); </w:t>
      </w:r>
      <w:r w:rsidDel="00000000" w:rsidR="00000000" w:rsidRPr="00000000">
        <w:rPr>
          <w:i w:val="1"/>
          <w:iCs w:val="1"/>
          <w:rtl w:val="0"/>
        </w:rPr>
        <w:t xml:space="preserve">r</w:t>
      </w:r>
      <w:r w:rsidDel="00000000" w:rsidR="00000000" w:rsidRPr="00000000">
        <w:rPr>
          <w:rtl w:val="0"/>
        </w:rPr>
        <w:t xml:space="preserve"> = required rate of return, 0.07; </w:t>
      </w:r>
      <w:r w:rsidDel="00000000" w:rsidR="00000000" w:rsidRPr="00000000">
        <w:rPr>
          <w:i w:val="1"/>
          <w:iCs w:val="1"/>
          <w:rtl w:val="0"/>
        </w:rPr>
        <w:t xml:space="preserve">N</w:t>
      </w:r>
      <w:r w:rsidDel="00000000" w:rsidR="00000000" w:rsidRPr="00000000">
        <w:rPr>
          <w:rtl w:val="0"/>
        </w:rPr>
        <w:t xml:space="preserve"> = project life (yr).</w:t>
      </w:r>
    </w:p>
    <w:p>
      <w:pPr>
        <w:spacing w:after="120" w:before="0"/>
        <w:jc w:val="both"/>
      </w:pPr>
      <w:r>
        <w:t>CRF = 0.07(1.07)</w:t>
      </w:r>
      <w:r>
        <w:rPr>
          <w:vertAlign w:val="superscript"/>
        </w:rPr>
        <w:t>25</w:t>
      </w:r>
      <w:r>
        <w:t xml:space="preserve"> / [(1.07)</w:t>
      </w:r>
      <w:r>
        <w:rPr>
          <w:vertAlign w:val="superscript"/>
        </w:rPr>
        <w:t>25</w:t>
      </w:r>
      <w:r>
        <w:t xml:space="preserve"> − 1] = 0.07 × 5.4274 / 4.4274 = </w:t>
      </w:r>
      <w:r>
        <w:rPr>
          <w:b/>
        </w:rPr>
        <w:t>0.08581</w:t>
      </w:r>
      <w:r>
        <w:t xml:space="preserve">. LCOE = (56,950,400 × 0.08581 + 1,289,600) / 129,003 = (4,886,943 + 1,289,600) / 129,003 = </w:t>
      </w:r>
      <w:r>
        <w:rPr>
          <w:b/>
        </w:rPr>
        <w:t>$47.88/MWh</w:t>
      </w:r>
      <w:r>
        <w:t>.</w:t>
      </w:r>
    </w:p>
    <w:p>
      <w:pPr>
        <w:spacing w:after="120" w:before="0"/>
        <w:jc w:val="both"/>
      </w:pPr>
      <w:r>
        <w:t xml:space="preserve">This is </w:t>
      </w:r>
      <w:r>
        <w:rPr>
          <w:b/>
        </w:rPr>
        <w:t>$27.12/MWh below</w:t>
      </w:r>
      <w:r>
        <w:t xml:space="preserve"> the $75/MWh grid price. Using ATB's all-in CAPEX ($1,987.5/kW, which adds grid connection and construction financing) instead of OCC raises LCOE to $52.3/MWh, and applying the SAM default losses (net 107,222 MWh/yr) raises it to about $58/MWh. Both remain below the grid price.</w:t>
      </w:r>
    </w:p>
    <w:p w:rsidR="00000000" w:rsidDel="00000000" w:rsidP="00000000" w:rsidRDefault="00000000" w:rsidRPr="00000000" w14:paraId="00000101">
      <w:pPr>
        <w:pStyle w:val="Heading2"/>
        <w:rPr/>
      </w:pPr>
      <w:r w:rsidDel="00000000" w:rsidR="00000000" w:rsidRPr="00000000">
        <w:rPr>
          <w:rtl w:val="0"/>
        </w:rPr>
        <w:t xml:space="preserve">6.3 Net Present Value and Internal Rate of Return</w:t>
      </w:r>
    </w:p>
    <w:p>
      <w:pPr>
        <w:spacing w:after="120" w:before="0"/>
        <w:jc w:val="both"/>
      </w:pPr>
      <w:r>
        <w:t>Revenue is the avoided cost of grid purchases (Eq. 15), with constant real prices and a level annual cash flow over 25 years.</w:t>
      </w:r>
    </w:p>
    <w:p w:rsidR="00000000" w:rsidDel="00000000" w:rsidP="00000000" w:rsidRDefault="00000000" w:rsidRPr="00000000" w14:paraId="00000103">
      <w:pPr>
        <w:tabs>
          <w:tab w:val="center" w:leader="none" w:pos="4680"/>
          <w:tab w:val="right" w:leader="none" w:pos="9360"/>
        </w:tabs>
        <w:spacing w:after="120" w:before="120" w:lineRule="auto"/>
        <w:rPr/>
      </w:pPr>
      <w:r w:rsidDel="00000000" w:rsidR="00000000" w:rsidRPr="00000000">
        <w:rPr>
          <w:rtl w:val="0"/>
        </w:rPr>
        <w:tab/>
      </w:r>
      <m:oMath>
        <m:r>
          <w:rPr/>
          <m:t xml:space="preserve">Revenue=AEP×</m:t>
        </m:r>
        <m:sSub>
          <m:sSubPr>
            <m:ctrlPr>
              <w:rPr/>
            </m:ctrlPr>
          </m:sSubPr>
          <m:e>
            <m:r>
              <w:rPr/>
              <m:t xml:space="preserve">P</m:t>
            </m:r>
          </m:e>
          <m:sub>
            <m:r>
              <w:rPr/>
              <m:t xml:space="preserve">e</m:t>
            </m:r>
          </m:sub>
        </m:sSub>
        <m:r>
          <w:rPr/>
          <m:t xml:space="preserve">,     </m:t>
        </m:r>
        <m:sSub>
          <m:sSubPr>
            <m:ctrlPr>
              <w:rPr/>
            </m:ctrlPr>
          </m:sSubPr>
          <m:e>
            <m:r>
              <w:rPr/>
              <m:t xml:space="preserve">CF</m:t>
            </m:r>
          </m:e>
          <m:sub>
            <m:r>
              <w:rPr/>
              <m:t xml:space="preserve">t</m:t>
            </m:r>
          </m:sub>
        </m:sSub>
        <m:r>
          <w:rPr/>
          <m:t xml:space="preserve">=Revenue−OPEX</m:t>
        </m:r>
      </m:oMath>
      <w:r w:rsidDel="00000000" w:rsidR="00000000" w:rsidRPr="00000000">
        <w:rPr>
          <w:rtl w:val="0"/>
        </w:rPr>
        <w:tab/>
        <w:t xml:space="preserve">(15)</w:t>
      </w:r>
    </w:p>
    <w:p w:rsidR="00000000" w:rsidDel="00000000" w:rsidP="00000000" w:rsidRDefault="00000000" w:rsidRPr="00000000" w14:paraId="00000104">
      <w:pPr>
        <w:tabs>
          <w:tab w:val="center" w:leader="none" w:pos="4680"/>
          <w:tab w:val="right" w:leader="none" w:pos="9360"/>
        </w:tabs>
        <w:spacing w:after="120" w:before="120" w:lineRule="auto"/>
        <w:rPr/>
      </w:pPr>
      <w:r w:rsidDel="00000000" w:rsidR="00000000" w:rsidRPr="00000000">
        <w:rPr>
          <w:rtl w:val="0"/>
        </w:rPr>
        <w:tab/>
      </w:r>
      <m:oMath>
        <m:r>
          <w:rPr/>
          <m:t xml:space="preserve">NPV=−CAPEX+</m:t>
        </m:r>
        <m:nary>
          <m:naryPr>
            <m:chr m:val="∑"/>
            <m:ctrlPr>
              <w:rPr/>
            </m:ctrlPr>
          </m:naryPr>
          <m:sub>
            <m:r>
              <w:rPr/>
              <m:t xml:space="preserve">t=1</m:t>
            </m:r>
          </m:sub>
          <m:sup>
            <m:r>
              <w:rPr/>
              <m:t xml:space="preserve">N</m:t>
            </m:r>
          </m:sup>
          <m:e>
            <m:f>
              <m:fPr>
                <m:ctrlPr>
                  <w:rPr/>
                </m:ctrlPr>
              </m:fPr>
              <m:num>
                <m:sSub>
                  <m:sSubPr>
                    <m:ctrlPr>
                      <w:rPr/>
                    </m:ctrlPr>
                  </m:sSubPr>
                  <m:e>
                    <m:r>
                      <w:rPr/>
                      <m:t xml:space="preserve">CF</m:t>
                    </m:r>
                  </m:e>
                  <m:sub>
                    <m:r>
                      <w:rPr/>
                      <m:t xml:space="preserve">t</m:t>
                    </m:r>
                  </m:sub>
                </m:sSub>
              </m:num>
              <m:den>
                <m:sSup>
                  <m:sSupPr>
                    <m:ctrlPr>
                      <w:rPr/>
                    </m:ctrlPr>
                  </m:sSupPr>
                  <m:e>
                    <m:d>
                      <m:dPr>
                        <m:begChr m:val="("/>
                        <m:endChr m:val=")"/>
                        <m:ctrlPr>
                          <w:rPr/>
                        </m:ctrlPr>
                      </m:dPr>
                      <m:e>
                        <m:r>
                          <w:rPr/>
                          <m:t xml:space="preserve">1+r</m:t>
                        </m:r>
                      </m:e>
                    </m:d>
                  </m:e>
                  <m:sup>
                    <m:r>
                      <w:rPr/>
                      <m:t xml:space="preserve">t</m:t>
                    </m:r>
                  </m:sup>
                </m:sSup>
              </m:den>
            </m:f>
          </m:e>
        </m:nary>
      </m:oMath>
      <w:r w:rsidDel="00000000" w:rsidR="00000000" w:rsidRPr="00000000">
        <w:rPr>
          <w:rtl w:val="0"/>
        </w:rPr>
        <w:tab/>
        <w:t xml:space="preserve">(16)</w:t>
      </w:r>
    </w:p>
    <w:p w:rsidR="00000000" w:rsidDel="00000000" w:rsidP="00000000" w:rsidRDefault="00000000" w:rsidRPr="00000000" w14:paraId="00000105">
      <w:pPr>
        <w:tabs>
          <w:tab w:val="center" w:leader="none" w:pos="4680"/>
          <w:tab w:val="right" w:leader="none" w:pos="9360"/>
        </w:tabs>
        <w:spacing w:after="120" w:before="120" w:lineRule="auto"/>
        <w:rPr/>
      </w:pPr>
      <w:r w:rsidDel="00000000" w:rsidR="00000000" w:rsidRPr="00000000">
        <w:rPr>
          <w:rtl w:val="0"/>
        </w:rPr>
        <w:tab/>
      </w:r>
      <m:oMath>
        <m:r>
          <w:rPr/>
          <m:t xml:space="preserve">0=−CAPEX+</m:t>
        </m:r>
        <m:nary>
          <m:naryPr>
            <m:chr m:val="∑"/>
            <m:ctrlPr>
              <w:rPr/>
            </m:ctrlPr>
          </m:naryPr>
          <m:sub>
            <m:r>
              <w:rPr/>
              <m:t xml:space="preserve">t=1</m:t>
            </m:r>
          </m:sub>
          <m:sup>
            <m:r>
              <w:rPr/>
              <m:t xml:space="preserve">N</m:t>
            </m:r>
          </m:sup>
          <m:e>
            <m:f>
              <m:fPr>
                <m:ctrlPr>
                  <w:rPr/>
                </m:ctrlPr>
              </m:fPr>
              <m:num>
                <m:sSub>
                  <m:sSubPr>
                    <m:ctrlPr>
                      <w:rPr/>
                    </m:ctrlPr>
                  </m:sSubPr>
                  <m:e>
                    <m:r>
                      <w:rPr/>
                      <m:t xml:space="preserve">CF</m:t>
                    </m:r>
                  </m:e>
                  <m:sub>
                    <m:r>
                      <w:rPr/>
                      <m:t xml:space="preserve">t</m:t>
                    </m:r>
                  </m:sub>
                </m:sSub>
              </m:num>
              <m:den>
                <m:sSup>
                  <m:sSupPr>
                    <m:ctrlPr>
                      <w:rPr/>
                    </m:ctrlPr>
                  </m:sSupPr>
                  <m:e>
                    <m:d>
                      <m:dPr>
                        <m:begChr m:val="("/>
                        <m:endChr m:val=")"/>
                        <m:ctrlPr>
                          <w:rPr/>
                        </m:ctrlPr>
                      </m:dPr>
                      <m:e>
                        <m:r>
                          <w:rPr/>
                          <m:t xml:space="preserve">1+IRR</m:t>
                        </m:r>
                      </m:e>
                    </m:d>
                  </m:e>
                  <m:sup>
                    <m:r>
                      <w:rPr/>
                      <m:t xml:space="preserve">t</m:t>
                    </m:r>
                  </m:sup>
                </m:sSup>
              </m:den>
            </m:f>
          </m:e>
        </m:nary>
      </m:oMath>
      <w:r w:rsidDel="00000000" w:rsidR="00000000" w:rsidRPr="00000000">
        <w:rPr>
          <w:rtl w:val="0"/>
        </w:rPr>
        <w:tab/>
        <w:t xml:space="preserve">(17)</w:t>
      </w:r>
    </w:p>
    <w:p w:rsidR="00000000" w:rsidDel="00000000" w:rsidP="00000000" w:rsidRDefault="00000000" w:rsidRPr="00000000" w14:paraId="00000106">
      <w:pPr>
        <w:spacing w:after="160" w:lineRule="auto"/>
        <w:rPr/>
      </w:pPr>
      <w:r w:rsidDel="00000000" w:rsidR="00000000" w:rsidRPr="00000000">
        <w:rPr>
          <w:rtl w:val="0"/>
        </w:rPr>
        <w:t xml:space="preserve">where </w:t>
      </w:r>
      <w:r w:rsidDel="00000000" w:rsidR="00000000" w:rsidRPr="00000000">
        <w:rPr>
          <w:i w:val="1"/>
          <w:iCs w:val="1"/>
          <w:rtl w:val="0"/>
        </w:rPr>
        <w:t xml:space="preserve">Revenue</w:t>
      </w:r>
      <w:r w:rsidDel="00000000" w:rsidR="00000000" w:rsidRPr="00000000">
        <w:rPr>
          <w:rtl w:val="0"/>
        </w:rPr>
        <w:t xml:space="preserve"> = annual value of energy produced (avoided grid purchases) ($/yr); </w:t>
      </w:r>
      <w:r w:rsidDel="00000000" w:rsidR="00000000" w:rsidRPr="00000000">
        <w:rPr>
          <w:i w:val="1"/>
          <w:iCs w:val="1"/>
          <w:rtl w:val="0"/>
        </w:rPr>
        <w:t xml:space="preserve">P</w:t>
      </w:r>
      <w:r w:rsidDel="00000000" w:rsidR="00000000" w:rsidRPr="00000000">
        <w:rPr>
          <w:i w:val="1"/>
          <w:iCs w:val="1"/>
          <w:vertAlign w:val="subscript"/>
          <w:rtl w:val="0"/>
        </w:rPr>
        <w:t xml:space="preserve">e</w:t>
      </w:r>
      <w:r w:rsidDel="00000000" w:rsidR="00000000" w:rsidRPr="00000000">
        <w:rPr>
          <w:rtl w:val="0"/>
        </w:rPr>
        <w:t xml:space="preserve"> = grid electricity price ($/MWh); </w:t>
      </w:r>
      <w:r w:rsidDel="00000000" w:rsidR="00000000" w:rsidRPr="00000000">
        <w:rPr>
          <w:i w:val="1"/>
          <w:iCs w:val="1"/>
          <w:rtl w:val="0"/>
        </w:rPr>
        <w:t xml:space="preserve">CF</w:t>
      </w:r>
      <w:r w:rsidDel="00000000" w:rsidR="00000000" w:rsidRPr="00000000">
        <w:rPr>
          <w:i w:val="1"/>
          <w:iCs w:val="1"/>
          <w:vertAlign w:val="subscript"/>
          <w:rtl w:val="0"/>
        </w:rPr>
        <w:t xml:space="preserve">t</w:t>
      </w:r>
      <w:r w:rsidDel="00000000" w:rsidR="00000000" w:rsidRPr="00000000">
        <w:rPr>
          <w:rtl w:val="0"/>
        </w:rPr>
        <w:t xml:space="preserve"> = net cash flow in year t ($/yr); </w:t>
      </w:r>
      <w:r w:rsidDel="00000000" w:rsidR="00000000" w:rsidRPr="00000000">
        <w:rPr>
          <w:i w:val="1"/>
          <w:iCs w:val="1"/>
          <w:rtl w:val="0"/>
        </w:rPr>
        <w:t xml:space="preserve">NPV</w:t>
      </w:r>
      <w:r w:rsidDel="00000000" w:rsidR="00000000" w:rsidRPr="00000000">
        <w:rPr>
          <w:rtl w:val="0"/>
        </w:rPr>
        <w:t xml:space="preserve"> = net present value ($); </w:t>
      </w:r>
      <w:r w:rsidDel="00000000" w:rsidR="00000000" w:rsidRPr="00000000">
        <w:rPr>
          <w:i w:val="1"/>
          <w:iCs w:val="1"/>
          <w:rtl w:val="0"/>
        </w:rPr>
        <w:t xml:space="preserve">IRR</w:t>
      </w:r>
      <w:r w:rsidDel="00000000" w:rsidR="00000000" w:rsidRPr="00000000">
        <w:rPr>
          <w:rtl w:val="0"/>
        </w:rPr>
        <w:t xml:space="preserve"> = internal rate of return (%); </w:t>
      </w:r>
      <w:r w:rsidDel="00000000" w:rsidR="00000000" w:rsidRPr="00000000">
        <w:rPr>
          <w:i w:val="1"/>
          <w:iCs w:val="1"/>
          <w:rtl w:val="0"/>
        </w:rPr>
        <w:t xml:space="preserve">r</w:t>
      </w:r>
      <w:r w:rsidDel="00000000" w:rsidR="00000000" w:rsidRPr="00000000">
        <w:rPr>
          <w:rtl w:val="0"/>
        </w:rPr>
        <w:t xml:space="preserve"> = required rate of return, 0.07; </w:t>
      </w:r>
      <w:r w:rsidDel="00000000" w:rsidR="00000000" w:rsidRPr="00000000">
        <w:rPr>
          <w:i w:val="1"/>
          <w:iCs w:val="1"/>
          <w:rtl w:val="0"/>
        </w:rPr>
        <w:t xml:space="preserve">t</w:t>
      </w:r>
      <w:r w:rsidDel="00000000" w:rsidR="00000000" w:rsidRPr="00000000">
        <w:rPr>
          <w:rtl w:val="0"/>
        </w:rPr>
        <w:t xml:space="preserve"> = year (yr); </w:t>
      </w:r>
      <w:r w:rsidDel="00000000" w:rsidR="00000000" w:rsidRPr="00000000">
        <w:rPr>
          <w:i w:val="1"/>
          <w:iCs w:val="1"/>
          <w:rtl w:val="0"/>
        </w:rPr>
        <w:t xml:space="preserve">N</w:t>
      </w:r>
      <w:r w:rsidDel="00000000" w:rsidR="00000000" w:rsidRPr="00000000">
        <w:rPr>
          <w:rtl w:val="0"/>
        </w:rPr>
        <w:t xml:space="preserve"> = project life (yr).</w:t>
      </w:r>
    </w:p>
    <w:p>
      <w:pPr>
        <w:spacing w:after="120" w:before="0"/>
        <w:jc w:val="both"/>
      </w:pPr>
      <w:r>
        <w:t>Revenue = 129,003 MWh × $75 = $9,675,230/yr, and CF</w:t>
      </w:r>
      <w:r>
        <w:rPr>
          <w:vertAlign w:val="subscript"/>
        </w:rPr>
        <w:t>t</w:t>
      </w:r>
      <w:r>
        <w:t xml:space="preserve"> = 9,675,230 − 1,289,600 = </w:t>
      </w:r>
      <w:r>
        <w:rPr>
          <w:b/>
        </w:rPr>
        <w:t>$8,385,630/yr</w:t>
      </w:r>
      <w:r>
        <w:t>. NPV = −56,950,400 + 8,385,630 × Σ 1/(1.07)</w:t>
      </w:r>
      <w:r>
        <w:rPr>
          <w:vertAlign w:val="superscript"/>
        </w:rPr>
        <w:t>t</w:t>
      </w:r>
      <w:r>
        <w:t xml:space="preserve"> = −56,950,400 + 8,385,630 × 11.6536 = </w:t>
      </w:r>
      <w:r>
        <w:rPr>
          <w:b/>
        </w:rPr>
        <w:t>$40.77 M</w:t>
      </w:r>
      <w:r>
        <w:t xml:space="preserve">. Solving Eq. (17) gives </w:t>
      </w:r>
      <w:r>
        <w:rPr>
          <w:b/>
        </w:rPr>
        <w:t>IRR = 14.2%</w:t>
      </w:r>
      <w:r>
        <w:t xml:space="preserve">. Because NPV &gt; 0 and IRR &gt; 7%, the project is </w:t>
      </w:r>
      <w:r>
        <w:rPr>
          <w:b/>
        </w:rPr>
        <w:t>economically viable</w:t>
      </w:r>
      <w:r>
        <w:t xml:space="preserve"> at the required return. This is before any federal tax credits, which were excluded as a conservative assumption.</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0"/>
        <w:gridCol w:w="3000"/>
        <w:gridCol w:w="3000"/>
        <w:tblGridChange w:id="0">
          <w:tblGrid>
            <w:gridCol w:w="3360"/>
            <w:gridCol w:w="3000"/>
            <w:gridCol w:w="30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107">
            <w:pPr>
              <w:rPr/>
            </w:pPr>
            <w:r w:rsidDel="00000000" w:rsidR="00000000" w:rsidRPr="00000000">
              <w:rPr>
                <w:b w:val="1"/>
                <w:bCs w:val="1"/>
                <w:color w:val="000000"/>
                <w:sz w:val="20"/>
                <w:szCs w:val="20"/>
                <w:rtl w:val="0"/>
              </w:rPr>
              <w:t xml:space="preserve">Metric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108">
            <w:pPr>
              <w:rPr/>
            </w:pPr>
            <w:r w:rsidDel="00000000" w:rsidR="00000000" w:rsidRPr="00000000">
              <w:rPr>
                <w:b w:val="1"/>
                <w:bCs w:val="1"/>
                <w:color w:val="000000"/>
                <w:sz w:val="20"/>
                <w:szCs w:val="20"/>
                <w:rtl w:val="0"/>
              </w:rPr>
              <w:t xml:space="preserve">Hand Calculation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109">
            <w:pPr>
              <w:rPr/>
            </w:pPr>
            <w:r w:rsidDel="00000000" w:rsidR="00000000" w:rsidRPr="00000000">
              <w:rPr>
                <w:b w:val="1"/>
                <w:bCs w:val="1"/>
                <w:color w:val="000000"/>
                <w:sz w:val="20"/>
                <w:szCs w:val="20"/>
                <w:rtl w:val="0"/>
              </w:rPr>
              <w:t xml:space="preserve">SAM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0A">
            <w:pPr>
              <w:rPr/>
            </w:pPr>
            <w:r w:rsidDel="00000000" w:rsidR="00000000" w:rsidRPr="00000000">
              <w:rPr>
                <w:sz w:val="20"/>
                <w:szCs w:val="20"/>
                <w:rtl w:val="0"/>
              </w:rPr>
              <w:t xml:space="preserve">LCOE ($/MWh)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0B">
            <w:pPr>
              <w:rPr/>
            </w:pPr>
            <w:r>
              <w:rPr>
                <w:sz w:val="20"/>
              </w:rPr>
              <w:t>47.88</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0C">
            <w:pPr>
              <w:rPr/>
            </w:pPr>
            <w:r>
              <w:rPr>
                <w:sz w:val="20"/>
              </w:rPr>
              <w:t>47.59</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0D">
            <w:pPr>
              <w:rPr/>
            </w:pPr>
            <w:r w:rsidDel="00000000" w:rsidR="00000000" w:rsidRPr="00000000">
              <w:rPr>
                <w:sz w:val="20"/>
                <w:szCs w:val="20"/>
                <w:rtl w:val="0"/>
              </w:rPr>
              <w:t xml:space="preserve">Grid power price ($/MWh)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0E">
            <w:pPr>
              <w:rPr/>
            </w:pPr>
            <w:r>
              <w:rPr>
                <w:sz w:val="20"/>
              </w:rPr>
              <w:t>75.00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0F">
            <w:pPr>
              <w:rPr/>
            </w:pPr>
            <w:r>
              <w:rPr>
                <w:sz w:val="20"/>
              </w:rPr>
              <w:t>75.00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10">
            <w:pPr>
              <w:rPr/>
            </w:pPr>
            <w:r w:rsidDel="00000000" w:rsidR="00000000" w:rsidRPr="00000000">
              <w:rPr>
                <w:sz w:val="20"/>
                <w:szCs w:val="20"/>
                <w:rtl w:val="0"/>
              </w:rPr>
              <w:t xml:space="preserve">NPV at 7%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11">
            <w:pPr>
              <w:rPr/>
            </w:pPr>
            <w:r>
              <w:rPr>
                <w:sz w:val="20"/>
              </w:rPr>
              <w:t>40,772,236</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12">
            <w:pPr>
              <w:rPr/>
            </w:pPr>
            <w:r>
              <w:rPr>
                <w:sz w:val="20"/>
              </w:rPr>
              <w:t>41,450,954</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13">
            <w:pPr>
              <w:rPr/>
            </w:pPr>
            <w:r w:rsidDel="00000000" w:rsidR="00000000" w:rsidRPr="00000000">
              <w:rPr>
                <w:sz w:val="20"/>
                <w:szCs w:val="20"/>
                <w:rtl w:val="0"/>
              </w:rPr>
              <w:t xml:space="preserve">IRR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14">
            <w:pPr>
              <w:rPr/>
            </w:pPr>
            <w:r>
              <w:rPr>
                <w:sz w:val="20"/>
              </w:rPr>
              <w:t>14.2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15">
            <w:pPr>
              <w:rPr/>
            </w:pPr>
            <w:r>
              <w:rPr>
                <w:sz w:val="20"/>
              </w:rPr>
              <w:t>14.3</w:t>
            </w:r>
          </w:p>
        </w:tc>
      </w:tr>
    </w:tbl>
    <w:p w:rsidR="00000000" w:rsidDel="00000000" w:rsidP="00000000" w:rsidRDefault="00000000" w:rsidRPr="00000000" w14:paraId="00000116">
      <w:pPr>
        <w:spacing w:after="200" w:lineRule="auto"/>
        <w:jc w:val="center"/>
        <w:rPr/>
      </w:pPr>
      <w:r w:rsidDel="00000000" w:rsidR="00000000" w:rsidRPr="00000000">
        <w:rPr>
          <w:i w:val="1"/>
          <w:iCs w:val="1"/>
          <w:sz w:val="20"/>
          <w:szCs w:val="20"/>
          <w:rtl w:val="0"/>
        </w:rPr>
        <w:t xml:space="preserve">Table 6-2. Economic results</w:t>
      </w:r>
      <w:r w:rsidDel="00000000" w:rsidR="00000000" w:rsidRPr="00000000">
        <w:rPr>
          <w:rtl w:val="0"/>
        </w:rPr>
      </w:r>
    </w:p>
    <w:p w:rsidR="00000000" w:rsidDel="00000000" w:rsidP="00000000" w:rsidRDefault="00000000" w:rsidRPr="00000000" w14:paraId="00000117">
      <w:pPr>
        <w:pStyle w:val="Heading2"/>
        <w:rPr/>
      </w:pPr>
      <w:r w:rsidDel="00000000" w:rsidR="00000000" w:rsidRPr="00000000">
        <w:rPr>
          <w:rtl w:val="0"/>
        </w:rPr>
        <w:t xml:space="preserve">6.4 SAM Analysis</w:t>
      </w:r>
    </w:p>
    <w:p>
      <w:pPr>
        <w:spacing w:after="120" w:before="0"/>
        <w:jc w:val="both"/>
      </w:pPr>
      <w:r>
        <w:t xml:space="preserve">The Phase 5 analysis was repeated with the SAM Single Owner financial model (PySAM), using the SAM hourly generation from Section 5.5. Inputs were set to match the hand calculation: installed cost $56,950,400, O&amp;M $40.3/kW-yr, 25-year analysis period, 7% real discount rate, 0% inflation, all-equity, no taxes, depreciation, incentives or reserves, and a 7.5 ¢/kWh PPA price representing the avoided grid cost. SAM returns a real LCOE of $47.59/MWh, an NPV of $41.45 M and an after-tax IRR of 14.3% (Table 6-2), within 2% of the hand values. The small differences come from SAM's slightly higher AEP. </w:t>
      </w:r>
      <w:r>
        <w:rPr>
          <w:highlight w:val="yellow"/>
        </w:rPr>
        <w:t>Add the SAM desktop screenshot.</w:t>
      </w:r>
    </w:p>
    <w:p w:rsidR="00000000" w:rsidDel="00000000" w:rsidP="00000000" w:rsidRDefault="00000000" w:rsidRPr="00000000" w14:paraId="00000119">
      <w:pPr>
        <w:pStyle w:val="Heading1"/>
        <w:rPr/>
      </w:pPr>
      <w:r w:rsidDel="00000000" w:rsidR="00000000" w:rsidRPr="00000000">
        <w:rPr>
          <w:rtl w:val="0"/>
        </w:rPr>
        <w:t xml:space="preserve">7. Permitting Checklist and Timeline</w:t>
      </w:r>
    </w:p>
    <w:p>
      <w:pPr>
        <w:spacing w:after="120" w:before="0"/>
        <w:jc w:val="both"/>
      </w:pPr>
      <w:r>
        <w:t>The table below lists the approvals for Site A (Perquimans County, coastal plain, Dominion Energy NC / PJM transmission area). Durations are rough estimates from statute and from the Timbermill and Amazon Wind Farm precedents. The site is in Dominion Energy North Carolina's service area, so the generator interconnection is studied by PJM rather than Duke Energy. Duke Energy's NC generator interconnection procedures (cluster-based studies) are the equivalent process if the data center is moved into Duke territory.</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60"/>
        <w:gridCol w:w="1800"/>
        <w:gridCol w:w="1500"/>
        <w:gridCol w:w="1900"/>
        <w:tblGridChange w:id="0">
          <w:tblGrid>
            <w:gridCol w:w="4160"/>
            <w:gridCol w:w="1800"/>
            <w:gridCol w:w="1500"/>
            <w:gridCol w:w="19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11B">
            <w:pPr>
              <w:rPr/>
            </w:pPr>
            <w:r w:rsidDel="00000000" w:rsidR="00000000" w:rsidRPr="00000000">
              <w:rPr>
                <w:b w:val="1"/>
                <w:bCs w:val="1"/>
                <w:color w:val="000000"/>
                <w:sz w:val="20"/>
                <w:szCs w:val="20"/>
                <w:rtl w:val="0"/>
              </w:rPr>
              <w:t xml:space="preserve">Permit / Approval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11C">
            <w:pPr>
              <w:rPr/>
            </w:pPr>
            <w:r w:rsidDel="00000000" w:rsidR="00000000" w:rsidRPr="00000000">
              <w:rPr>
                <w:b w:val="1"/>
                <w:bCs w:val="1"/>
                <w:color w:val="000000"/>
                <w:sz w:val="20"/>
                <w:szCs w:val="20"/>
                <w:rtl w:val="0"/>
              </w:rPr>
              <w:t xml:space="preserve">Agency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11D">
            <w:pPr>
              <w:rPr/>
            </w:pPr>
            <w:r w:rsidDel="00000000" w:rsidR="00000000" w:rsidRPr="00000000">
              <w:rPr>
                <w:b w:val="1"/>
                <w:bCs w:val="1"/>
                <w:color w:val="000000"/>
                <w:sz w:val="20"/>
                <w:szCs w:val="20"/>
                <w:rtl w:val="0"/>
              </w:rPr>
              <w:t xml:space="preserve">Applies (Y/N)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11E">
            <w:pPr>
              <w:rPr/>
            </w:pPr>
            <w:r w:rsidDel="00000000" w:rsidR="00000000" w:rsidRPr="00000000">
              <w:rPr>
                <w:b w:val="1"/>
                <w:bCs w:val="1"/>
                <w:color w:val="000000"/>
                <w:sz w:val="20"/>
                <w:szCs w:val="20"/>
                <w:rtl w:val="0"/>
              </w:rPr>
              <w:t xml:space="preserve">Est. Duration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1F">
            <w:pPr>
              <w:rPr/>
            </w:pPr>
            <w:r w:rsidDel="00000000" w:rsidR="00000000" w:rsidRPr="00000000">
              <w:rPr>
                <w:sz w:val="20"/>
                <w:szCs w:val="20"/>
                <w:rtl w:val="0"/>
              </w:rPr>
              <w:t xml:space="preserve">FAA Determination of No Hazard (14 CFR Part 77)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20">
            <w:pPr>
              <w:rPr/>
            </w:pPr>
            <w:r w:rsidDel="00000000" w:rsidR="00000000" w:rsidRPr="00000000">
              <w:rPr>
                <w:sz w:val="20"/>
                <w:szCs w:val="20"/>
                <w:rtl w:val="0"/>
              </w:rPr>
              <w:t xml:space="preserve">FAA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21">
            <w:pPr>
              <w:jc w:val="center"/>
              <w:rPr/>
            </w:pPr>
            <w:r>
              <w:rPr>
                <w:sz w:val="20"/>
              </w:rPr>
              <w:t>Y</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22">
            <w:pPr>
              <w:rPr/>
            </w:pPr>
            <w:r>
              <w:rPr>
                <w:sz w:val="20"/>
              </w:rPr>
              <w:t>3 to 6 months (file 7460-1 per turbine; DoD Clearinghouse review in parallel)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23">
            <w:pPr>
              <w:rPr/>
            </w:pPr>
            <w:r w:rsidDel="00000000" w:rsidR="00000000" w:rsidRPr="00000000">
              <w:rPr>
                <w:sz w:val="20"/>
                <w:szCs w:val="20"/>
                <w:rtl w:val="0"/>
              </w:rPr>
              <w:t xml:space="preserve">Mountain Ridge Protection Act (NCGS 113A, Art. 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24">
            <w:pPr>
              <w:rPr/>
            </w:pPr>
            <w:r w:rsidDel="00000000" w:rsidR="00000000" w:rsidRPr="00000000">
              <w:rPr>
                <w:sz w:val="20"/>
                <w:szCs w:val="20"/>
                <w:rtl w:val="0"/>
              </w:rPr>
              <w:t xml:space="preserve">County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25">
            <w:pPr>
              <w:jc w:val="center"/>
              <w:rPr/>
            </w:pPr>
            <w:r>
              <w:rPr>
                <w:sz w:val="20"/>
              </w:rPr>
              <w:t>N</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26">
            <w:pPr>
              <w:rPr/>
            </w:pPr>
            <w:r>
              <w:rPr>
                <w:sz w:val="20"/>
              </w:rPr>
              <w:t>n/a: coastal plain, ground about 10 m; protected ridges are ≥ 3,000 ft in the mountain counties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27">
            <w:pPr>
              <w:rPr/>
            </w:pPr>
            <w:r w:rsidDel="00000000" w:rsidR="00000000" w:rsidRPr="00000000">
              <w:rPr>
                <w:sz w:val="20"/>
                <w:szCs w:val="20"/>
                <w:rtl w:val="0"/>
              </w:rPr>
              <w:t xml:space="preserve">Coastal wind energy facility permit (NCGS 143-215.115 to .121)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28">
            <w:pPr>
              <w:rPr/>
            </w:pPr>
            <w:r>
              <w:rPr>
                <w:sz w:val="20"/>
              </w:rPr>
              <w:t>NCDEQ (DEMLR)</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29">
            <w:pPr>
              <w:jc w:val="center"/>
              <w:rPr/>
            </w:pPr>
            <w:r>
              <w:rPr>
                <w:sz w:val="20"/>
              </w:rPr>
              <w:t>Y</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2A">
            <w:pPr>
              <w:rPr/>
            </w:pPr>
            <w:r>
              <w:rPr>
                <w:sz w:val="20"/>
              </w:rPr>
              <w:t>12 to 18 months (pre-application meeting ≥ 180 days before filing; Timbermill: application May 2022, permit Mar 2023)</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2B">
            <w:pPr>
              <w:rPr/>
            </w:pPr>
            <w:r w:rsidDel="00000000" w:rsidR="00000000" w:rsidRPr="00000000">
              <w:rPr>
                <w:sz w:val="20"/>
                <w:szCs w:val="20"/>
                <w:rtl w:val="0"/>
              </w:rPr>
              <w:t xml:space="preserve">County zoning / conditional use permit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2C">
            <w:pPr>
              <w:rPr/>
            </w:pPr>
            <w:r>
              <w:rPr>
                <w:sz w:val="20"/>
              </w:rPr>
              <w:t>Perquimans County</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2D">
            <w:pPr>
              <w:jc w:val="center"/>
              <w:rPr/>
            </w:pPr>
            <w:r>
              <w:rPr>
                <w:sz w:val="20"/>
              </w:rPr>
              <w:t>Y</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2E">
            <w:pPr>
              <w:rPr/>
            </w:pPr>
            <w:r>
              <w:rPr>
                <w:sz w:val="20"/>
              </w:rPr>
              <w:t>4 to 9 months (quasi-judicial CUP hearing; 2.5 × height setbacks, 600 ft cap. Note the 2016 Timbermill denial.)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2F">
            <w:pPr>
              <w:rPr/>
            </w:pPr>
            <w:r w:rsidDel="00000000" w:rsidR="00000000" w:rsidRPr="00000000">
              <w:rPr>
                <w:sz w:val="20"/>
                <w:szCs w:val="20"/>
                <w:rtl w:val="0"/>
              </w:rPr>
              <w:t xml:space="preserve">Generator interconnection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30">
            <w:pPr>
              <w:rPr/>
            </w:pPr>
            <w:r>
              <w:rPr>
                <w:sz w:val="20"/>
              </w:rPr>
              <w:t>Dominion Energy NC / PJM (Duke procedures for reference)</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31">
            <w:pPr>
              <w:jc w:val="center"/>
              <w:rPr/>
            </w:pPr>
            <w:r>
              <w:rPr>
                <w:sz w:val="20"/>
              </w:rPr>
              <w:t>Y</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32">
            <w:pPr>
              <w:rPr/>
            </w:pPr>
            <w:r>
              <w:rPr>
                <w:sz w:val="20"/>
              </w:rPr>
              <w:t>2 to 4 years (PJM cycle study and interconnection agreement; critical path)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2F">
            <w:pPr>
              <w:rPr/>
            </w:pPr>
            <w:r>
              <w:rPr>
                <w:sz w:val="20"/>
              </w:rPr>
              <w:t>USFWS technical assistance (bats, eagles); eagle take permit if needed</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30">
            <w:pPr>
              <w:rPr/>
            </w:pPr>
            <w:r>
              <w:rPr>
                <w:sz w:val="20"/>
              </w:rPr>
              <w:t>USFWS</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31">
            <w:pPr>
              <w:jc w:val="center"/>
              <w:rPr/>
            </w:pPr>
            <w:r>
              <w:rPr>
                <w:sz w:val="20"/>
              </w:rPr>
              <w:t>Y</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32">
            <w:pPr>
              <w:rPr/>
            </w:pPr>
            <w:r>
              <w:rPr>
                <w:sz w:val="20"/>
              </w:rPr>
              <w:t>6 to 12 months, including 1 to 2 seasons of bat and eagle surveys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2F">
            <w:pPr>
              <w:rPr/>
            </w:pPr>
            <w:r>
              <w:rPr>
                <w:sz w:val="20"/>
              </w:rPr>
              <w:t>USACE Sec. 404 / NCDEQ 401, stormwater and erosion control</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30">
            <w:pPr>
              <w:rPr/>
            </w:pPr>
            <w:r>
              <w:rPr>
                <w:sz w:val="20"/>
              </w:rPr>
              <w:t>USACE / NCDEQ</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31">
            <w:pPr>
              <w:jc w:val="center"/>
              <w:rPr/>
            </w:pPr>
            <w:r>
              <w:rPr>
                <w:sz w:val="20"/>
              </w:rPr>
              <w:t>Y</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32">
            <w:pPr>
              <w:rPr/>
            </w:pPr>
            <w:r>
              <w:rPr>
                <w:sz w:val="20"/>
              </w:rPr>
              <w:t>3 to 6 months (minimal; wetlands avoided)</w:t>
            </w:r>
          </w:p>
        </w:tc>
      </w:tr>
    </w:tbl>
    <w:p w:rsidR="00000000" w:rsidDel="00000000" w:rsidP="00000000" w:rsidRDefault="00000000" w:rsidRPr="00000000" w14:paraId="00000133">
      <w:pPr>
        <w:spacing w:after="200" w:lineRule="auto"/>
        <w:jc w:val="center"/>
        <w:rPr/>
      </w:pPr>
      <w:r w:rsidDel="00000000" w:rsidR="00000000" w:rsidRPr="00000000">
        <w:rPr>
          <w:i w:val="1"/>
          <w:iCs w:val="1"/>
          <w:sz w:val="20"/>
          <w:szCs w:val="20"/>
          <w:rtl w:val="0"/>
        </w:rPr>
        <w:t xml:space="preserve">Table 7-1. Permitting checklist</w:t>
      </w:r>
      <w:r w:rsidDel="00000000" w:rsidR="00000000" w:rsidRPr="00000000">
        <w:rPr>
          <w:rtl w:val="0"/>
        </w:rPr>
      </w:r>
    </w:p>
    <w:p>
      <w:pPr>
        <w:spacing w:after="120" w:before="0"/>
        <w:jc w:val="both"/>
      </w:pPr>
      <w:r>
        <w:t xml:space="preserve">With the environmental surveys and FAA filings run in parallel with the county and state permits, all non-utility approvals take about 18 to 24 months. Interconnection (2 to 4 years) is the critical path, so the earliest commercial operation is about 3 to 4 years after the interconnection request is filed. </w:t>
      </w:r>
      <w:r>
        <w:rPr>
          <w:highlight w:val="yellow"/>
        </w:rPr>
        <w:t>Verify the current Perquimans County wind ordinance (setbacks, height, noise and shadow-flicker limits) and cite it.</w:t>
      </w:r>
    </w:p>
    <w:p w:rsidR="00000000" w:rsidDel="00000000" w:rsidP="00000000" w:rsidRDefault="00000000" w:rsidRPr="00000000" w14:paraId="00000134">
      <w:pPr>
        <w:pStyle w:val="Heading1"/>
        <w:rPr/>
      </w:pPr>
      <w:r w:rsidDel="00000000" w:rsidR="00000000" w:rsidRPr="00000000">
        <w:rPr>
          <w:rtl w:val="0"/>
        </w:rPr>
        <w:t xml:space="preserve">8. Site Plan and Single-Line Diagram</w:t>
      </w:r>
    </w:p>
    <w:p w:rsidR="00000000" w:rsidDel="00000000" w:rsidP="00000000" w:rsidRDefault="00000000" w:rsidRPr="00000000" w14:paraId="00000135">
      <w:pPr>
        <w:pStyle w:val="Heading2"/>
        <w:rPr/>
      </w:pPr>
      <w:r w:rsidDel="00000000" w:rsidR="00000000" w:rsidRPr="00000000">
        <w:rPr>
          <w:rtl w:val="0"/>
        </w:rPr>
        <w:t xml:space="preserve">8.1 Site Plan</w:t>
      </w:r>
    </w:p>
    <w:p>
      <w:pPr>
        <w:spacing w:after="120" w:before="0"/>
        <w:jc w:val="both"/>
      </w:pPr>
      <w:r>
        <w:t>Figure 8-1 shows the 16 turbine locations on the land-cover base map, together with mapped structures and roads. The 34.5 kV underground collection circuits (about 23 km) run one per row along new gravel access roads to the project substation at 36.1571° N, 76.4688° W. A 2.8 km 230 kV gen-tie connects the project substation to the point of interconnection at Dominion's South Hertford 230 kV substation. The data center is sited next to the project substation. Each turbine is at least 375 m from any structure and outside mapped wetlands.</w:t>
      </w:r>
    </w:p>
    <w:p w:rsidR="00000000" w:rsidDel="00000000" w:rsidP="00000000" w:rsidRDefault="00000000" w:rsidRPr="00000000" w14:paraId="00000137">
      <w:pPr>
        <w:keepNext/>
        <w:spacing w:before="0" w:lineRule="auto"/>
        <w:jc w:val="center"/>
        <w:rPr/>
      </w:pPr>
      <w:r w:rsidDel="00000000" w:rsidR="00000000" w:rsidRPr="00000000">
        <w:rPr>
          <w:rtl w:val="0"/>
        </w:rPr>
      </w:r>
      <w:r>
        <w:drawing>
          <wp:inline>
            <wp:extent cx="5760720" cy="5102352"/>
            <wp:docPr id="10" name="Picture 10"/>
            <wp:cNvGraphicFramePr>
              <a:graphicFrameLocks noChangeAspect="1"/>
            </wp:cNvGraphicFramePr>
            <a:graphic>
              <a:graphicData uri="http://schemas.openxmlformats.org/drawingml/2006/picture">
                <pic:pic>
                  <pic:nvPicPr>
                    <pic:cNvPr id="0" name="fig_siteplan.png"/>
                    <pic:cNvPicPr/>
                  </pic:nvPicPr>
                  <pic:blipFill>
                    <a:blip r:embed="rId17"/>
                    <a:stretch>
                      <a:fillRect/>
                    </a:stretch>
                  </pic:blipFill>
                  <pic:spPr>
                    <a:xfrm>
                      <a:off x="0" y="0"/>
                      <a:ext cx="5760720" cy="5102352"/>
                    </a:xfrm>
                    <a:prstGeom prst="rect"/>
                  </pic:spPr>
                </pic:pic>
              </a:graphicData>
            </a:graphic>
          </wp:inline>
        </w:drawing>
      </w:r>
    </w:p>
    <w:p w:rsidR="00000000" w:rsidDel="00000000" w:rsidP="00000000" w:rsidRDefault="00000000" w:rsidRPr="00000000" w14:paraId="00000138">
      <w:pPr>
        <w:spacing w:after="200" w:lineRule="auto"/>
        <w:jc w:val="center"/>
        <w:rPr/>
      </w:pPr>
      <w:r w:rsidDel="00000000" w:rsidR="00000000" w:rsidRPr="00000000">
        <w:rPr>
          <w:i w:val="1"/>
          <w:iCs w:val="1"/>
          <w:sz w:val="20"/>
          <w:szCs w:val="20"/>
          <w:rtl w:val="0"/>
        </w:rPr>
        <w:t xml:space="preserve">Figure 8-1. Site plan</w:t>
      </w:r>
      <w:r w:rsidDel="00000000" w:rsidR="00000000" w:rsidRPr="00000000">
        <w:rPr>
          <w:rtl w:val="0"/>
        </w:rPr>
      </w:r>
    </w:p>
    <w:p w:rsidR="00000000" w:rsidDel="00000000" w:rsidP="00000000" w:rsidRDefault="00000000" w:rsidRPr="00000000" w14:paraId="00000139">
      <w:pPr>
        <w:pStyle w:val="Heading2"/>
        <w:rPr/>
      </w:pPr>
      <w:r w:rsidDel="00000000" w:rsidR="00000000" w:rsidRPr="00000000">
        <w:rPr>
          <w:rtl w:val="0"/>
        </w:rPr>
        <w:t xml:space="preserve">8.2 Single-Line Electrical Diagram</w:t>
      </w:r>
    </w:p>
    <w:p>
      <w:pPr>
        <w:spacing w:after="120" w:before="0"/>
        <w:jc w:val="both"/>
      </w:pPr>
      <w:r>
        <w:t>Each V110-2.0 doubly fed induction generator (690 V) feeds a 2.3 MVA pad-mount step-up transformer (0.69/34.5 kV) at the tower base. The turbines in each row are daisy-chained on a 34.5 kV underground feeder (5 feeders, 2 to 14 MW each) to feeder breakers on the project 34.5 kV collector bus. A 34.5/230 kV, 40 MVA main power transformer with 34.5 kV and 230 kV breakers feeds the 230 kV project bus, which also supplies the data center through a 230/34.5 kV, 20 MVA transformer. Bidirectional revenue metering at the POI measures the net exchange (import up to 14 MW, export up to 18 MW) on the 230 kV gen-tie to the Dominion South Hertford substation.</w:t>
      </w:r>
    </w:p>
    <w:p w:rsidR="00000000" w:rsidDel="00000000" w:rsidP="00000000" w:rsidRDefault="00000000" w:rsidRPr="00000000" w14:paraId="0000013B">
      <w:pPr>
        <w:keepNext/>
        <w:spacing w:before="0" w:lineRule="auto"/>
        <w:jc w:val="center"/>
        <w:rPr/>
      </w:pPr>
      <w:r w:rsidDel="00000000" w:rsidR="00000000" w:rsidRPr="00000000">
        <w:rPr>
          <w:rtl w:val="0"/>
        </w:rPr>
      </w:r>
      <w:r>
        <w:drawing>
          <wp:inline>
            <wp:extent cx="5120640" cy="6116320"/>
            <wp:docPr id="11" name="Picture 11"/>
            <wp:cNvGraphicFramePr>
              <a:graphicFrameLocks noChangeAspect="1"/>
            </wp:cNvGraphicFramePr>
            <a:graphic>
              <a:graphicData uri="http://schemas.openxmlformats.org/drawingml/2006/picture">
                <pic:pic>
                  <pic:nvPicPr>
                    <pic:cNvPr id="0" name="fig_sld.png"/>
                    <pic:cNvPicPr/>
                  </pic:nvPicPr>
                  <pic:blipFill>
                    <a:blip r:embed="rId18"/>
                    <a:stretch>
                      <a:fillRect/>
                    </a:stretch>
                  </pic:blipFill>
                  <pic:spPr>
                    <a:xfrm>
                      <a:off x="0" y="0"/>
                      <a:ext cx="5120640" cy="6116320"/>
                    </a:xfrm>
                    <a:prstGeom prst="rect"/>
                  </pic:spPr>
                </pic:pic>
              </a:graphicData>
            </a:graphic>
          </wp:inline>
        </w:drawing>
      </w:r>
    </w:p>
    <w:p w:rsidR="00000000" w:rsidDel="00000000" w:rsidP="00000000" w:rsidRDefault="00000000" w:rsidRPr="00000000" w14:paraId="0000013C">
      <w:pPr>
        <w:spacing w:after="200" w:lineRule="auto"/>
        <w:jc w:val="center"/>
        <w:rPr/>
      </w:pPr>
      <w:r w:rsidDel="00000000" w:rsidR="00000000" w:rsidRPr="00000000">
        <w:rPr>
          <w:i w:val="1"/>
          <w:iCs w:val="1"/>
          <w:sz w:val="20"/>
          <w:szCs w:val="20"/>
          <w:rtl w:val="0"/>
        </w:rPr>
        <w:t xml:space="preserve">Figure 8-2. Single-line diagram</w:t>
      </w:r>
      <w:r w:rsidDel="00000000" w:rsidR="00000000" w:rsidRPr="00000000">
        <w:rPr>
          <w:rtl w:val="0"/>
        </w:rPr>
      </w:r>
    </w:p>
    <w:p w:rsidR="00000000" w:rsidDel="00000000" w:rsidP="00000000" w:rsidRDefault="00000000" w:rsidRPr="00000000" w14:paraId="0000013D">
      <w:pPr>
        <w:pStyle w:val="Heading1"/>
        <w:rPr/>
      </w:pPr>
      <w:r w:rsidDel="00000000" w:rsidR="00000000" w:rsidRPr="00000000">
        <w:rPr>
          <w:rtl w:val="0"/>
        </w:rPr>
        <w:t xml:space="preserve">References</w:t>
      </w:r>
    </w:p>
    <w:p>
      <w:pPr>
        <w:spacing w:after="60" w:before="0"/>
        <w:ind w:left="504" w:hanging="504"/>
      </w:pPr>
      <w:r>
        <w:rPr>
          <w:sz w:val="20"/>
        </w:rPr>
        <w:t xml:space="preserve">[1] Draxl, C., Hodge, B.-M., Clifton, A., &amp; McCaa, J. (2015). The Wind Integration National Dataset (WIND) Toolkit. </w:t>
      </w:r>
      <w:r>
        <w:rPr>
          <w:i/>
          <w:sz w:val="20"/>
        </w:rPr>
        <w:t>Applied Energy</w:t>
      </w:r>
      <w:r>
        <w:rPr>
          <w:sz w:val="20"/>
        </w:rPr>
        <w:t>, 151, 355–366. Data: NLR WIND Toolkit CONUS v1.0.0/v1.1.0, s3://nrel-pds-wtk (AWS Open Data).</w:t>
      </w:r>
    </w:p>
    <w:p>
      <w:pPr>
        <w:spacing w:after="60" w:before="0"/>
        <w:ind w:left="504" w:hanging="504"/>
      </w:pPr>
      <w:r>
        <w:rPr>
          <w:sz w:val="20"/>
        </w:rPr>
        <w:t>[2] National Laboratory of the Rockies (NLR). System Advisor Model (SAM), Wind Power and Single Owner models; PySAM 7.1.1. https://sam.nlr.gov</w:t>
      </w:r>
    </w:p>
    <w:p>
      <w:pPr>
        <w:spacing w:after="60" w:before="0"/>
        <w:ind w:left="504" w:hanging="504"/>
      </w:pPr>
      <w:r>
        <w:rPr>
          <w:sz w:val="20"/>
        </w:rPr>
        <w:t>[3] NLR. (2025). Annual Technology Baseline 2025, Electricity: Land-Based Wind (ATBe.csv v1.0.0). https://atb.nlr.gov</w:t>
      </w:r>
    </w:p>
    <w:p>
      <w:pPr>
        <w:spacing w:after="60" w:before="0"/>
        <w:ind w:left="504" w:hanging="504"/>
      </w:pPr>
      <w:r>
        <w:rPr>
          <w:sz w:val="20"/>
        </w:rPr>
        <w:t>[4] Wiser, R., Bolinger, M., et al. (2024). Land-Based Wind Market Report: 2024 Edition. Lawrence Berkeley National Laboratory. https://emp.lbl.gov/wind-technologies-market-report</w:t>
      </w:r>
    </w:p>
    <w:p>
      <w:pPr>
        <w:spacing w:after="60" w:before="0"/>
        <w:ind w:left="504" w:hanging="504"/>
      </w:pPr>
      <w:r>
        <w:rPr>
          <w:sz w:val="20"/>
        </w:rPr>
        <w:t xml:space="preserve">[5] Vestas Wind Systems A/S. V110-2.0 MW product datasheet; power curve from the SAM turbine library ("Vestas V110-2.0"). </w:t>
      </w:r>
      <w:r>
        <w:rPr>
          <w:sz w:val="20"/>
          <w:highlight w:val="yellow"/>
        </w:rPr>
        <w:t>add datasheet URL/date</w:t>
      </w:r>
    </w:p>
    <w:p>
      <w:pPr>
        <w:spacing w:after="60" w:before="0"/>
        <w:ind w:left="504" w:hanging="504"/>
      </w:pPr>
      <w:r>
        <w:rPr>
          <w:sz w:val="20"/>
        </w:rPr>
        <w:t>[6] IEC 61400-1 Ed. 4 (2019). Wind energy generation systems – Part 1: Design requirements. International Electrotechnical Commission.</w:t>
      </w:r>
    </w:p>
    <w:p>
      <w:pPr>
        <w:spacing w:after="60" w:before="0"/>
        <w:ind w:left="504" w:hanging="504"/>
      </w:pPr>
      <w:r>
        <w:rPr>
          <w:sz w:val="20"/>
        </w:rPr>
        <w:t>[7] IEC 61400-12-1 (2022). Power performance measurements of electricity producing wind turbines.</w:t>
      </w:r>
    </w:p>
    <w:p>
      <w:pPr>
        <w:spacing w:after="60" w:before="0"/>
        <w:ind w:left="504" w:hanging="504"/>
      </w:pPr>
      <w:r>
        <w:rPr>
          <w:sz w:val="20"/>
        </w:rPr>
        <w:t>[8] 14 CFR Part 77, Safe, Efficient Use, and Preservation of the Navigable Airspace; FAA OE/AAA Notice Criteria Tool, https://oeaaa.faa.gov</w:t>
      </w:r>
    </w:p>
    <w:p>
      <w:pPr>
        <w:spacing w:after="60" w:before="0"/>
        <w:ind w:left="504" w:hanging="504"/>
      </w:pPr>
      <w:r>
        <w:rPr>
          <w:sz w:val="20"/>
        </w:rPr>
        <w:t>[9] U.S. Geological Survey. National Land Cover Database and PAD-US Data Explorer, https:</w:t>
      </w:r>
      <w:r>
        <w:rPr>
          <w:i/>
          <w:sz w:val="20"/>
        </w:rPr>
        <w:t>www.mrlc.gov, https:</w:t>
      </w:r>
      <w:r>
        <w:rPr>
          <w:sz w:val="20"/>
        </w:rPr>
        <w:t>maps.usgs.gov/padusdataexplorer/; Zanaga, D. et al. (2022). ESA WorldCover 10 m 2021 v200.</w:t>
      </w:r>
    </w:p>
    <w:p>
      <w:pPr>
        <w:spacing w:after="60" w:before="0"/>
        <w:ind w:left="504" w:hanging="504"/>
      </w:pPr>
      <w:r>
        <w:rPr>
          <w:sz w:val="20"/>
        </w:rPr>
        <w:t>[10] U.S. Fish and Wildlife Service. Information for Planning and Consultation (IPaC), https://ipac.ecosphere.fws.gov; Land-Based Wind Energy Voluntary Avoidance / Technical Assistance for the Northern Long-Eared Bat (2023).</w:t>
      </w:r>
    </w:p>
    <w:p>
      <w:pPr>
        <w:spacing w:after="60" w:before="0"/>
        <w:ind w:left="504" w:hanging="504"/>
      </w:pPr>
      <w:r>
        <w:rPr>
          <w:sz w:val="20"/>
        </w:rPr>
        <w:t>[11] North Carolina Natural Heritage Program. NCNHP Data Explorer, https://ncnhp.org</w:t>
      </w:r>
    </w:p>
    <w:p>
      <w:pPr>
        <w:spacing w:after="60" w:before="0"/>
        <w:ind w:left="504" w:hanging="504"/>
      </w:pPr>
      <w:r>
        <w:rPr>
          <w:sz w:val="20"/>
        </w:rPr>
        <w:t>[12] Overture Maps Foundation (2026). Overture Maps release 2026-10-21.0 (buildings, infrastructure, land, land use, transportation; includes OpenStreetMap data, ODbL).</w:t>
      </w:r>
    </w:p>
    <w:p>
      <w:pPr>
        <w:spacing w:after="60" w:before="0"/>
        <w:ind w:left="504" w:hanging="504"/>
      </w:pPr>
      <w:r>
        <w:rPr>
          <w:sz w:val="20"/>
        </w:rPr>
        <w:t>[13] European Space Agency. Copernicus DEM GLO-30, s3://copernicus-dem-30m.</w:t>
      </w:r>
    </w:p>
    <w:p>
      <w:pPr>
        <w:spacing w:after="60" w:before="0"/>
        <w:ind w:left="504" w:hanging="504"/>
      </w:pPr>
      <w:r>
        <w:rPr>
          <w:sz w:val="20"/>
        </w:rPr>
        <w:t>[14] N.C. Gen. Stat. Chapter 113A, Article 14 (Mountain Ridge Protection Act of 1983).</w:t>
      </w:r>
    </w:p>
    <w:p>
      <w:pPr>
        <w:spacing w:after="60" w:before="0"/>
        <w:ind w:left="504" w:hanging="504"/>
      </w:pPr>
      <w:r>
        <w:rPr>
          <w:sz w:val="20"/>
        </w:rPr>
        <w:t>[15] N.C. Gen. Stat. §§ 143-215.115 to 143-215.126 (Permitting of Wind Energy Facilities); NCDEQ DEMLR Onshore Wind Energy Program.</w:t>
      </w:r>
    </w:p>
    <w:p>
      <w:pPr>
        <w:spacing w:after="60" w:before="0"/>
        <w:ind w:left="504" w:hanging="504"/>
      </w:pPr>
      <w:r>
        <w:rPr>
          <w:sz w:val="20"/>
        </w:rPr>
        <w:t xml:space="preserve">[16] Perquimans County, NC. Zoning Ordinance, Wind Energy Facilities. </w:t>
      </w:r>
      <w:r>
        <w:rPr>
          <w:sz w:val="20"/>
          <w:highlight w:val="yellow"/>
        </w:rPr>
        <w:t>add ordinance citation</w:t>
      </w:r>
      <w:r>
        <w:rPr>
          <w:sz w:val="20"/>
        </w:rPr>
        <w:t>; Ashe County Wind Energy System Ordinance (OpenEI) as reference.</w:t>
      </w:r>
    </w:p>
    <w:p>
      <w:pPr>
        <w:spacing w:after="60" w:before="0"/>
        <w:ind w:left="504" w:hanging="504"/>
      </w:pPr>
      <w:r>
        <w:rPr>
          <w:sz w:val="20"/>
        </w:rPr>
        <w:t>[17] NC Wind Working Group (2008). Model Wind Ordinance for Wind Energy Facilities in North Carolina.</w:t>
      </w:r>
    </w:p>
    <w:p>
      <w:pPr>
        <w:spacing w:after="60" w:before="0"/>
        <w:ind w:left="504" w:hanging="504"/>
      </w:pPr>
      <w:r>
        <w:rPr>
          <w:sz w:val="20"/>
        </w:rPr>
        <w:t>[18] Duke Energy Carolinas / Duke Energy Progress. North Carolina Interconnection Procedures (generator interconnection). https://www.duke-energy.com; PJM Interconnection, Manual 14H (cycle process).</w:t>
      </w:r>
    </w:p>
    <w:p>
      <w:pPr>
        <w:spacing w:after="60" w:before="0"/>
        <w:ind w:left="504" w:hanging="504"/>
      </w:pPr>
      <w:r>
        <w:rPr>
          <w:sz w:val="20"/>
        </w:rPr>
        <w:t>[19] U.S. Energy Information Administration. Electric Power Monthly, Table 5.6.A, Average Price of Electricity to Ultimate Customers by End-Use Sector, by State.</w:t>
      </w:r>
    </w:p>
    <w:p>
      <w:pPr>
        <w:spacing w:after="60" w:before="0"/>
        <w:ind w:left="504" w:hanging="504"/>
      </w:pPr>
      <w:r>
        <w:rPr>
          <w:sz w:val="20"/>
        </w:rPr>
        <w:t>[20] NC DEQ (2023, Mar. 14). DEQ approves permit for onshore wind facility in North Carolina (Timbermill Wind). Coastal Review (2016, Nov.). Perquimans board denies wind farm permit.</w:t>
      </w:r>
    </w:p>
    <w:p>
      <w:pPr>
        <w:spacing w:after="60" w:before="0"/>
        <w:ind w:left="504" w:hanging="504"/>
      </w:pPr>
      <w:r>
        <w:rPr>
          <w:sz w:val="20"/>
        </w:rPr>
        <w:t>[21] Carolina Journal / U.S. DOE (2014 to 2017). Amazon Wind Farm US East and the Navy ROTHR mitigation agreement; MIT Lincoln Laboratory ROTHR wind study (2012).</w:t>
      </w:r>
    </w:p>
    <w:p>
      <w:pPr>
        <w:spacing w:after="60" w:before="0"/>
        <w:ind w:left="504" w:hanging="504"/>
      </w:pPr>
      <w:r>
        <w:rPr>
          <w:sz w:val="20"/>
        </w:rPr>
        <w:t>[22] ASHRAE TC 9.9, Thermal Guidelines for Data Processing Environments; Uptime Institute Tier Standard; LBNL (2024) United States Data Center Energy Usage Report.</w:t>
      </w:r>
    </w:p>
    <w:sectPr>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F">
    <w:pPr>
      <w:jc w:val="center"/>
      <w:rPr/>
    </w:pPr>
    <w:r w:rsidDel="00000000" w:rsidR="00000000" w:rsidRPr="00000000">
      <w:rPr>
        <w:sz w:val="18"/>
        <w:szCs w:val="18"/>
        <w:rtl w:val="0"/>
      </w:rPr>
      <w:t xml:space="preserve">Wind Farm Design Project  |  Page </w:t>
    </w: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Calibri" w:cs="Calibri" w:eastAsia="Calibri" w:hAnsi="Calibri"/>
      <w:b w:val="1"/>
      <w:bCs w:val="1"/>
      <w:i w:val="0"/>
      <w:iCs w:val="0"/>
      <w:smallCaps w:val="0"/>
      <w:strike w:val="0"/>
      <w:color w:val="000000"/>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Calibri" w:cs="Calibri" w:eastAsia="Calibri" w:hAnsi="Calibri"/>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Calibri" w:cs="Calibri" w:eastAsia="Calibri" w:hAnsi="Calibri"/>
      <w:b w:val="1"/>
      <w:bCs w:val="1"/>
      <w:i w:val="0"/>
      <w:iCs w:val="0"/>
      <w:smallCaps w:val="0"/>
      <w:strike w:val="0"/>
      <w:color w:val="000000"/>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Guide">
    <w:name w:val="Guide"/>
    <w:basedOn w:val="Normal"/>
    <w:qFormat w:val="1"/>
    <w:pPr>
      <w:spacing w:after="120"/>
    </w:pPr>
    <w:rPr>
      <w:i w:val="1"/>
      <w:iCs w:val="1"/>
      <w:color w:val="7f7f7f"/>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AABFB/tISH4mMyoLvsm06/uwyw==">CgMxLjA4AHIhMUhMVUJQSnU2eHVkRGhYb1hONXNwN1Y5WGRNS2pDZE1M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2026-10-10T01:01:58.457Z</dcterms:created>
  <dc:creator>David Salisbury</dc:creator>
</cp:coreProperties>
</file>

<file path=docProps/custom.xml><?xml version="1.0" encoding="utf-8"?>
<Properties xmlns="http://schemas.openxmlformats.org/officeDocument/2006/custom-properties" xmlns:vt="http://schemas.openxmlformats.org/officeDocument/2006/docPropsVTypes"/>
</file>