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232"/>
            <w:shd w:val="clear" w:fill="D9D9D9"/>
          </w:tcPr>
          <w:p>
            <w:r>
              <w:rPr>
                <w:b/>
                <w:sz w:val="18"/>
              </w:rPr>
              <w:t>Species</w:t>
            </w:r>
          </w:p>
        </w:tc>
        <w:tc>
          <w:tcPr>
            <w:tcW w:type="dxa" w:w="1800"/>
            <w:shd w:val="clear" w:fill="D9D9D9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type="dxa" w:w="3816"/>
            <w:shd w:val="clear" w:fill="D9D9D9"/>
          </w:tcPr>
          <w:p>
            <w:r>
              <w:rPr>
                <w:b/>
                <w:sz w:val="18"/>
              </w:rPr>
              <w:t>Relevance to a wind project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Northern long-eared bat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Endangered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High: turbine collision risk; seasonal curtailment likely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Tricolored bat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Proposed endangered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High: turbine collision risk; seasonal curtailment likely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Bald eagle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Protected (BGEPA)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Moderate: collision risk; nest survey, possible eagle take permit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Rufa red knot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Threatened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Low–moderate: migratory shorebird passing through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Eastern black rail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Threatened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Low–moderate: marsh habitat disturbance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Piping plover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Threatened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Low: beach-nesting, coastal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Red-cockaded woodpecker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Threatened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Low: avoid clearing mature pine stands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Red wolf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Endangered (experimental population)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Low: construction disturbance only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Monarch butterfly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Proposed threatened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Low: habitat only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West Indian manatee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Threatened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None: aquatic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Hawksbill / green sea turtles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Endangered / Threatened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None: marine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American alligator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Similarity of appearance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✓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Designated critical habitat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None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No critical habitat at any site</w:t>
            </w:r>
          </w:p>
        </w:tc>
      </w:tr>
      <w:tr>
        <w:tc>
          <w:tcPr>
            <w:tcW w:type="dxa" w:w="2232"/>
          </w:tcPr>
          <w:p>
            <w:r>
              <w:rPr>
                <w:sz w:val="18"/>
              </w:rPr>
              <w:t>Migratory birds of conservation concern</w:t>
            </w:r>
          </w:p>
        </w:tc>
        <w:tc>
          <w:tcPr>
            <w:tcW w:type="dxa" w:w="180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3816"/>
          </w:tcPr>
          <w:p>
            <w:r>
              <w:rPr>
                <w:sz w:val="18"/>
              </w:rPr>
              <w:t>Site C adds coastal and water birds (loons, terns, gulls, pelicans)</w:t>
            </w:r>
          </w:p>
        </w:tc>
      </w:tr>
      <w:tr>
        <w:tc>
          <w:tcPr>
            <w:tcW w:type="dxa" w:w="2232"/>
            <w:shd w:val="clear" w:fill="D9D9D9"/>
          </w:tcPr>
          <w:p>
            <w:r>
              <w:rPr>
                <w:b/>
                <w:sz w:val="18"/>
              </w:rPr>
              <w:t>Overall wildlife risk</w:t>
            </w:r>
          </w:p>
        </w:tc>
        <w:tc>
          <w:tcPr>
            <w:tcW w:type="dxa" w:w="1800"/>
            <w:shd w:val="clear" w:fill="D9D9D9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b/>
                <w:sz w:val="18"/>
              </w:rPr>
              <w:t>Low–moderate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b/>
                <w:sz w:val="18"/>
              </w:rPr>
              <w:t>Moderate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b/>
                <w:sz w:val="18"/>
              </w:rPr>
              <w:t>High</w:t>
            </w:r>
          </w:p>
        </w:tc>
        <w:tc>
          <w:tcPr>
            <w:tcW w:type="dxa" w:w="3816"/>
            <w:shd w:val="clear" w:fill="D9D9D9"/>
          </w:tcPr>
          <w:p>
            <w:r>
              <w:rPr>
                <w:b/>
                <w:sz w:val="18"/>
              </w:rPr>
            </w:r>
          </w:p>
        </w:tc>
      </w:tr>
    </w:tbl>
    <w:p>
      <w:pPr>
        <w:jc w:val="center"/>
      </w:pPr>
      <w:r>
        <w:t>Table 2-2-3-1: IPaC results by species and site (✓ = returned by IPaC for that site)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