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Sensorless Load Estimation Using Motor Slip on a Low-Cost VFD-Driven Induction Motor</w:t>
      </w:r>
    </w:p>
    <w:p>
      <w:pPr>
        <w:spacing w:after="20"/>
        <w:jc w:val="center"/>
      </w:pPr>
      <w:r>
        <w:rPr>
          <w:rFonts w:ascii="Times New Roman" w:cs="Times New Roman" w:eastAsia="Times New Roman" w:hAnsi="Times New Roman"/>
          <w:sz w:val="22"/>
          <w:szCs w:val="22"/>
        </w:rPr>
        <w:t xml:space="preserve">David Salisbury</w:t>
      </w:r>
    </w:p>
    <w:p>
      <w:pPr>
        <w:spacing w:after="20"/>
        <w:jc w:val="center"/>
      </w:pPr>
      <w:r>
        <w:rPr>
          <w:rFonts w:ascii="Times New Roman" w:cs="Times New Roman" w:eastAsia="Times New Roman" w:hAnsi="Times New Roman"/>
          <w:i/>
          <w:iCs/>
          <w:sz w:val="20"/>
          <w:szCs w:val="20"/>
        </w:rPr>
        <w:t xml:space="preserve">Department of Mechanical Engineering and Engineering Science</w:t>
      </w:r>
    </w:p>
    <w:p>
      <w:pPr>
        <w:spacing w:after="20"/>
        <w:jc w:val="center"/>
      </w:pPr>
      <w:r>
        <w:rPr>
          <w:rFonts w:ascii="Times New Roman" w:cs="Times New Roman" w:eastAsia="Times New Roman" w:hAnsi="Times New Roman"/>
          <w:i/>
          <w:iCs/>
          <w:sz w:val="20"/>
          <w:szCs w:val="20"/>
        </w:rPr>
        <w:t xml:space="preserve">William States Lee College of Engineering, University of North Carolina at Charlotte</w:t>
      </w:r>
    </w:p>
    <w:p>
      <w:pPr>
        <w:spacing w:after="300"/>
        <w:jc w:val="center"/>
      </w:pPr>
      <w:r>
        <w:rPr>
          <w:rFonts w:ascii="Times New Roman" w:cs="Times New Roman" w:eastAsia="Times New Roman" w:hAnsi="Times New Roman"/>
          <w:i/>
          <w:iCs/>
          <w:sz w:val="20"/>
          <w:szCs w:val="20"/>
        </w:rPr>
        <w:t xml:space="preserve">Charlotte, North Carolina, USA</w:t>
      </w:r>
    </w:p>
    <w:p>
      <w:pPr>
        <w:sectPr>
          <w:type w:val="continuous"/>
          <w:pgSz w:w="12240" w:h="15840" w:orient="portrait"/>
          <w:pgMar w:top="1080" w:right="900" w:bottom="1440" w:left="900" w:header="708" w:footer="708" w:gutter="0"/>
          <w:pgNumType/>
          <w:docGrid w:linePitch="360"/>
        </w:sectPr>
      </w:pP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—Estimating mechanical load on an induction motor typically requires a dedicated torque transducer or load cell, adding cost and installation complexity that is difficult to justify for small industrial drives or teaching laboratories. This paper presents a low-cost, sensorless load-estimation data-acquisition platform built around a commercial Variable Frequency Drive (VFD) and a bare-metal STM32 microcontroller. The platform polls an AutomationDirect DURApulse GS23-21P0 VFD over an RS-485 Modbus RTU link for output frequency and output current, combines the frequency reading with an independently measured shaft speed to compute motor slip, and logs synchronized data for later correlation against applied load. A standalone human-machine interface (16×2 character LCD and 4×4 matrix keypad) allows an operator to enter reference values (load, RPM, frequency, current) directly at the test rig without a tethered laptop. The Modbus communication path, register scaling, and UART framing requirements of the drive were validated end-to-end on real hardware, with logged frequency and current values cross-checked against the vendor's own configuration software. Full load-sweep calibration and regression of load against slip and current are presented as the immediate next phase of this work. This paper documents the system architecture, the sensorless estimation approach, and the hardware bring-up results obtained to date.</w:t>
      </w:r>
    </w:p>
    <w:p>
      <w:pPr>
        <w:spacing w:after="20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—induction motor, motor slip, sensorless load estimation, variable frequency drive, Modbus RTU, embedded systems, condition monitoring.</w:t>
      </w:r>
    </w:p>
    <w:p>
      <w:pPr>
        <w:spacing w:after="120" w:before="0"/>
        <w:jc w:val="center"/>
      </w:pPr>
      <w:r>
        <w:rPr>
          <w:rFonts w:ascii="Times New Roman" w:cs="Times New Roman" w:eastAsia="Times New Roman" w:hAnsi="Times New Roman"/>
          <w:b/>
          <w:bCs/>
          <w:sz w:val="20"/>
          <w:szCs w:val="20"/>
        </w:rPr>
        <w:t xml:space="preserve">NOMENCLATURE</w:t>
      </w:r>
    </w:p>
    <w:p>
      <w:pPr>
        <w:spacing w:after="40"/>
        <w:ind w:left="431" w:hanging="431"/>
      </w:pPr>
      <w:r>
        <w:rPr>
          <w:rFonts w:ascii="Times New Roman" w:cs="Times New Roman" w:eastAsia="Times New Roman" w:hAnsi="Times New Roman"/>
          <w:i/>
          <w:iCs/>
          <w:sz w:val="20"/>
          <w:szCs w:val="20"/>
        </w:rPr>
        <w:t xml:space="preserve">Ns	</w:t>
      </w:r>
      <w:r>
        <w:rPr>
          <w:rFonts w:ascii="Times New Roman" w:cs="Times New Roman" w:eastAsia="Times New Roman" w:hAnsi="Times New Roman"/>
          <w:sz w:val="20"/>
          <w:szCs w:val="20"/>
        </w:rPr>
        <w:t xml:space="preserve">Synchronous speed of the stator field (RPM)</w:t>
      </w:r>
    </w:p>
    <w:p>
      <w:pPr>
        <w:spacing w:after="40"/>
        <w:ind w:left="431" w:hanging="431"/>
      </w:pPr>
      <w:r>
        <w:rPr>
          <w:rFonts w:ascii="Times New Roman" w:cs="Times New Roman" w:eastAsia="Times New Roman" w:hAnsi="Times New Roman"/>
          <w:i/>
          <w:iCs/>
          <w:sz w:val="20"/>
          <w:szCs w:val="20"/>
        </w:rPr>
        <w:t xml:space="preserve">Nr	</w:t>
      </w:r>
      <w:r>
        <w:rPr>
          <w:rFonts w:ascii="Times New Roman" w:cs="Times New Roman" w:eastAsia="Times New Roman" w:hAnsi="Times New Roman"/>
          <w:sz w:val="20"/>
          <w:szCs w:val="20"/>
        </w:rPr>
        <w:t xml:space="preserve">Actual rotor (shaft) speed (RPM)</w:t>
      </w:r>
    </w:p>
    <w:p>
      <w:pPr>
        <w:spacing w:after="40"/>
        <w:ind w:left="431" w:hanging="431"/>
      </w:pPr>
      <w:r>
        <w:rPr>
          <w:rFonts w:ascii="Times New Roman" w:cs="Times New Roman" w:eastAsia="Times New Roman" w:hAnsi="Times New Roman"/>
          <w:i/>
          <w:iCs/>
          <w:sz w:val="20"/>
          <w:szCs w:val="20"/>
        </w:rPr>
        <w:t xml:space="preserve">s	</w:t>
      </w:r>
      <w:r>
        <w:rPr>
          <w:rFonts w:ascii="Times New Roman" w:cs="Times New Roman" w:eastAsia="Times New Roman" w:hAnsi="Times New Roman"/>
          <w:sz w:val="20"/>
          <w:szCs w:val="20"/>
        </w:rPr>
        <w:t xml:space="preserve">Fractional slip</w:t>
      </w:r>
    </w:p>
    <w:p>
      <w:pPr>
        <w:spacing w:after="40"/>
        <w:ind w:left="431" w:hanging="431"/>
      </w:pPr>
      <w:r>
        <w:rPr>
          <w:rFonts w:ascii="Times New Roman" w:cs="Times New Roman" w:eastAsia="Times New Roman" w:hAnsi="Times New Roman"/>
          <w:i/>
          <w:iCs/>
          <w:sz w:val="20"/>
          <w:szCs w:val="20"/>
        </w:rPr>
        <w:t xml:space="preserve">f	</w:t>
      </w:r>
      <w:r>
        <w:rPr>
          <w:rFonts w:ascii="Times New Roman" w:cs="Times New Roman" w:eastAsia="Times New Roman" w:hAnsi="Times New Roman"/>
          <w:sz w:val="20"/>
          <w:szCs w:val="20"/>
        </w:rPr>
        <w:t xml:space="preserve">VFD output frequency (Hz)</w:t>
      </w:r>
    </w:p>
    <w:p>
      <w:pPr>
        <w:spacing w:after="40"/>
        <w:ind w:left="431" w:hanging="431"/>
      </w:pPr>
      <w:r>
        <w:rPr>
          <w:rFonts w:ascii="Times New Roman" w:cs="Times New Roman" w:eastAsia="Times New Roman" w:hAnsi="Times New Roman"/>
          <w:i/>
          <w:iCs/>
          <w:sz w:val="20"/>
          <w:szCs w:val="20"/>
        </w:rPr>
        <w:t xml:space="preserve">P	</w:t>
      </w:r>
      <w:r>
        <w:rPr>
          <w:rFonts w:ascii="Times New Roman" w:cs="Times New Roman" w:eastAsia="Times New Roman" w:hAnsi="Times New Roman"/>
          <w:sz w:val="20"/>
          <w:szCs w:val="20"/>
        </w:rPr>
        <w:t xml:space="preserve">Number of motor poles</w:t>
      </w:r>
    </w:p>
    <w:p>
      <w:pPr>
        <w:spacing w:after="120" w:before="240"/>
        <w:jc w:val="center"/>
      </w:pPr>
      <w:r>
        <w:rPr>
          <w:rFonts w:ascii="Times New Roman" w:cs="Times New Roman" w:eastAsia="Times New Roman" w:hAnsi="Times New Roman"/>
          <w:b/>
          <w:bCs/>
          <w:sz w:val="20"/>
          <w:szCs w:val="20"/>
        </w:rPr>
        <w:t xml:space="preserve">I. INTRODUCTION</w:t>
      </w:r>
    </w:p>
    <w:p>
      <w:pPr>
        <w:spacing w:after="120" w:line="240"/>
        <w:ind w:firstLine="288"/>
        <w:jc w:val="both"/>
      </w:pPr>
      <w:r>
        <w:rPr>
          <w:rFonts w:ascii="Times New Roman" w:cs="Times New Roman" w:eastAsia="Times New Roman" w:hAnsi="Times New Roman"/>
          <w:sz w:val="20"/>
          <w:szCs w:val="20"/>
        </w:rPr>
        <w:t xml:space="preserve">Induction motors remain the dominant prime mover in industrial and laboratory machinery because of their ruggedness, low cost, and minimal maintenance requirements. In many applications — conveyors, pumps, fans, hoists, and teaching rigs — it is useful to know the instantaneous mechanical load the motor is carrying, whether to detect an abnormal condition, verify a process setpoint, or simply characterize a system during commissioning. The conventional way to obtain this information is to insert a torque transducer or load cell into the mechanical path, but these devices are expensive relative to the motor itself, require shaft or structural modification, and are rarely justified outside of dedicated test stands.</w:t>
      </w:r>
    </w:p>
    <w:p>
      <w:pPr>
        <w:spacing w:after="120" w:line="240"/>
        <w:ind w:firstLine="288"/>
        <w:jc w:val="both"/>
      </w:pPr>
      <w:r>
        <w:rPr>
          <w:rFonts w:ascii="Times New Roman" w:cs="Times New Roman" w:eastAsia="Times New Roman" w:hAnsi="Times New Roman"/>
          <w:sz w:val="20"/>
          <w:szCs w:val="20"/>
        </w:rPr>
        <w:t xml:space="preserve">An induction motor's rotor speed naturally falls below the synchronous speed set by the supply frequency and pole count, and the size of this difference — the slip — increases with mechanical load. Because slip can be computed from quantities that are already available at the drive (output frequency) and the shaft (rotor speed), it offers a path to load estimation without adding a dedicated force or torque sensor. Stator current is a second, complementary indicator: as load torque increases, the motor draws additional current to produce the corresponding electromagnetic torque, and most commercial VFDs already measure and report this value internally.</w:t>
      </w:r>
    </w:p>
    <w:p>
      <w:pPr>
        <w:spacing w:after="120" w:line="240"/>
        <w:ind w:firstLine="288"/>
        <w:jc w:val="both"/>
      </w:pPr>
      <w:r>
        <w:rPr>
          <w:rFonts w:ascii="Times New Roman" w:cs="Times New Roman" w:eastAsia="Times New Roman" w:hAnsi="Times New Roman"/>
          <w:sz w:val="20"/>
          <w:szCs w:val="20"/>
        </w:rPr>
        <w:t xml:space="preserve">This paper describes a data-acquisition and estimation platform that exploits both of these signals. A bare-metal STM32 Nucleo-F401RE microcontroller acts as a Modbus RTU master, polling a DURApulse GS23-21P0 VFD over an RS-485 link for output frequency and output current. Shaft speed is obtained from an independent reference (a laboratory speed-measurement instrument or a handheld tachometer) during the data-collection phase of this project. The controller computes synchronous speed and slip in real time, timestamps and logs each reading, and accepts operator-entered reference values — known applied load, measured RPM, commanded frequency, or measured current — either over a serial connection or through an onboard keypad-and-LCD interface so that the rig can be operated without a laptop physically attached.</w:t>
      </w:r>
    </w:p>
    <w:p>
      <w:pPr>
        <w:spacing w:after="120" w:line="240"/>
        <w:ind w:firstLine="288"/>
        <w:jc w:val="both"/>
      </w:pPr>
      <w:r>
        <w:rPr>
          <w:rFonts w:ascii="Times New Roman" w:cs="Times New Roman" w:eastAsia="Times New Roman" w:hAnsi="Times New Roman"/>
          <w:sz w:val="20"/>
          <w:szCs w:val="20"/>
        </w:rPr>
        <w:t xml:space="preserve">The contributions of this work are: (1) a complete, low-cost hardware and firmware stack for VFD-based sensorless load data acquisition, built entirely from off-the-shelf components; (2) a validated Modbus RTU register map and serial-framing configuration for the DURApulse GS2-series drive family, confirmed against the vendor's own configuration software on real hardware; (3) a standalone two-input human-machine interface that removes the need for a tethered PC during data collection; and (4) a methodology for the load-versus-slip and load-versus-current calibration that is the immediate next phase of this project.</w:t>
      </w:r>
    </w:p>
    <w:p>
      <w:pPr>
        <w:spacing w:after="120" w:line="240"/>
        <w:ind w:firstLine="288"/>
        <w:jc w:val="both"/>
      </w:pPr>
      <w:r>
        <w:rPr>
          <w:rFonts w:ascii="Times New Roman" w:cs="Times New Roman" w:eastAsia="Times New Roman" w:hAnsi="Times New Roman"/>
          <w:sz w:val="20"/>
          <w:szCs w:val="20"/>
        </w:rPr>
        <w:t xml:space="preserve">The remainder of this paper is organized as follows. Section II surveys related approaches to sensorless speed and load estimation. Section III describes the hardware architecture of the test platform. Section IV presents the slip-based estimation methodology and the planned calibration procedure. Section V reports the hardware validation results obtained to date. Section VI discusses the limitations of the approach, and Section VII concludes with a summary and the planned next steps.</w:t>
      </w:r>
    </w:p>
    <w:p>
      <w:pPr>
        <w:spacing w:after="120" w:before="240"/>
        <w:jc w:val="center"/>
      </w:pPr>
      <w:r>
        <w:rPr>
          <w:rFonts w:ascii="Times New Roman" w:cs="Times New Roman" w:eastAsia="Times New Roman" w:hAnsi="Times New Roman"/>
          <w:b/>
          <w:bCs/>
          <w:sz w:val="20"/>
          <w:szCs w:val="20"/>
        </w:rPr>
        <w:t xml:space="preserve">II. RELATED WORK</w:t>
      </w:r>
    </w:p>
    <w:p>
      <w:pPr>
        <w:spacing w:after="120" w:line="240"/>
        <w:ind w:firstLine="288"/>
        <w:jc w:val="both"/>
      </w:pPr>
      <w:r>
        <w:rPr>
          <w:rFonts w:ascii="Times New Roman" w:cs="Times New Roman" w:eastAsia="Times New Roman" w:hAnsi="Times New Roman"/>
          <w:sz w:val="20"/>
          <w:szCs w:val="20"/>
        </w:rPr>
        <w:t xml:space="preserve">Sensorless estimation of induction-motor operating quantities is a well-established research area, motivated by the same cost and reliability concerns that drive this project. Model-based observers — including Model Reference Adaptive System (MRAS) estimators, extended Kalman filters, and flux-observer techniques — use the motor's electrical equations to infer rotor speed or load torque from terminal voltage and current measurements, typically within the drive's own control firmware. These approaches can achieve high accuracy but require access to the drive's internal control loop or a dedicated signal-processing front end, which is not available on a closed, commercial VFD such as the one used in this project.</w:t>
      </w:r>
    </w:p>
    <w:p>
      <w:pPr>
        <w:spacing w:after="120" w:line="240"/>
        <w:ind w:firstLine="288"/>
        <w:jc w:val="both"/>
      </w:pPr>
      <w:r>
        <w:rPr>
          <w:rFonts w:ascii="Times New Roman" w:cs="Times New Roman" w:eastAsia="Times New Roman" w:hAnsi="Times New Roman"/>
          <w:b w:val="false"/>
          <w:bCs w:val="false"/>
          <w:i w:val="false"/>
          <w:iCs w:val="false"/>
          <w:sz w:val="20"/>
          <w:szCs w:val="20"/>
        </w:rPr>
        <w:t xml:space="preserve">A simpler, data-driven alternative — and the one pursued here — treats the VFD as an instrument rather than a control target: quantities it already measures and exposes (output frequency, output current) are read over a standard fieldbus and combined with an external speed reference to build an empirical calibration between slip/current and load, without modifying or modeling the drive's internal control loop. Related investigations into slip-based and VFD-telemetry-based condition monitoring and load inference include the work of Utrata and Rolek </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val="false"/>
          <w:iCs w:val="false"/>
          <w:sz w:val="20"/>
          <w:szCs w:val="20"/>
        </w:rPr>
        <w:t xml:space="preserve"> and of Dias and Fontenele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which inform the general approach of using accessible drive telemetry as a proxy for mechanical load in place of a dedicated torque sensor.</w:t>
      </w:r>
    </w:p>
    <w:p>
      <w:pPr>
        <w:spacing w:after="120" w:line="240"/>
        <w:ind w:firstLine="288"/>
        <w:jc w:val="both"/>
      </w:pPr>
      <w:r>
        <w:rPr>
          <w:rFonts w:ascii="Times New Roman" w:cs="Times New Roman" w:eastAsia="Times New Roman" w:hAnsi="Times New Roman"/>
          <w:sz w:val="20"/>
          <w:szCs w:val="20"/>
        </w:rPr>
        <w:t xml:space="preserve">Current-signature analysis, a closely related technique, infers mechanical conditions (load, bearing faults, eccentricity) from the spectral content of stator current rather than its magnitude alone. The present work uses only the scalar RMS output current already computed by the VFD, which is simpler to acquire over Modbus but carries less diagnostic information than a full current-signature analysis; this is discussed further as a limitation in Section VI.</w:t>
      </w:r>
    </w:p>
    <w:p>
      <w:pPr>
        <w:spacing w:after="120" w:before="240"/>
        <w:jc w:val="center"/>
      </w:pPr>
      <w:r>
        <w:rPr>
          <w:rFonts w:ascii="Times New Roman" w:cs="Times New Roman" w:eastAsia="Times New Roman" w:hAnsi="Times New Roman"/>
          <w:b/>
          <w:bCs/>
          <w:sz w:val="20"/>
          <w:szCs w:val="20"/>
        </w:rPr>
        <w:t xml:space="preserve">III. SYSTEM DESCRIPTION</w:t>
      </w:r>
    </w:p>
    <w:p>
      <w:pPr>
        <w:spacing w:after="80" w:before="160"/>
      </w:pPr>
      <w:r>
        <w:rPr>
          <w:rFonts w:ascii="Times New Roman" w:cs="Times New Roman" w:eastAsia="Times New Roman" w:hAnsi="Times New Roman"/>
          <w:b/>
          <w:bCs/>
          <w:i/>
          <w:iCs/>
          <w:sz w:val="20"/>
          <w:szCs w:val="20"/>
        </w:rPr>
        <w:t xml:space="preserve">A. Overview</w:t>
      </w:r>
    </w:p>
    <w:p>
      <w:pPr>
        <w:spacing w:after="120" w:line="240"/>
        <w:ind w:firstLine="288"/>
        <w:jc w:val="both"/>
      </w:pPr>
      <w:r>
        <w:rPr>
          <w:rFonts w:ascii="Times New Roman" w:cs="Times New Roman" w:eastAsia="Times New Roman" w:hAnsi="Times New Roman"/>
          <w:sz w:val="20"/>
          <w:szCs w:val="20"/>
        </w:rPr>
        <w:t xml:space="preserve">Fig. 1 shows the signal path of the platform. An STM32F401RE microcontroller acts as the central data-acquisition node. It communicates with the VFD over an isolated RS-485 Modbus RTU link, communicates with the operator through a local LCD/keypad human-machine interface (HMI), and streams timestamped CSV data over a USB virtual serial port for logging and later analysis on a PC.</w:t>
      </w:r>
    </w:p>
    <w:p>
      <w:pPr>
        <w:spacing w:after="40" w:before="120"/>
        <w:jc w:val="center"/>
      </w:pPr>
      <w:tbl>
        <w:tblPr>
          <w:tblW w:type="dxa" w:w="3400"/>
          <w:jc w:val="center"/>
          <w:tblBorders>
            <w:top w:val="none"/>
            <w:left w:val="none"/>
            <w:bottom w:val="none"/>
            <w:right w:val="none"/>
            <w:insideH w:val="none"/>
            <w:insideV w:val="none"/>
          </w:tblBorders>
        </w:tblPr>
        <w:tblGrid>
          <w:gridCol w:w="3400"/>
        </w:tblGrid>
        <w:tr>
          <w:tc>
            <w:tcPr>
              <w:tcW w:type="dxa" w:w="3400"/>
              <w:tcBorders>
                <w:top w:val="single" w:color="000000" w:sz="4"/>
                <w:left w:val="single" w:color="000000" w:sz="4"/>
                <w:bottom w:val="single" w:color="000000" w:sz="4"/>
                <w:right w:val="single" w:color="000000" w:sz="4"/>
              </w:tcBorders>
              <w:shd w:fill="F2F2F2"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18"/>
                  <w:szCs w:val="18"/>
                </w:rPr>
                <w:t xml:space="preserve">HMI (LCD + Keypad)</w:t>
              </w:r>
            </w:p>
          </w:tc>
        </w:tr>
        <w:tr>
          <w:tc>
            <w:tcPr>
              <w:tcW w:type="dxa" w:w="3400"/>
              <w:tcBorders>
                <w:top w:val="none"/>
                <w:left w:val="none"/>
                <w:bottom w:val="none"/>
                <w:right w:val="none"/>
              </w:tcBorders>
              <w:vAlign w:val="center"/>
            </w:tcPr>
            <w:p>
              <w:pPr>
                <w:jc w:val="center"/>
              </w:pPr>
              <w:r>
                <w:rPr>
                  <w:rFonts w:ascii="Times New Roman" w:cs="Times New Roman" w:eastAsia="Times New Roman" w:hAnsi="Times New Roman"/>
                  <w:sz w:val="22"/>
                  <w:szCs w:val="22"/>
                </w:rPr>
                <w:t xml:space="preserve">↕</w:t>
              </w:r>
            </w:p>
          </w:tc>
        </w:tr>
        <w:tr>
          <w:tc>
            <w:tcPr>
              <w:tcW w:type="dxa" w:w="3400"/>
              <w:tcBorders>
                <w:top w:val="single" w:color="000000" w:sz="4"/>
                <w:left w:val="single" w:color="000000" w:sz="4"/>
                <w:bottom w:val="single" w:color="000000" w:sz="4"/>
                <w:right w:val="single" w:color="000000" w:sz="4"/>
              </w:tcBorders>
              <w:shd w:fill="F2F2F2"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18"/>
                  <w:szCs w:val="18"/>
                </w:rPr>
                <w:t xml:space="preserve">STM32F401RE (Modbus master)</w:t>
              </w:r>
            </w:p>
          </w:tc>
        </w:tr>
        <w:tr>
          <w:tc>
            <w:tcPr>
              <w:tcW w:type="dxa" w:w="3400"/>
              <w:tcBorders>
                <w:top w:val="none"/>
                <w:left w:val="none"/>
                <w:bottom w:val="none"/>
                <w:right w:val="none"/>
              </w:tcBorders>
              <w:vAlign w:val="center"/>
            </w:tcPr>
            <w:p>
              <w:pPr>
                <w:jc w:val="center"/>
              </w:pPr>
              <w:r>
                <w:rPr>
                  <w:rFonts w:ascii="Times New Roman" w:cs="Times New Roman" w:eastAsia="Times New Roman" w:hAnsi="Times New Roman"/>
                  <w:sz w:val="22"/>
                  <w:szCs w:val="22"/>
                </w:rPr>
                <w:t xml:space="preserve">↕</w:t>
              </w:r>
            </w:p>
          </w:tc>
        </w:tr>
        <w:tr>
          <w:tc>
            <w:tcPr>
              <w:tcW w:type="dxa" w:w="3400"/>
              <w:tcBorders>
                <w:top w:val="single" w:color="000000" w:sz="4"/>
                <w:left w:val="single" w:color="000000" w:sz="4"/>
                <w:bottom w:val="single" w:color="000000" w:sz="4"/>
                <w:right w:val="single" w:color="000000" w:sz="4"/>
              </w:tcBorders>
              <w:shd w:fill="F2F2F2"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18"/>
                  <w:szCs w:val="18"/>
                </w:rPr>
                <w:t xml:space="preserve">RS-485 transceiver (Modbus RTU)</w:t>
              </w:r>
            </w:p>
          </w:tc>
        </w:tr>
        <w:tr>
          <w:tc>
            <w:tcPr>
              <w:tcW w:type="dxa" w:w="3400"/>
              <w:tcBorders>
                <w:top w:val="none"/>
                <w:left w:val="none"/>
                <w:bottom w:val="none"/>
                <w:right w:val="none"/>
              </w:tcBorders>
              <w:vAlign w:val="center"/>
            </w:tcPr>
            <w:p>
              <w:pPr>
                <w:jc w:val="center"/>
              </w:pPr>
              <w:r>
                <w:rPr>
                  <w:rFonts w:ascii="Times New Roman" w:cs="Times New Roman" w:eastAsia="Times New Roman" w:hAnsi="Times New Roman"/>
                  <w:sz w:val="22"/>
                  <w:szCs w:val="22"/>
                </w:rPr>
                <w:t xml:space="preserve">↕</w:t>
              </w:r>
            </w:p>
          </w:tc>
        </w:tr>
        <w:tr>
          <w:tc>
            <w:tcPr>
              <w:tcW w:type="dxa" w:w="3400"/>
              <w:tcBorders>
                <w:top w:val="single" w:color="000000" w:sz="4"/>
                <w:left w:val="single" w:color="000000" w:sz="4"/>
                <w:bottom w:val="single" w:color="000000" w:sz="4"/>
                <w:right w:val="single" w:color="000000" w:sz="4"/>
              </w:tcBorders>
              <w:shd w:fill="F2F2F2"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18"/>
                  <w:szCs w:val="18"/>
                </w:rPr>
                <w:t xml:space="preserve">VFD (GS23-21P0)</w:t>
              </w:r>
            </w:p>
          </w:tc>
        </w:tr>
        <w:tr>
          <w:tc>
            <w:tcPr>
              <w:tcW w:type="dxa" w:w="3400"/>
              <w:tcBorders>
                <w:top w:val="none"/>
                <w:left w:val="none"/>
                <w:bottom w:val="none"/>
                <w:right w:val="none"/>
              </w:tcBorders>
              <w:vAlign w:val="center"/>
            </w:tcPr>
            <w:p>
              <w:pPr>
                <w:jc w:val="center"/>
              </w:pPr>
              <w:r>
                <w:rPr>
                  <w:rFonts w:ascii="Times New Roman" w:cs="Times New Roman" w:eastAsia="Times New Roman" w:hAnsi="Times New Roman"/>
                  <w:sz w:val="22"/>
                  <w:szCs w:val="22"/>
                </w:rPr>
                <w:t xml:space="preserve">↕</w:t>
              </w:r>
            </w:p>
          </w:tc>
        </w:tr>
        <w:tr>
          <w:tc>
            <w:tcPr>
              <w:tcW w:type="dxa" w:w="3400"/>
              <w:tcBorders>
                <w:top w:val="single" w:color="000000" w:sz="4"/>
                <w:left w:val="single" w:color="000000" w:sz="4"/>
                <w:bottom w:val="single" w:color="000000" w:sz="4"/>
                <w:right w:val="single" w:color="000000" w:sz="4"/>
              </w:tcBorders>
              <w:shd w:fill="F2F2F2"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18"/>
                  <w:szCs w:val="18"/>
                </w:rPr>
                <w:t xml:space="preserve">Induction motor + mechanical load</w:t>
              </w:r>
            </w:p>
          </w:tc>
        </w:tr>
      </w:tbl>
    </w:p>
    <w:p>
      <w:pPr>
        <w:spacing w:after="160" w:before="80"/>
        <w:jc w:val="center"/>
      </w:pPr>
      <w:r>
        <w:rPr>
          <w:rFonts w:ascii="Times New Roman" w:cs="Times New Roman" w:eastAsia="Times New Roman" w:hAnsi="Times New Roman"/>
          <w:sz w:val="18"/>
          <w:szCs w:val="18"/>
        </w:rPr>
        <w:t xml:space="preserve">Fig. 1. System signal-path block diagram.</w:t>
      </w:r>
    </w:p>
    <w:p>
      <w:pPr>
        <w:spacing w:after="80" w:before="160"/>
      </w:pPr>
      <w:r>
        <w:rPr>
          <w:rFonts w:ascii="Times New Roman" w:cs="Times New Roman" w:eastAsia="Times New Roman" w:hAnsi="Times New Roman"/>
          <w:b/>
          <w:bCs/>
          <w:i/>
          <w:iCs/>
          <w:sz w:val="20"/>
          <w:szCs w:val="20"/>
        </w:rPr>
        <w:t xml:space="preserve">B. Variable Frequency Drive and Motor</w:t>
      </w:r>
    </w:p>
    <w:p>
      <w:pPr>
        <w:spacing w:after="120" w:line="240"/>
        <w:ind w:firstLine="288"/>
        <w:jc w:val="both"/>
      </w:pPr>
      <w:r>
        <w:rPr>
          <w:rFonts w:ascii="Times New Roman" w:cs="Times New Roman" w:eastAsia="Times New Roman" w:hAnsi="Times New Roman"/>
          <w:sz w:val="20"/>
          <w:szCs w:val="20"/>
        </w:rPr>
        <w:t xml:space="preserve">The drive under test is an AutomationDirect DURApulse GS23-21P0, a 1 HP class VFD accepting single-phase input and producing a three-phase variable-frequency output. It drives a Lucas Nülle SE2673-1K7 four-pole induction motor. The drive is configured through its front-panel keypad and cross-checked with AutomationDirect's GSoft2 configuration utility over a USB connection, which also serves as an independent ground-truth monitor for the frequency and current values read over Modbus.</w:t>
      </w:r>
    </w:p>
    <w:p>
      <w:pPr>
        <w:spacing w:after="80" w:before="160"/>
      </w:pPr>
      <w:r>
        <w:rPr>
          <w:rFonts w:ascii="Times New Roman" w:cs="Times New Roman" w:eastAsia="Times New Roman" w:hAnsi="Times New Roman"/>
          <w:b/>
          <w:bCs/>
          <w:i/>
          <w:iCs/>
          <w:sz w:val="20"/>
          <w:szCs w:val="20"/>
        </w:rPr>
        <w:t xml:space="preserve">C. Controller</w:t>
      </w:r>
    </w:p>
    <w:p>
      <w:pPr>
        <w:spacing w:after="120" w:line="240"/>
        <w:ind w:firstLine="288"/>
        <w:jc w:val="both"/>
      </w:pPr>
      <w:r>
        <w:rPr>
          <w:rFonts w:ascii="Times New Roman" w:cs="Times New Roman" w:eastAsia="Times New Roman" w:hAnsi="Times New Roman"/>
          <w:sz w:val="20"/>
          <w:szCs w:val="20"/>
        </w:rPr>
        <w:t xml:space="preserve">An STM32 Nucleo-F401RE development board was selected for its onboard ST-LINK debugger/USB-serial bridge, sufficient UART and I²C peripherals for the Modbus and HMI interfaces respectively, and low unit cost. The firmware is written directly against the ST HAL/LL drivers in STM32CubeIDE rather than against an Arduino-style abstraction layer, to keep timing of the RS-485 direction-control signal and the UART framing fully deterministic.</w:t>
      </w:r>
    </w:p>
    <w:p>
      <w:pPr>
        <w:spacing w:after="80" w:before="160"/>
      </w:pPr>
      <w:r>
        <w:rPr>
          <w:rFonts w:ascii="Times New Roman" w:cs="Times New Roman" w:eastAsia="Times New Roman" w:hAnsi="Times New Roman"/>
          <w:b/>
          <w:bCs/>
          <w:i/>
          <w:iCs/>
          <w:sz w:val="20"/>
          <w:szCs w:val="20"/>
        </w:rPr>
        <w:t xml:space="preserve">D. RS-485 / Modbus RTU Interface</w:t>
      </w:r>
    </w:p>
    <w:p>
      <w:pPr>
        <w:spacing w:after="120" w:line="240"/>
        <w:ind w:firstLine="288"/>
        <w:jc w:val="both"/>
      </w:pPr>
      <w:r>
        <w:rPr>
          <w:rFonts w:ascii="Times New Roman" w:cs="Times New Roman" w:eastAsia="Times New Roman" w:hAnsi="Times New Roman"/>
          <w:sz w:val="20"/>
          <w:szCs w:val="20"/>
        </w:rPr>
        <w:t xml:space="preserve">The microcontroller communicates with the VFD using Modbus RTU function code 0x03 (Read Holding Registers) over an RS-485 physical layer provided by a MAX485 transceiver module. The module's DE and RE direction-control pins are tied together and driven by a single GPIO output, asserted before transmitting a request frame and released once the frame has been sent so that the drive's response can be received on the same half-duplex pair.</w:t>
      </w:r>
    </w:p>
    <w:p>
      <w:pPr>
        <w:spacing w:after="120" w:line="240"/>
        <w:ind w:firstLine="288"/>
        <w:jc w:val="both"/>
      </w:pPr>
      <w:r>
        <w:rPr>
          <w:rFonts w:ascii="Times New Roman" w:cs="Times New Roman" w:eastAsia="Times New Roman" w:hAnsi="Times New Roman"/>
          <w:sz w:val="20"/>
          <w:szCs w:val="20"/>
        </w:rPr>
        <w:t xml:space="preserve">A critical, and initially overlooked, configuration detail is that this drive family has no 8N1 framing option for Modbus RTU; its P09.04 parameter supports only 8N2, 8E1, or 8O1. The UART on both the drive and the microcontroller must be configured identically — this project uses 8 data bits, no parity, 2 stop bits (8N2) at 9600 baud — or every request frame is rejected at the physical layer with no response at all. Table I summarizes the two holding registers used in this work; both were confirmed on real hardware to use a ÷100 scale factor, correcting an initial assumption (drawn from a manual-text summary) that the current register used a ÷10 scale factor. The error was caught by cross-referencing a live reading against GSoft2's own monitor, which is why real-hardware verification, rather than documentation alone, was treated as the authoritative source throughout this project.</w:t>
      </w:r>
    </w:p>
    <w:p>
      <w:pPr>
        <w:spacing w:after="20" w:before="80"/>
      </w:pPr>
      <w:tbl>
        <w:tblPr>
          <w:tblW w:type="dxa" w:w="4900"/>
          <w:tblBorders>
            <w:top w:val="single" w:color="000000" w:sz="4"/>
            <w:left w:val="none"/>
            <w:bottom w:val="single" w:color="000000" w:sz="4"/>
            <w:right w:val="none"/>
            <w:insideH w:val="single" w:color="808080" w:sz="2"/>
            <w:insideV w:val="none"/>
          </w:tblBorders>
        </w:tblPr>
        <w:tblGrid>
          <w:gridCol w:w="1700"/>
          <w:gridCol w:w="1000"/>
          <w:gridCol w:w="800"/>
          <w:gridCol w:w="1400"/>
        </w:tblGrid>
        <w:tr>
          <w:trPr>
            <w:tblHeader/>
          </w:trPr>
          <w:tc>
            <w:tcPr>
              <w:tcW w:type="dxa" w:w="1700"/>
              <w:shd w:fill="D9D9D9" w:color="auto" w:val="clear"/>
              <w:vAlign w:val="center"/>
            </w:tcPr>
            <w:p>
              <w:pPr>
                <w:jc w:val="center"/>
              </w:pPr>
              <w:r>
                <w:rPr>
                  <w:rFonts w:ascii="Times New Roman" w:cs="Times New Roman" w:eastAsia="Times New Roman" w:hAnsi="Times New Roman"/>
                  <w:b/>
                  <w:bCs/>
                  <w:sz w:val="18"/>
                  <w:szCs w:val="18"/>
                </w:rPr>
                <w:t xml:space="preserve">Register</w:t>
              </w:r>
            </w:p>
          </w:tc>
          <w:tc>
            <w:tcPr>
              <w:tcW w:type="dxa" w:w="1000"/>
              <w:shd w:fill="D9D9D9" w:color="auto" w:val="clear"/>
              <w:vAlign w:val="center"/>
            </w:tcPr>
            <w:p>
              <w:pPr>
                <w:jc w:val="center"/>
              </w:pPr>
              <w:r>
                <w:rPr>
                  <w:rFonts w:ascii="Times New Roman" w:cs="Times New Roman" w:eastAsia="Times New Roman" w:hAnsi="Times New Roman"/>
                  <w:b/>
                  <w:bCs/>
                  <w:sz w:val="18"/>
                  <w:szCs w:val="18"/>
                </w:rPr>
                <w:t xml:space="preserve">Address</w:t>
              </w:r>
            </w:p>
          </w:tc>
          <w:tc>
            <w:tcPr>
              <w:tcW w:type="dxa" w:w="800"/>
              <w:shd w:fill="D9D9D9" w:color="auto" w:val="clear"/>
              <w:vAlign w:val="center"/>
            </w:tcPr>
            <w:p>
              <w:pPr>
                <w:jc w:val="center"/>
              </w:pPr>
              <w:r>
                <w:rPr>
                  <w:rFonts w:ascii="Times New Roman" w:cs="Times New Roman" w:eastAsia="Times New Roman" w:hAnsi="Times New Roman"/>
                  <w:b/>
                  <w:bCs/>
                  <w:sz w:val="18"/>
                  <w:szCs w:val="18"/>
                </w:rPr>
                <w:t xml:space="preserve">Unit</w:t>
              </w:r>
            </w:p>
          </w:tc>
          <w:tc>
            <w:tcPr>
              <w:tcW w:type="dxa" w:w="1400"/>
              <w:shd w:fill="D9D9D9" w:color="auto" w:val="clear"/>
              <w:vAlign w:val="center"/>
            </w:tcPr>
            <w:p>
              <w:pPr>
                <w:jc w:val="center"/>
              </w:pPr>
              <w:r>
                <w:rPr>
                  <w:rFonts w:ascii="Times New Roman" w:cs="Times New Roman" w:eastAsia="Times New Roman" w:hAnsi="Times New Roman"/>
                  <w:b/>
                  <w:bCs/>
                  <w:sz w:val="18"/>
                  <w:szCs w:val="18"/>
                </w:rPr>
                <w:t xml:space="preserve">Scale</w:t>
              </w:r>
            </w:p>
          </w:tc>
        </w:tr>
        <w:tr>
          <w:tc>
            <w:tcPr>
              <w:tcW w:type="dxa" w:w="1700"/>
              <w:vAlign w:val="center"/>
            </w:tcPr>
            <w:p>
              <w:pPr>
                <w:jc w:val="left"/>
              </w:pPr>
              <w:r>
                <w:rPr>
                  <w:rFonts w:ascii="Times New Roman" w:cs="Times New Roman" w:eastAsia="Times New Roman" w:hAnsi="Times New Roman"/>
                  <w:sz w:val="18"/>
                  <w:szCs w:val="18"/>
                </w:rPr>
                <w:t xml:space="preserve">Output Frequency</w:t>
              </w:r>
            </w:p>
          </w:tc>
          <w:tc>
            <w:tcPr>
              <w:tcW w:type="dxa" w:w="1000"/>
              <w:vAlign w:val="center"/>
            </w:tcPr>
            <w:p>
              <w:pPr>
                <w:jc w:val="left"/>
              </w:pPr>
              <w:r>
                <w:rPr>
                  <w:rFonts w:ascii="Times New Roman" w:cs="Times New Roman" w:eastAsia="Times New Roman" w:hAnsi="Times New Roman"/>
                  <w:sz w:val="18"/>
                  <w:szCs w:val="18"/>
                </w:rPr>
                <w:t xml:space="preserve">0x2103</w:t>
              </w:r>
            </w:p>
          </w:tc>
          <w:tc>
            <w:tcPr>
              <w:tcW w:type="dxa" w:w="800"/>
              <w:vAlign w:val="center"/>
            </w:tcPr>
            <w:p>
              <w:pPr>
                <w:jc w:val="left"/>
              </w:pPr>
              <w:r>
                <w:rPr>
                  <w:rFonts w:ascii="Times New Roman" w:cs="Times New Roman" w:eastAsia="Times New Roman" w:hAnsi="Times New Roman"/>
                  <w:sz w:val="18"/>
                  <w:szCs w:val="18"/>
                </w:rPr>
                <w:t xml:space="preserve">Hz</w:t>
              </w:r>
            </w:p>
          </w:tc>
          <w:tc>
            <w:tcPr>
              <w:tcW w:type="dxa" w:w="1400"/>
              <w:vAlign w:val="center"/>
            </w:tcPr>
            <w:p>
              <w:pPr>
                <w:jc w:val="left"/>
              </w:pPr>
              <w:r>
                <w:rPr>
                  <w:rFonts w:ascii="Times New Roman" w:cs="Times New Roman" w:eastAsia="Times New Roman" w:hAnsi="Times New Roman"/>
                  <w:sz w:val="18"/>
                  <w:szCs w:val="18"/>
                </w:rPr>
                <w:t xml:space="preserve">raw ÷ 100</w:t>
              </w:r>
            </w:p>
          </w:tc>
        </w:tr>
        <w:tr>
          <w:tc>
            <w:tcPr>
              <w:tcW w:type="dxa" w:w="1700"/>
              <w:vAlign w:val="center"/>
            </w:tcPr>
            <w:p>
              <w:pPr>
                <w:jc w:val="left"/>
              </w:pPr>
              <w:r>
                <w:rPr>
                  <w:rFonts w:ascii="Times New Roman" w:cs="Times New Roman" w:eastAsia="Times New Roman" w:hAnsi="Times New Roman"/>
                  <w:sz w:val="18"/>
                  <w:szCs w:val="18"/>
                </w:rPr>
                <w:t xml:space="preserve">Output Current</w:t>
              </w:r>
            </w:p>
          </w:tc>
          <w:tc>
            <w:tcPr>
              <w:tcW w:type="dxa" w:w="1000"/>
              <w:vAlign w:val="center"/>
            </w:tcPr>
            <w:p>
              <w:pPr>
                <w:jc w:val="left"/>
              </w:pPr>
              <w:r>
                <w:rPr>
                  <w:rFonts w:ascii="Times New Roman" w:cs="Times New Roman" w:eastAsia="Times New Roman" w:hAnsi="Times New Roman"/>
                  <w:sz w:val="18"/>
                  <w:szCs w:val="18"/>
                </w:rPr>
                <w:t xml:space="preserve">0x2104</w:t>
              </w:r>
            </w:p>
          </w:tc>
          <w:tc>
            <w:tcPr>
              <w:tcW w:type="dxa" w:w="800"/>
              <w:vAlign w:val="center"/>
            </w:tcPr>
            <w:p>
              <w:pPr>
                <w:jc w:val="left"/>
              </w:pPr>
              <w:r>
                <w:rPr>
                  <w:rFonts w:ascii="Times New Roman" w:cs="Times New Roman" w:eastAsia="Times New Roman" w:hAnsi="Times New Roman"/>
                  <w:sz w:val="18"/>
                  <w:szCs w:val="18"/>
                </w:rPr>
                <w:t xml:space="preserve">A</w:t>
              </w:r>
            </w:p>
          </w:tc>
          <w:tc>
            <w:tcPr>
              <w:tcW w:type="dxa" w:w="1400"/>
              <w:vAlign w:val="center"/>
            </w:tcPr>
            <w:p>
              <w:pPr>
                <w:jc w:val="left"/>
              </w:pPr>
              <w:r>
                <w:rPr>
                  <w:rFonts w:ascii="Times New Roman" w:cs="Times New Roman" w:eastAsia="Times New Roman" w:hAnsi="Times New Roman"/>
                  <w:sz w:val="18"/>
                  <w:szCs w:val="18"/>
                </w:rPr>
                <w:t xml:space="preserve">raw ÷ 100</w:t>
              </w:r>
            </w:p>
          </w:tc>
        </w:tr>
      </w:tbl>
    </w:p>
    <w:p>
      <w:pPr>
        <w:spacing w:after="160" w:before="80"/>
        <w:jc w:val="center"/>
      </w:pPr>
      <w:r>
        <w:rPr>
          <w:rFonts w:ascii="Times New Roman" w:cs="Times New Roman" w:eastAsia="Times New Roman" w:hAnsi="Times New Roman"/>
          <w:sz w:val="18"/>
          <w:szCs w:val="18"/>
        </w:rPr>
        <w:t xml:space="preserve">TABLE I. VFD MODBUS HOLDING REGISTERS USED</w:t>
      </w:r>
    </w:p>
    <w:p>
      <w:pPr>
        <w:spacing w:after="80" w:before="160"/>
      </w:pPr>
      <w:r>
        <w:rPr>
          <w:rFonts w:ascii="Times New Roman" w:cs="Times New Roman" w:eastAsia="Times New Roman" w:hAnsi="Times New Roman"/>
          <w:b/>
          <w:bCs/>
          <w:i/>
          <w:iCs/>
          <w:sz w:val="20"/>
          <w:szCs w:val="20"/>
        </w:rPr>
        <w:t xml:space="preserve">E. Human-Machine Interface</w:t>
      </w:r>
    </w:p>
    <w:p>
      <w:pPr>
        <w:spacing w:after="120" w:line="240"/>
        <w:ind w:firstLine="288"/>
        <w:jc w:val="both"/>
      </w:pPr>
      <w:r>
        <w:rPr>
          <w:rFonts w:ascii="Times New Roman" w:cs="Times New Roman" w:eastAsia="Times New Roman" w:hAnsi="Times New Roman"/>
          <w:sz w:val="20"/>
          <w:szCs w:val="20"/>
        </w:rPr>
        <w:t xml:space="preserve">To allow data collection without a laptop tethered to the rig, a 16×2 character LCD (driven through a PCF8574 I²C backpack) and a 4×4 matrix membrane keypad are attached to otherwise-unused GPIO and I²C pins on the Nucleo board. The LCD normally displays the live output frequency and current on its top line and the most recently entered reference RPM/load on its bottom line. Pressing A, B, C, or D selects the Load, RPM, Frequency, or Current field respectively; numeric keys and a decimal-point key build up a value, and the # key confirms the entry. This mirrors a parallel set of serial-terminal commands (LOAD, RPM, FREQ, CURRENT) exactly, so either input path updates the same underlying variables and the same CSV log.</w:t>
      </w:r>
    </w:p>
    <w:p>
      <w:pPr>
        <w:spacing w:after="20" w:before="80"/>
      </w:pPr>
      <w:tbl>
        <w:tblPr>
          <w:tblW w:type="dxa" w:w="4900"/>
          <w:tblBorders>
            <w:top w:val="single" w:color="000000" w:sz="4"/>
            <w:left w:val="none"/>
            <w:bottom w:val="single" w:color="000000" w:sz="4"/>
            <w:right w:val="none"/>
            <w:insideH w:val="single" w:color="808080" w:sz="2"/>
            <w:insideV w:val="none"/>
          </w:tblBorders>
        </w:tblPr>
        <w:tblGrid>
          <w:gridCol w:w="1700"/>
          <w:gridCol w:w="2100"/>
          <w:gridCol w:w="1100"/>
        </w:tblGrid>
        <w:tr>
          <w:trPr>
            <w:tblHeader/>
          </w:trPr>
          <w:tc>
            <w:tcPr>
              <w:tcW w:type="dxa" w:w="1700"/>
              <w:shd w:fill="D9D9D9" w:color="auto" w:val="clear"/>
              <w:vAlign w:val="center"/>
            </w:tcPr>
            <w:p>
              <w:pPr>
                <w:jc w:val="center"/>
              </w:pPr>
              <w:r>
                <w:rPr>
                  <w:rFonts w:ascii="Times New Roman" w:cs="Times New Roman" w:eastAsia="Times New Roman" w:hAnsi="Times New Roman"/>
                  <w:b/>
                  <w:bCs/>
                  <w:sz w:val="18"/>
                  <w:szCs w:val="18"/>
                </w:rPr>
                <w:t xml:space="preserve">Signal</w:t>
              </w:r>
            </w:p>
          </w:tc>
          <w:tc>
            <w:tcPr>
              <w:tcW w:type="dxa" w:w="2100"/>
              <w:shd w:fill="D9D9D9" w:color="auto" w:val="clear"/>
              <w:vAlign w:val="center"/>
            </w:tcPr>
            <w:p>
              <w:pPr>
                <w:jc w:val="center"/>
              </w:pPr>
              <w:r>
                <w:rPr>
                  <w:rFonts w:ascii="Times New Roman" w:cs="Times New Roman" w:eastAsia="Times New Roman" w:hAnsi="Times New Roman"/>
                  <w:b/>
                  <w:bCs/>
                  <w:sz w:val="18"/>
                  <w:szCs w:val="18"/>
                </w:rPr>
                <w:t xml:space="preserve">MCU Pin</w:t>
              </w:r>
            </w:p>
          </w:tc>
          <w:tc>
            <w:tcPr>
              <w:tcW w:type="dxa" w:w="1100"/>
              <w:shd w:fill="D9D9D9" w:color="auto" w:val="clear"/>
              <w:vAlign w:val="center"/>
            </w:tcPr>
            <w:p>
              <w:pPr>
                <w:jc w:val="center"/>
              </w:pPr>
              <w:r>
                <w:rPr>
                  <w:rFonts w:ascii="Times New Roman" w:cs="Times New Roman" w:eastAsia="Times New Roman" w:hAnsi="Times New Roman"/>
                  <w:b/>
                  <w:bCs/>
                  <w:sz w:val="18"/>
                  <w:szCs w:val="18"/>
                </w:rPr>
                <w:t xml:space="preserve">Board Label</w:t>
              </w:r>
            </w:p>
          </w:tc>
        </w:tr>
        <w:tr>
          <w:tc>
            <w:tcPr>
              <w:tcW w:type="dxa" w:w="1700"/>
              <w:vAlign w:val="center"/>
            </w:tcPr>
            <w:p>
              <w:pPr>
                <w:jc w:val="left"/>
              </w:pPr>
              <w:r>
                <w:rPr>
                  <w:rFonts w:ascii="Times New Roman" w:cs="Times New Roman" w:eastAsia="Times New Roman" w:hAnsi="Times New Roman"/>
                  <w:sz w:val="18"/>
                  <w:szCs w:val="18"/>
                </w:rPr>
                <w:t xml:space="preserve">I2C1 SCL (LCD)</w:t>
              </w:r>
            </w:p>
          </w:tc>
          <w:tc>
            <w:tcPr>
              <w:tcW w:type="dxa" w:w="2100"/>
              <w:vAlign w:val="center"/>
            </w:tcPr>
            <w:p>
              <w:pPr>
                <w:jc w:val="left"/>
              </w:pPr>
              <w:r>
                <w:rPr>
                  <w:rFonts w:ascii="Times New Roman" w:cs="Times New Roman" w:eastAsia="Times New Roman" w:hAnsi="Times New Roman"/>
                  <w:sz w:val="18"/>
                  <w:szCs w:val="18"/>
                </w:rPr>
                <w:t xml:space="preserve">PB8</w:t>
              </w:r>
            </w:p>
          </w:tc>
          <w:tc>
            <w:tcPr>
              <w:tcW w:type="dxa" w:w="1100"/>
              <w:vAlign w:val="center"/>
            </w:tcPr>
            <w:p>
              <w:pPr>
                <w:jc w:val="left"/>
              </w:pPr>
              <w:r>
                <w:rPr>
                  <w:rFonts w:ascii="Times New Roman" w:cs="Times New Roman" w:eastAsia="Times New Roman" w:hAnsi="Times New Roman"/>
                  <w:sz w:val="18"/>
                  <w:szCs w:val="18"/>
                </w:rPr>
                <w:t xml:space="preserve">D15</w:t>
              </w:r>
            </w:p>
          </w:tc>
        </w:tr>
        <w:tr>
          <w:tc>
            <w:tcPr>
              <w:tcW w:type="dxa" w:w="1700"/>
              <w:vAlign w:val="center"/>
            </w:tcPr>
            <w:p>
              <w:pPr>
                <w:jc w:val="left"/>
              </w:pPr>
              <w:r>
                <w:rPr>
                  <w:rFonts w:ascii="Times New Roman" w:cs="Times New Roman" w:eastAsia="Times New Roman" w:hAnsi="Times New Roman"/>
                  <w:sz w:val="18"/>
                  <w:szCs w:val="18"/>
                </w:rPr>
                <w:t xml:space="preserve">I2C1 SDA (LCD)</w:t>
              </w:r>
            </w:p>
          </w:tc>
          <w:tc>
            <w:tcPr>
              <w:tcW w:type="dxa" w:w="2100"/>
              <w:vAlign w:val="center"/>
            </w:tcPr>
            <w:p>
              <w:pPr>
                <w:jc w:val="left"/>
              </w:pPr>
              <w:r>
                <w:rPr>
                  <w:rFonts w:ascii="Times New Roman" w:cs="Times New Roman" w:eastAsia="Times New Roman" w:hAnsi="Times New Roman"/>
                  <w:sz w:val="18"/>
                  <w:szCs w:val="18"/>
                </w:rPr>
                <w:t xml:space="preserve">PB9</w:t>
              </w:r>
            </w:p>
          </w:tc>
          <w:tc>
            <w:tcPr>
              <w:tcW w:type="dxa" w:w="1100"/>
              <w:vAlign w:val="center"/>
            </w:tcPr>
            <w:p>
              <w:pPr>
                <w:jc w:val="left"/>
              </w:pPr>
              <w:r>
                <w:rPr>
                  <w:rFonts w:ascii="Times New Roman" w:cs="Times New Roman" w:eastAsia="Times New Roman" w:hAnsi="Times New Roman"/>
                  <w:sz w:val="18"/>
                  <w:szCs w:val="18"/>
                </w:rPr>
                <w:t xml:space="preserve">D14</w:t>
              </w:r>
            </w:p>
          </w:tc>
        </w:tr>
        <w:tr>
          <w:tc>
            <w:tcPr>
              <w:tcW w:type="dxa" w:w="1700"/>
              <w:vAlign w:val="center"/>
            </w:tcPr>
            <w:p>
              <w:pPr>
                <w:jc w:val="left"/>
              </w:pPr>
              <w:r>
                <w:rPr>
                  <w:rFonts w:ascii="Times New Roman" w:cs="Times New Roman" w:eastAsia="Times New Roman" w:hAnsi="Times New Roman"/>
                  <w:sz w:val="18"/>
                  <w:szCs w:val="18"/>
                </w:rPr>
                <w:t xml:space="preserve">Keypad row 1–4</w:t>
              </w:r>
            </w:p>
          </w:tc>
          <w:tc>
            <w:tcPr>
              <w:tcW w:type="dxa" w:w="2100"/>
              <w:vAlign w:val="center"/>
            </w:tcPr>
            <w:p>
              <w:pPr>
                <w:jc w:val="left"/>
              </w:pPr>
              <w:r>
                <w:rPr>
                  <w:rFonts w:ascii="Times New Roman" w:cs="Times New Roman" w:eastAsia="Times New Roman" w:hAnsi="Times New Roman"/>
                  <w:sz w:val="18"/>
                  <w:szCs w:val="18"/>
                </w:rPr>
                <w:t xml:space="preserve">PB3, PB5, PB4, PB10</w:t>
              </w:r>
            </w:p>
          </w:tc>
          <w:tc>
            <w:tcPr>
              <w:tcW w:type="dxa" w:w="1100"/>
              <w:vAlign w:val="center"/>
            </w:tcPr>
            <w:p>
              <w:pPr>
                <w:jc w:val="left"/>
              </w:pPr>
              <w:r>
                <w:rPr>
                  <w:rFonts w:ascii="Times New Roman" w:cs="Times New Roman" w:eastAsia="Times New Roman" w:hAnsi="Times New Roman"/>
                  <w:sz w:val="18"/>
                  <w:szCs w:val="18"/>
                </w:rPr>
                <w:t xml:space="preserve">D3–D6</w:t>
              </w:r>
            </w:p>
          </w:tc>
        </w:tr>
        <w:tr>
          <w:tc>
            <w:tcPr>
              <w:tcW w:type="dxa" w:w="1700"/>
              <w:vAlign w:val="center"/>
            </w:tcPr>
            <w:p>
              <w:pPr>
                <w:jc w:val="left"/>
              </w:pPr>
              <w:r>
                <w:rPr>
                  <w:rFonts w:ascii="Times New Roman" w:cs="Times New Roman" w:eastAsia="Times New Roman" w:hAnsi="Times New Roman"/>
                  <w:sz w:val="18"/>
                  <w:szCs w:val="18"/>
                </w:rPr>
                <w:t xml:space="preserve">Keypad col 1–4</w:t>
              </w:r>
            </w:p>
          </w:tc>
          <w:tc>
            <w:tcPr>
              <w:tcW w:type="dxa" w:w="2100"/>
              <w:vAlign w:val="center"/>
            </w:tcPr>
            <w:p>
              <w:pPr>
                <w:jc w:val="left"/>
              </w:pPr>
              <w:r>
                <w:rPr>
                  <w:rFonts w:ascii="Times New Roman" w:cs="Times New Roman" w:eastAsia="Times New Roman" w:hAnsi="Times New Roman"/>
                  <w:sz w:val="18"/>
                  <w:szCs w:val="18"/>
                </w:rPr>
                <w:t xml:space="preserve">PC7, PB6, PA7, PA6</w:t>
              </w:r>
            </w:p>
          </w:tc>
          <w:tc>
            <w:tcPr>
              <w:tcW w:type="dxa" w:w="1100"/>
              <w:vAlign w:val="center"/>
            </w:tcPr>
            <w:p>
              <w:pPr>
                <w:jc w:val="left"/>
              </w:pPr>
              <w:r>
                <w:rPr>
                  <w:rFonts w:ascii="Times New Roman" w:cs="Times New Roman" w:eastAsia="Times New Roman" w:hAnsi="Times New Roman"/>
                  <w:sz w:val="18"/>
                  <w:szCs w:val="18"/>
                </w:rPr>
                <w:t xml:space="preserve">D9–D12</w:t>
              </w:r>
            </w:p>
          </w:tc>
        </w:tr>
      </w:tbl>
    </w:p>
    <w:p>
      <w:pPr>
        <w:spacing w:after="160" w:before="80"/>
        <w:jc w:val="center"/>
      </w:pPr>
      <w:r>
        <w:rPr>
          <w:rFonts w:ascii="Times New Roman" w:cs="Times New Roman" w:eastAsia="Times New Roman" w:hAnsi="Times New Roman"/>
          <w:sz w:val="18"/>
          <w:szCs w:val="18"/>
        </w:rPr>
        <w:t xml:space="preserve">TABLE II. HMI / KEYPAD PIN ASSIGNMENTS</w:t>
      </w:r>
    </w:p>
    <w:p>
      <w:pPr>
        <w:spacing w:after="80" w:before="160"/>
      </w:pPr>
      <w:r>
        <w:rPr>
          <w:rFonts w:ascii="Times New Roman" w:cs="Times New Roman" w:eastAsia="Times New Roman" w:hAnsi="Times New Roman"/>
          <w:b/>
          <w:bCs/>
          <w:i/>
          <w:iCs/>
          <w:sz w:val="20"/>
          <w:szCs w:val="20"/>
        </w:rPr>
        <w:t xml:space="preserve">F. Mechanical Test Fixture</w:t>
      </w:r>
    </w:p>
    <w:p>
      <w:pPr>
        <w:spacing w:after="120" w:line="240"/>
        <w:ind w:firstLine="288"/>
        <w:jc w:val="both"/>
      </w:pPr>
      <w:r>
        <w:rPr>
          <w:rFonts w:ascii="Times New Roman" w:cs="Times New Roman" w:eastAsia="Times New Roman" w:hAnsi="Times New Roman"/>
          <w:sz w:val="20"/>
          <w:szCs w:val="20"/>
        </w:rPr>
        <w:t xml:space="preserve">A known tension load is applied to the motor shaft through a custom-made spool, approximately four to five inches long with an hourglass profile to keep a wrapped rope or strap centered during rotation. One end of the line runs over the spool to a hanging or crane-scale load, providing a reference load value that is read by eye and entered into the system through the serial command interface or the HMI described above. Shaft speed during these tests is read from the Lucas Nülle SERVO Machine Test System's own display, since its native electrical output has not yet been characterized (an interim, manual-entry workaround tracked as a lower-priority open item for this project), or from a handheld tachometer.</w:t>
      </w:r>
    </w:p>
    <w:p>
      <w:pPr>
        <w:spacing w:after="80" w:before="160"/>
      </w:pPr>
      <w:r>
        <w:rPr>
          <w:rFonts w:ascii="Times New Roman" w:cs="Times New Roman" w:eastAsia="Times New Roman" w:hAnsi="Times New Roman"/>
          <w:b/>
          <w:bCs/>
          <w:i/>
          <w:iCs/>
          <w:sz w:val="20"/>
          <w:szCs w:val="20"/>
        </w:rPr>
        <w:t xml:space="preserve">G. Data Logging</w:t>
      </w:r>
    </w:p>
    <w:p>
      <w:pPr>
        <w:spacing w:after="120" w:line="240"/>
        <w:ind w:firstLine="288"/>
        <w:jc w:val="both"/>
      </w:pPr>
      <w:r>
        <w:rPr>
          <w:rFonts w:ascii="Times New Roman" w:cs="Times New Roman" w:eastAsia="Times New Roman" w:hAnsi="Times New Roman"/>
          <w:sz w:val="20"/>
          <w:szCs w:val="20"/>
        </w:rPr>
        <w:t xml:space="preserve">Every two seconds, the controller emits one CSV row over its USB virtual serial port containing: elapsed time, output frequency and its source (Modbus or manual entry), computed synchronous speed, actual RPM and its source, computed slip, output current and its source, and the currently entered known load. This format was chosen so that a reading obtained automatically over Modbus and one entered manually as a fallback are both captured in the same stream and clearly distinguished for later analysis.</w:t>
      </w:r>
    </w:p>
    <w:p>
      <w:pPr>
        <w:spacing w:after="120" w:before="240"/>
        <w:jc w:val="center"/>
      </w:pPr>
      <w:r>
        <w:rPr>
          <w:rFonts w:ascii="Times New Roman" w:cs="Times New Roman" w:eastAsia="Times New Roman" w:hAnsi="Times New Roman"/>
          <w:b/>
          <w:bCs/>
          <w:sz w:val="20"/>
          <w:szCs w:val="20"/>
        </w:rPr>
        <w:t xml:space="preserve">IV. METHODOLOGY</w:t>
      </w:r>
    </w:p>
    <w:p>
      <w:pPr>
        <w:spacing w:after="80" w:before="160"/>
      </w:pPr>
      <w:r>
        <w:rPr>
          <w:rFonts w:ascii="Times New Roman" w:cs="Times New Roman" w:eastAsia="Times New Roman" w:hAnsi="Times New Roman"/>
          <w:b/>
          <w:bCs/>
          <w:i/>
          <w:iCs/>
          <w:sz w:val="20"/>
          <w:szCs w:val="20"/>
        </w:rPr>
        <w:t xml:space="preserve">A. Slip Computation</w:t>
      </w:r>
    </w:p>
    <w:p>
      <w:pPr>
        <w:spacing w:after="120" w:line="240"/>
        <w:ind w:firstLine="288"/>
        <w:jc w:val="both"/>
      </w:pPr>
      <w:r>
        <w:rPr>
          <w:rFonts w:ascii="Times New Roman" w:cs="Times New Roman" w:eastAsia="Times New Roman" w:hAnsi="Times New Roman"/>
          <w:sz w:val="20"/>
          <w:szCs w:val="20"/>
        </w:rPr>
        <w:t xml:space="preserve">For a three-phase induction motor with P poles operating from a supply of frequency f, the synchronous speed in revolutions per minute is</w:t>
      </w:r>
    </w:p>
    <w:p>
      <w:pPr>
        <w:spacing w:after="120"/>
        <w:jc w:val="center"/>
      </w:pP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 = 120 f / P</w:t>
      </w:r>
      <w:r>
        <w:rPr>
          <w:rFonts w:ascii="Times New Roman" w:cs="Times New Roman" w:eastAsia="Times New Roman" w:hAnsi="Times New Roman"/>
          <w:sz w:val="20"/>
          <w:szCs w:val="20"/>
        </w:rPr>
        <w:t xml:space="preserve">   (1)</w:t>
      </w:r>
    </w:p>
    <w:p>
      <w:pPr>
        <w:spacing w:after="120" w:line="240"/>
        <w:ind w:firstLine="288"/>
        <w:jc w:val="both"/>
      </w:pPr>
      <w:r>
        <w:rPr>
          <w:rFonts w:ascii="Times New Roman" w:cs="Times New Roman" w:eastAsia="Times New Roman" w:hAnsi="Times New Roman"/>
          <w:sz w:val="20"/>
          <w:szCs w:val="20"/>
        </w:rPr>
        <w:t xml:space="preserve">and the fractional slip, given the actual rotor speed Nr, is</w:t>
      </w:r>
    </w:p>
    <w:p>
      <w:pPr>
        <w:spacing w:after="120"/>
        <w:jc w:val="center"/>
      </w:pPr>
      <w:r>
        <w:rPr>
          <w:rFonts w:ascii="Times New Roman" w:cs="Times New Roman" w:eastAsia="Times New Roman" w:hAnsi="Times New Roman"/>
          <w:i/>
          <w:iCs/>
          <w:sz w:val="20"/>
          <w:szCs w:val="20"/>
        </w:rPr>
        <w:t xml:space="preserve">s = (N</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(2)</w:t>
      </w:r>
    </w:p>
    <w:p>
      <w:pPr>
        <w:spacing w:after="120" w:line="240"/>
        <w:ind w:firstLine="288"/>
        <w:jc w:val="both"/>
      </w:pPr>
      <w:r>
        <w:rPr>
          <w:rFonts w:ascii="Times New Roman" w:cs="Times New Roman" w:eastAsia="Times New Roman" w:hAnsi="Times New Roman"/>
          <w:sz w:val="20"/>
          <w:szCs w:val="20"/>
        </w:rPr>
        <w:t xml:space="preserve">The motor used in this work is four-pole (P = 4), so (1) reduces to Ns = 30f. Slip increases approximately monotonically with mechanical load torque over the motor's normal operating range, which is the physical basis for using it as a load proxy. In this platform, f is the VFD output frequency read over Modbus (Section III-D) and Nr is obtained from an external speed reference during data collection.</w:t>
      </w:r>
    </w:p>
    <w:p>
      <w:pPr>
        <w:spacing w:after="80" w:before="160"/>
      </w:pPr>
      <w:r>
        <w:rPr>
          <w:rFonts w:ascii="Times New Roman" w:cs="Times New Roman" w:eastAsia="Times New Roman" w:hAnsi="Times New Roman"/>
          <w:b/>
          <w:bCs/>
          <w:i/>
          <w:iCs/>
          <w:sz w:val="20"/>
          <w:szCs w:val="20"/>
        </w:rPr>
        <w:t xml:space="preserve">B. Dual Estimation Channels</w:t>
      </w:r>
    </w:p>
    <w:p>
      <w:pPr>
        <w:spacing w:after="120" w:line="240"/>
        <w:ind w:firstLine="288"/>
        <w:jc w:val="both"/>
      </w:pPr>
      <w:r>
        <w:rPr>
          <w:rFonts w:ascii="Times New Roman" w:cs="Times New Roman" w:eastAsia="Times New Roman" w:hAnsi="Times New Roman"/>
          <w:sz w:val="20"/>
          <w:szCs w:val="20"/>
        </w:rPr>
        <w:t xml:space="preserve">Two independent signals are logged for every test point: slip, computed from (1)–(2), and output stator current, read directly from the VFD. Because both are expected to increase with load through different physical mechanisms — slip through the rotor's electromagnetic torque-speed characteristic, current through the stator's torque-producing current component — comparing the two provides a cross-check against a false correlation in either channel alone, and allows an eventual estimator to fall back to current alone if an independent speed reference is not available at deployment time.</w:t>
      </w:r>
    </w:p>
    <w:p>
      <w:pPr>
        <w:spacing w:after="80" w:before="160"/>
      </w:pPr>
      <w:r>
        <w:rPr>
          <w:rFonts w:ascii="Times New Roman" w:cs="Times New Roman" w:eastAsia="Times New Roman" w:hAnsi="Times New Roman"/>
          <w:b/>
          <w:bCs/>
          <w:i/>
          <w:iCs/>
          <w:sz w:val="20"/>
          <w:szCs w:val="20"/>
        </w:rPr>
        <w:t xml:space="preserve">C. Planned Calibration Procedure</w:t>
      </w:r>
    </w:p>
    <w:p>
      <w:pPr>
        <w:spacing w:after="120" w:line="240"/>
        <w:ind w:firstLine="288"/>
        <w:jc w:val="both"/>
      </w:pPr>
      <w:r>
        <w:rPr>
          <w:rFonts w:ascii="Times New Roman" w:cs="Times New Roman" w:eastAsia="Times New Roman" w:hAnsi="Times New Roman"/>
          <w:sz w:val="20"/>
          <w:szCs w:val="20"/>
        </w:rPr>
        <w:t xml:space="preserve">Calibration data is collected by applying a known mechanical load at the motor shaft (via a pulley and a calibrated hanging or crane-scale load) at a series of fixed commanded frequencies, and logging the resulting slip and current once the drive has settled at each operating point. An initial no-load baseline sweep across the drive's low-speed range establishes the unloaded slip-versus-frequency curve, against which loaded points at the same frequency are compared. The known load, and the independently measured shaft RPM, are entered at the rig via the serial command interface or the HMI described in Section III-E immediately before each logged point, so that every CSV row is self-describing.</w:t>
      </w:r>
    </w:p>
    <w:p>
      <w:pPr>
        <w:spacing w:after="120" w:line="240"/>
        <w:ind w:firstLine="288"/>
        <w:jc w:val="both"/>
      </w:pPr>
      <w:r>
        <w:rPr>
          <w:rFonts w:ascii="Times New Roman" w:cs="Times New Roman" w:eastAsia="Times New Roman" w:hAnsi="Times New Roman"/>
          <w:sz w:val="20"/>
          <w:szCs w:val="20"/>
        </w:rPr>
        <w:t xml:space="preserve">The intended output of this procedure is a regression — fit per commanded frequency, and subsequently generalized across frequency — expressing estimated load as a function of measured slip, and a second, independent regression expressing estimated load as a function of measured output current. Both models can then be evaluated against held-out load points to quantify estimation accuracy, as described in Section VI.</w:t>
      </w:r>
    </w:p>
    <w:p>
      <w:pPr>
        <w:spacing w:after="120" w:line="240"/>
        <w:ind w:firstLine="288"/>
        <w:jc w:val="both"/>
      </w:pPr>
      <w:r>
        <w:rPr>
          <w:rFonts w:ascii="Times New Roman" w:cs="Times New Roman" w:eastAsia="Times New Roman" w:hAnsi="Times New Roman"/>
          <w:sz w:val="20"/>
          <w:szCs w:val="20"/>
        </w:rPr>
        <w:t xml:space="preserve">Table III shows the initial low-speed sweep planned for this project: a no-load baseline followed by a loaded point at each of three commanded frequencies, chosen to keep the total rig run time short while still spanning a meaningful fraction of the drive's operating range before extending the sweep to higher frequencies.</w:t>
      </w:r>
    </w:p>
    <w:p>
      <w:pPr>
        <w:spacing w:after="20" w:before="80"/>
      </w:pPr>
      <w:tbl>
        <w:tblPr>
          <w:tblW w:type="dxa" w:w="4900"/>
          <w:tblBorders>
            <w:top w:val="single" w:color="000000" w:sz="4"/>
            <w:left w:val="none"/>
            <w:bottom w:val="single" w:color="000000" w:sz="4"/>
            <w:right w:val="none"/>
            <w:insideH w:val="single" w:color="808080" w:sz="2"/>
            <w:insideV w:val="none"/>
          </w:tblBorders>
        </w:tblPr>
        <w:tblGrid>
          <w:gridCol w:w="900"/>
          <w:gridCol w:w="1800"/>
          <w:gridCol w:w="2200"/>
        </w:tblGrid>
        <w:tr>
          <w:trPr>
            <w:tblHeader/>
          </w:trPr>
          <w:tc>
            <w:tcPr>
              <w:tcW w:type="dxa" w:w="900"/>
              <w:shd w:fill="D9D9D9" w:color="auto" w:val="clear"/>
              <w:vAlign w:val="center"/>
            </w:tcPr>
            <w:p>
              <w:pPr>
                <w:jc w:val="center"/>
              </w:pPr>
              <w:r>
                <w:rPr>
                  <w:rFonts w:ascii="Times New Roman" w:cs="Times New Roman" w:eastAsia="Times New Roman" w:hAnsi="Times New Roman"/>
                  <w:b/>
                  <w:bCs/>
                  <w:sz w:val="18"/>
                  <w:szCs w:val="18"/>
                </w:rPr>
                <w:t xml:space="preserve">Point</w:t>
              </w:r>
            </w:p>
          </w:tc>
          <w:tc>
            <w:tcPr>
              <w:tcW w:type="dxa" w:w="1800"/>
              <w:shd w:fill="D9D9D9" w:color="auto" w:val="clear"/>
              <w:vAlign w:val="center"/>
            </w:tcPr>
            <w:p>
              <w:pPr>
                <w:jc w:val="center"/>
              </w:pPr>
              <w:r>
                <w:rPr>
                  <w:rFonts w:ascii="Times New Roman" w:cs="Times New Roman" w:eastAsia="Times New Roman" w:hAnsi="Times New Roman"/>
                  <w:b/>
                  <w:bCs/>
                  <w:sz w:val="18"/>
                  <w:szCs w:val="18"/>
                </w:rPr>
                <w:t xml:space="preserve">Commanded f (Hz)</w:t>
              </w:r>
            </w:p>
          </w:tc>
          <w:tc>
            <w:tcPr>
              <w:tcW w:type="dxa" w:w="2200"/>
              <w:shd w:fill="D9D9D9" w:color="auto" w:val="clear"/>
              <w:vAlign w:val="center"/>
            </w:tcPr>
            <w:p>
              <w:pPr>
                <w:jc w:val="center"/>
              </w:pPr>
              <w:r>
                <w:rPr>
                  <w:rFonts w:ascii="Times New Roman" w:cs="Times New Roman" w:eastAsia="Times New Roman" w:hAnsi="Times New Roman"/>
                  <w:b/>
                  <w:bCs/>
                  <w:sz w:val="18"/>
                  <w:szCs w:val="18"/>
                </w:rPr>
                <w:t xml:space="preserve">Load Condition</w:t>
              </w:r>
            </w:p>
          </w:tc>
        </w:tr>
        <w:tr>
          <w:tc>
            <w:tcPr>
              <w:tcW w:type="dxa" w:w="900"/>
              <w:vAlign w:val="center"/>
            </w:tcPr>
            <w:p>
              <w:pPr>
                <w:jc w:val="left"/>
              </w:pPr>
              <w:r>
                <w:rPr>
                  <w:rFonts w:ascii="Times New Roman" w:cs="Times New Roman" w:eastAsia="Times New Roman" w:hAnsi="Times New Roman"/>
                  <w:sz w:val="18"/>
                  <w:szCs w:val="18"/>
                </w:rPr>
                <w:t xml:space="preserve">1</w:t>
              </w:r>
            </w:p>
          </w:tc>
          <w:tc>
            <w:tcPr>
              <w:tcW w:type="dxa" w:w="1800"/>
              <w:vAlign w:val="center"/>
            </w:tcPr>
            <w:p>
              <w:pPr>
                <w:jc w:val="left"/>
              </w:pPr>
              <w:r>
                <w:rPr>
                  <w:rFonts w:ascii="Times New Roman" w:cs="Times New Roman" w:eastAsia="Times New Roman" w:hAnsi="Times New Roman"/>
                  <w:sz w:val="18"/>
                  <w:szCs w:val="18"/>
                </w:rPr>
                <w:t xml:space="preserve">10</w:t>
              </w:r>
            </w:p>
          </w:tc>
          <w:tc>
            <w:tcPr>
              <w:tcW w:type="dxa" w:w="2200"/>
              <w:vAlign w:val="center"/>
            </w:tcPr>
            <w:p>
              <w:pPr>
                <w:jc w:val="left"/>
              </w:pPr>
              <w:r>
                <w:rPr>
                  <w:rFonts w:ascii="Times New Roman" w:cs="Times New Roman" w:eastAsia="Times New Roman" w:hAnsi="Times New Roman"/>
                  <w:sz w:val="18"/>
                  <w:szCs w:val="18"/>
                </w:rPr>
                <w:t xml:space="preserve">No load (baseline)</w:t>
              </w:r>
            </w:p>
          </w:tc>
        </w:tr>
        <w:tr>
          <w:tc>
            <w:tcPr>
              <w:tcW w:type="dxa" w:w="900"/>
              <w:vAlign w:val="center"/>
            </w:tcPr>
            <w:p>
              <w:pPr>
                <w:jc w:val="left"/>
              </w:pPr>
              <w:r>
                <w:rPr>
                  <w:rFonts w:ascii="Times New Roman" w:cs="Times New Roman" w:eastAsia="Times New Roman" w:hAnsi="Times New Roman"/>
                  <w:sz w:val="18"/>
                  <w:szCs w:val="18"/>
                </w:rPr>
                <w:t xml:space="preserve">2</w:t>
              </w:r>
            </w:p>
          </w:tc>
          <w:tc>
            <w:tcPr>
              <w:tcW w:type="dxa" w:w="1800"/>
              <w:vAlign w:val="center"/>
            </w:tcPr>
            <w:p>
              <w:pPr>
                <w:jc w:val="left"/>
              </w:pPr>
              <w:r>
                <w:rPr>
                  <w:rFonts w:ascii="Times New Roman" w:cs="Times New Roman" w:eastAsia="Times New Roman" w:hAnsi="Times New Roman"/>
                  <w:sz w:val="18"/>
                  <w:szCs w:val="18"/>
                </w:rPr>
                <w:t xml:space="preserve">10</w:t>
              </w:r>
            </w:p>
          </w:tc>
          <w:tc>
            <w:tcPr>
              <w:tcW w:type="dxa" w:w="2200"/>
              <w:vAlign w:val="center"/>
            </w:tcPr>
            <w:p>
              <w:pPr>
                <w:jc w:val="left"/>
              </w:pPr>
              <w:r>
                <w:rPr>
                  <w:rFonts w:ascii="Times New Roman" w:cs="Times New Roman" w:eastAsia="Times New Roman" w:hAnsi="Times New Roman"/>
                  <w:sz w:val="18"/>
                  <w:szCs w:val="18"/>
                </w:rPr>
                <w:t xml:space="preserve">Loaded</w:t>
              </w:r>
            </w:p>
          </w:tc>
        </w:tr>
        <w:tr>
          <w:tc>
            <w:tcPr>
              <w:tcW w:type="dxa" w:w="900"/>
              <w:vAlign w:val="center"/>
            </w:tcPr>
            <w:p>
              <w:pPr>
                <w:jc w:val="left"/>
              </w:pPr>
              <w:r>
                <w:rPr>
                  <w:rFonts w:ascii="Times New Roman" w:cs="Times New Roman" w:eastAsia="Times New Roman" w:hAnsi="Times New Roman"/>
                  <w:sz w:val="18"/>
                  <w:szCs w:val="18"/>
                </w:rPr>
                <w:t xml:space="preserve">3</w:t>
              </w:r>
            </w:p>
          </w:tc>
          <w:tc>
            <w:tcPr>
              <w:tcW w:type="dxa" w:w="1800"/>
              <w:vAlign w:val="center"/>
            </w:tcPr>
            <w:p>
              <w:pPr>
                <w:jc w:val="left"/>
              </w:pPr>
              <w:r>
                <w:rPr>
                  <w:rFonts w:ascii="Times New Roman" w:cs="Times New Roman" w:eastAsia="Times New Roman" w:hAnsi="Times New Roman"/>
                  <w:sz w:val="18"/>
                  <w:szCs w:val="18"/>
                </w:rPr>
                <w:t xml:space="preserve">20</w:t>
              </w:r>
            </w:p>
          </w:tc>
          <w:tc>
            <w:tcPr>
              <w:tcW w:type="dxa" w:w="2200"/>
              <w:vAlign w:val="center"/>
            </w:tcPr>
            <w:p>
              <w:pPr>
                <w:jc w:val="left"/>
              </w:pPr>
              <w:r>
                <w:rPr>
                  <w:rFonts w:ascii="Times New Roman" w:cs="Times New Roman" w:eastAsia="Times New Roman" w:hAnsi="Times New Roman"/>
                  <w:sz w:val="18"/>
                  <w:szCs w:val="18"/>
                </w:rPr>
                <w:t xml:space="preserve">No load (baseline)</w:t>
              </w:r>
            </w:p>
          </w:tc>
        </w:tr>
        <w:tr>
          <w:tc>
            <w:tcPr>
              <w:tcW w:type="dxa" w:w="900"/>
              <w:vAlign w:val="center"/>
            </w:tcPr>
            <w:p>
              <w:pPr>
                <w:jc w:val="left"/>
              </w:pPr>
              <w:r>
                <w:rPr>
                  <w:rFonts w:ascii="Times New Roman" w:cs="Times New Roman" w:eastAsia="Times New Roman" w:hAnsi="Times New Roman"/>
                  <w:sz w:val="18"/>
                  <w:szCs w:val="18"/>
                </w:rPr>
                <w:t xml:space="preserve">4</w:t>
              </w:r>
            </w:p>
          </w:tc>
          <w:tc>
            <w:tcPr>
              <w:tcW w:type="dxa" w:w="1800"/>
              <w:vAlign w:val="center"/>
            </w:tcPr>
            <w:p>
              <w:pPr>
                <w:jc w:val="left"/>
              </w:pPr>
              <w:r>
                <w:rPr>
                  <w:rFonts w:ascii="Times New Roman" w:cs="Times New Roman" w:eastAsia="Times New Roman" w:hAnsi="Times New Roman"/>
                  <w:sz w:val="18"/>
                  <w:szCs w:val="18"/>
                </w:rPr>
                <w:t xml:space="preserve">20</w:t>
              </w:r>
            </w:p>
          </w:tc>
          <w:tc>
            <w:tcPr>
              <w:tcW w:type="dxa" w:w="2200"/>
              <w:vAlign w:val="center"/>
            </w:tcPr>
            <w:p>
              <w:pPr>
                <w:jc w:val="left"/>
              </w:pPr>
              <w:r>
                <w:rPr>
                  <w:rFonts w:ascii="Times New Roman" w:cs="Times New Roman" w:eastAsia="Times New Roman" w:hAnsi="Times New Roman"/>
                  <w:sz w:val="18"/>
                  <w:szCs w:val="18"/>
                </w:rPr>
                <w:t xml:space="preserve">Loaded</w:t>
              </w:r>
            </w:p>
          </w:tc>
        </w:tr>
        <w:tr>
          <w:tc>
            <w:tcPr>
              <w:tcW w:type="dxa" w:w="900"/>
              <w:vAlign w:val="center"/>
            </w:tcPr>
            <w:p>
              <w:pPr>
                <w:jc w:val="left"/>
              </w:pPr>
              <w:r>
                <w:rPr>
                  <w:rFonts w:ascii="Times New Roman" w:cs="Times New Roman" w:eastAsia="Times New Roman" w:hAnsi="Times New Roman"/>
                  <w:sz w:val="18"/>
                  <w:szCs w:val="18"/>
                </w:rPr>
                <w:t xml:space="preserve">5</w:t>
              </w:r>
            </w:p>
          </w:tc>
          <w:tc>
            <w:tcPr>
              <w:tcW w:type="dxa" w:w="1800"/>
              <w:vAlign w:val="center"/>
            </w:tcPr>
            <w:p>
              <w:pPr>
                <w:jc w:val="left"/>
              </w:pPr>
              <w:r>
                <w:rPr>
                  <w:rFonts w:ascii="Times New Roman" w:cs="Times New Roman" w:eastAsia="Times New Roman" w:hAnsi="Times New Roman"/>
                  <w:sz w:val="18"/>
                  <w:szCs w:val="18"/>
                </w:rPr>
                <w:t xml:space="preserve">30</w:t>
              </w:r>
            </w:p>
          </w:tc>
          <w:tc>
            <w:tcPr>
              <w:tcW w:type="dxa" w:w="2200"/>
              <w:vAlign w:val="center"/>
            </w:tcPr>
            <w:p>
              <w:pPr>
                <w:jc w:val="left"/>
              </w:pPr>
              <w:r>
                <w:rPr>
                  <w:rFonts w:ascii="Times New Roman" w:cs="Times New Roman" w:eastAsia="Times New Roman" w:hAnsi="Times New Roman"/>
                  <w:sz w:val="18"/>
                  <w:szCs w:val="18"/>
                </w:rPr>
                <w:t xml:space="preserve">No load (baseline)</w:t>
              </w:r>
            </w:p>
          </w:tc>
        </w:tr>
        <w:tr>
          <w:tc>
            <w:tcPr>
              <w:tcW w:type="dxa" w:w="900"/>
              <w:vAlign w:val="center"/>
            </w:tcPr>
            <w:p>
              <w:pPr>
                <w:jc w:val="left"/>
              </w:pPr>
              <w:r>
                <w:rPr>
                  <w:rFonts w:ascii="Times New Roman" w:cs="Times New Roman" w:eastAsia="Times New Roman" w:hAnsi="Times New Roman"/>
                  <w:sz w:val="18"/>
                  <w:szCs w:val="18"/>
                </w:rPr>
                <w:t xml:space="preserve">6</w:t>
              </w:r>
            </w:p>
          </w:tc>
          <w:tc>
            <w:tcPr>
              <w:tcW w:type="dxa" w:w="1800"/>
              <w:vAlign w:val="center"/>
            </w:tcPr>
            <w:p>
              <w:pPr>
                <w:jc w:val="left"/>
              </w:pPr>
              <w:r>
                <w:rPr>
                  <w:rFonts w:ascii="Times New Roman" w:cs="Times New Roman" w:eastAsia="Times New Roman" w:hAnsi="Times New Roman"/>
                  <w:sz w:val="18"/>
                  <w:szCs w:val="18"/>
                </w:rPr>
                <w:t xml:space="preserve">30</w:t>
              </w:r>
            </w:p>
          </w:tc>
          <w:tc>
            <w:tcPr>
              <w:tcW w:type="dxa" w:w="2200"/>
              <w:vAlign w:val="center"/>
            </w:tcPr>
            <w:p>
              <w:pPr>
                <w:jc w:val="left"/>
              </w:pPr>
              <w:r>
                <w:rPr>
                  <w:rFonts w:ascii="Times New Roman" w:cs="Times New Roman" w:eastAsia="Times New Roman" w:hAnsi="Times New Roman"/>
                  <w:sz w:val="18"/>
                  <w:szCs w:val="18"/>
                </w:rPr>
                <w:t xml:space="preserve">Loaded</w:t>
              </w:r>
            </w:p>
          </w:tc>
        </w:tr>
      </w:tbl>
    </w:p>
    <w:p>
      <w:pPr>
        <w:spacing w:after="160" w:before="80"/>
        <w:jc w:val="center"/>
      </w:pPr>
      <w:r>
        <w:rPr>
          <w:rFonts w:ascii="Times New Roman" w:cs="Times New Roman" w:eastAsia="Times New Roman" w:hAnsi="Times New Roman"/>
          <w:sz w:val="18"/>
          <w:szCs w:val="18"/>
        </w:rPr>
        <w:t xml:space="preserve">TABLE III. INITIAL PLANNED LOW-SPEED TEST MATRIX</w:t>
      </w:r>
    </w:p>
    <w:p>
      <w:pPr>
        <w:spacing w:after="120" w:before="240"/>
        <w:jc w:val="center"/>
      </w:pPr>
      <w:r>
        <w:rPr>
          <w:rFonts w:ascii="Times New Roman" w:cs="Times New Roman" w:eastAsia="Times New Roman" w:hAnsi="Times New Roman"/>
          <w:b/>
          <w:bCs/>
          <w:sz w:val="20"/>
          <w:szCs w:val="20"/>
        </w:rPr>
        <w:t xml:space="preserve">V. HARDWARE VALIDATION</w:t>
      </w:r>
    </w:p>
    <w:p>
      <w:pPr>
        <w:spacing w:after="120" w:line="240"/>
        <w:ind w:firstLine="288"/>
        <w:jc w:val="both"/>
      </w:pPr>
      <w:r>
        <w:rPr>
          <w:rFonts w:ascii="Times New Roman" w:cs="Times New Roman" w:eastAsia="Times New Roman" w:hAnsi="Times New Roman"/>
          <w:sz w:val="20"/>
          <w:szCs w:val="20"/>
        </w:rPr>
        <w:t xml:space="preserve">At the time of writing, the full load-sweep calibration described in Section IV-C has not yet been executed; that data collection is the immediate next phase of this project. The results reported here instead validate that the measurement chain itself — Modbus communication, register scaling, and the slip computation — produces physically correct values, which is the necessary precondition for that calibration to be meaningful.</w:t>
      </w:r>
    </w:p>
    <w:p>
      <w:pPr>
        <w:spacing w:after="120" w:line="240"/>
        <w:ind w:firstLine="288"/>
        <w:jc w:val="both"/>
      </w:pPr>
      <w:r>
        <w:rPr>
          <w:rFonts w:ascii="Times New Roman" w:cs="Times New Roman" w:eastAsia="Times New Roman" w:hAnsi="Times New Roman"/>
          <w:sz w:val="20"/>
          <w:szCs w:val="20"/>
        </w:rPr>
        <w:t xml:space="preserve">End-to-end Modbus RTU communication between the STM32 controller and the VFD was brought up and confirmed on real hardware: with the drive's P09.04 parameter set to the 8N2 framing option described in Section III-D, read requests for both holding registers in Table I returned valid, CRC-checked responses. Output frequency values logged over a range of commanded setpoints (9.95–16.60 Hz) and output current values (0.67–0.70 A at light/no load) matched the corresponding live readings shown in GSoft2 to within the registers' reported resolution. Using (1)–(2) with an externally measured shaft speed of 491 RPM at a commanded output frequency of 16.60 Hz, the computed slip was 1.4%, which is consistent with a lightly loaded four-pole induction motor and corroborates that the frequency-to-RPM and slip pipeline is computing physically sensible values before any load is intentionally applied.</w:t>
      </w:r>
    </w:p>
    <w:p>
      <w:pPr>
        <w:spacing w:after="120" w:line="240"/>
        <w:ind w:firstLine="288"/>
        <w:jc w:val="both"/>
      </w:pPr>
      <w:r>
        <w:rPr>
          <w:rFonts w:ascii="Times New Roman" w:cs="Times New Roman" w:eastAsia="Times New Roman" w:hAnsi="Times New Roman"/>
          <w:sz w:val="20"/>
          <w:szCs w:val="20"/>
        </w:rPr>
        <w:t xml:space="preserve">The HMI firmware (Section III-E) has been implemented and integrated into the same codebase as the validated Modbus path, but has not yet been exercised on the assembled LCD/keypad hardware; its driver timing and GPIO assignments remain to be confirmed in the same manner the Modbus path already has been.</w:t>
      </w:r>
    </w:p>
    <w:p>
      <w:pPr>
        <w:spacing w:after="120" w:before="240"/>
        <w:jc w:val="center"/>
      </w:pPr>
      <w:r>
        <w:rPr>
          <w:rFonts w:ascii="Times New Roman" w:cs="Times New Roman" w:eastAsia="Times New Roman" w:hAnsi="Times New Roman"/>
          <w:b/>
          <w:bCs/>
          <w:sz w:val="20"/>
          <w:szCs w:val="20"/>
        </w:rPr>
        <w:t xml:space="preserve">VI. DISCUSSION</w:t>
      </w:r>
    </w:p>
    <w:p>
      <w:pPr>
        <w:spacing w:after="120" w:line="240"/>
        <w:ind w:firstLine="288"/>
        <w:jc w:val="both"/>
      </w:pPr>
      <w:r>
        <w:rPr>
          <w:rFonts w:ascii="Times New Roman" w:cs="Times New Roman" w:eastAsia="Times New Roman" w:hAnsi="Times New Roman"/>
          <w:sz w:val="20"/>
          <w:szCs w:val="20"/>
        </w:rPr>
        <w:t xml:space="preserve">Several factors are expected to limit the precision of a slip- or current-based load estimate and should be accounted for once calibration data is available. First, the VFD reports an internally estimated or commanded output frequency rather than a direct measurement of rotor flux position, so any slip-compensation or V/f correction the drive itself applies will be folded into the logged frequency value and must be considered when interpreting slip. Second, both holding registers used in this work have a reported resolution of 0.01 of their respective units, which bounds the smallest load-induced change in slip or current that can be resolved, particularly near no-load conditions where the expected signal is small. Third, rotor resistance — and therefore the slip produced by a given load torque — varies with winding temperature, so a calibration performed at one thermal operating point may not transfer exactly to another without a temperature correction or a sufficiently long warm-up period held constant across tests. Finally, the mechanical test fixture used to apply a known load (pulley, spool, and hanging or crane-scale load) introduces its own friction and alignment losses that are not part of the motor's own torque-speed behavior and will appear as a systematic offset or added scatter in the calibration.</w:t>
      </w:r>
    </w:p>
    <w:p>
      <w:pPr>
        <w:spacing w:after="120" w:line="240"/>
        <w:ind w:firstLine="288"/>
        <w:jc w:val="both"/>
      </w:pPr>
      <w:r>
        <w:rPr>
          <w:rFonts w:ascii="Times New Roman" w:cs="Times New Roman" w:eastAsia="Times New Roman" w:hAnsi="Times New Roman"/>
          <w:sz w:val="20"/>
          <w:szCs w:val="20"/>
        </w:rPr>
        <w:t xml:space="preserve">Despite these limitations, the approach has a clear cost advantage: every component used — the VFD, the microcontroller, the RS-485 transceiver, and the LCD/keypad HMI — is an inexpensive, commercially available part, and no modification to the motor, drive, or mechanical load path is required beyond the RS-485 wiring itself. This makes the method attractive for retrofit load monitoring or for teaching laboratories where a dedicated torque transducer is not available.</w:t>
      </w:r>
    </w:p>
    <w:p>
      <w:pPr>
        <w:spacing w:after="120" w:before="240"/>
        <w:jc w:val="center"/>
      </w:pPr>
      <w:r>
        <w:rPr>
          <w:rFonts w:ascii="Times New Roman" w:cs="Times New Roman" w:eastAsia="Times New Roman" w:hAnsi="Times New Roman"/>
          <w:b/>
          <w:bCs/>
          <w:sz w:val="20"/>
          <w:szCs w:val="20"/>
        </w:rPr>
        <w:t xml:space="preserve">VII. CONCLUSION AND FUTURE WORK</w:t>
      </w:r>
    </w:p>
    <w:p>
      <w:pPr>
        <w:spacing w:after="120" w:line="240"/>
        <w:ind w:firstLine="288"/>
        <w:jc w:val="both"/>
      </w:pPr>
      <w:r>
        <w:rPr>
          <w:rFonts w:ascii="Times New Roman" w:cs="Times New Roman" w:eastAsia="Times New Roman" w:hAnsi="Times New Roman"/>
          <w:sz w:val="20"/>
          <w:szCs w:val="20"/>
        </w:rPr>
        <w:t xml:space="preserve">This paper presented the architecture and hardware validation of a low-cost, sensorless load-estimation platform that reads output frequency and current from a commercial VFD over Modbus RTU, computes motor slip against an independently measured shaft speed, and logs the result alongside operator-entered reference values through either a serial connection or a standalone LCD/keypad HMI. The Modbus communication path, including a non-obvious UART framing requirement and a register scale factor that could not be determined from documentation alone, was validated end-to-end on real hardware against the drive vendor's own configuration software.</w:t>
      </w:r>
    </w:p>
    <w:p>
      <w:pPr>
        <w:spacing w:after="120" w:line="240"/>
        <w:ind w:firstLine="288"/>
        <w:jc w:val="both"/>
      </w:pPr>
      <w:r>
        <w:rPr>
          <w:rFonts w:ascii="Times New Roman" w:cs="Times New Roman" w:eastAsia="Times New Roman" w:hAnsi="Times New Roman"/>
          <w:sz w:val="20"/>
          <w:szCs w:val="20"/>
        </w:rPr>
        <w:t xml:space="preserve">The immediate next step is to execute the load-sweep calibration procedure described in Section IV-C across the drive's operating frequency range and fit the planned slip-based and current-based load regressions. Once a calibration exists, its accuracy should be validated against held-out load points and compared against the estimation error that would be obtained from current alone, to quantify the benefit of the added slip channel. Longer term, this platform could be extended with networked logging or a web-based dashboard so that live and historical load estimates are visible without a locally attached serial terminal, and the same calibration methodology could be repeated on other VFD/motor combinations to assess how well a given slip-versus-load model generalizes beyond the specific drive and motor used here.</w:t>
      </w:r>
    </w:p>
    <w:p>
      <w:pPr>
        <w:spacing w:after="120" w:before="240"/>
        <w:jc w:val="center"/>
      </w:pPr>
      <w:r>
        <w:rPr>
          <w:rFonts w:ascii="Times New Roman" w:cs="Times New Roman" w:eastAsia="Times New Roman" w:hAnsi="Times New Roman"/>
          <w:b/>
          <w:bCs/>
          <w:sz w:val="20"/>
          <w:szCs w:val="20"/>
        </w:rPr>
        <w:t xml:space="preserve">ACKNOWLEDGMENT</w:t>
      </w:r>
    </w:p>
    <w:p>
      <w:pPr>
        <w:spacing w:after="120" w:line="240"/>
        <w:ind w:firstLine="288"/>
        <w:jc w:val="both"/>
      </w:pPr>
      <w:r>
        <w:rPr>
          <w:rFonts w:ascii="Times New Roman" w:cs="Times New Roman" w:eastAsia="Times New Roman" w:hAnsi="Times New Roman"/>
          <w:sz w:val="20"/>
          <w:szCs w:val="20"/>
        </w:rPr>
        <w:t xml:space="preserve">The author thanks the Department of Mechanical Engineering and Engineering Science at the University of North Carolina at Charlotte for the use of laboratory equipment in support of this capstone project.</w:t>
      </w:r>
    </w:p>
    <w:p>
      <w:pPr>
        <w:spacing w:after="120" w:before="240"/>
        <w:jc w:val="center"/>
      </w:pPr>
      <w:r>
        <w:rPr>
          <w:rFonts w:ascii="Times New Roman" w:cs="Times New Roman" w:eastAsia="Times New Roman" w:hAnsi="Times New Roman"/>
          <w:b/>
          <w:bCs/>
          <w:sz w:val="20"/>
          <w:szCs w:val="20"/>
        </w:rPr>
        <w:t xml:space="preserve">REFERENCES</w:t>
      </w:r>
    </w:p>
    <w:p>
      <w:pPr>
        <w:spacing w:after="80"/>
        <w:ind w:left="288" w:hanging="288"/>
      </w:pPr>
      <w:r>
        <w:rPr>
          <w:rFonts w:ascii="Times New Roman" w:cs="Times New Roman" w:eastAsia="Times New Roman" w:hAnsi="Times New Roman"/>
          <w:sz w:val="18"/>
          <w:szCs w:val="18"/>
        </w:rPr>
        <w:t xml:space="preserve">[1] D. Utrata and R. Rolek, [full citation to be completed by the author — title, venue, and year of publication to be verified], 2023.</w:t>
      </w:r>
    </w:p>
    <w:p>
      <w:pPr>
        <w:spacing w:after="80"/>
        <w:ind w:left="288" w:hanging="288"/>
      </w:pPr>
      <w:r>
        <w:rPr>
          <w:rFonts w:ascii="Times New Roman" w:cs="Times New Roman" w:eastAsia="Times New Roman" w:hAnsi="Times New Roman"/>
          <w:sz w:val="18"/>
          <w:szCs w:val="18"/>
        </w:rPr>
        <w:t xml:space="preserve">[2] M. Dias and L. Fontenele, [full citation to be completed by the author — title, venue, and year of publication to be verified], 2024.</w:t>
      </w:r>
    </w:p>
    <w:p>
      <w:pPr>
        <w:spacing w:after="80"/>
        <w:ind w:left="288" w:hanging="288"/>
      </w:pPr>
      <w:r>
        <w:rPr>
          <w:rFonts w:ascii="Times New Roman" w:cs="Times New Roman" w:eastAsia="Times New Roman" w:hAnsi="Times New Roman"/>
          <w:sz w:val="18"/>
          <w:szCs w:val="18"/>
        </w:rPr>
        <w:t xml:space="preserve">[3] G. R. Slemon, Electric Machines and Drives. Reading, MA, USA: Addison-Wesley, 1992.</w:t>
      </w:r>
    </w:p>
    <w:p>
      <w:pPr>
        <w:spacing w:after="80"/>
        <w:ind w:left="288" w:hanging="288"/>
      </w:pPr>
      <w:r>
        <w:rPr>
          <w:rFonts w:ascii="Times New Roman" w:cs="Times New Roman" w:eastAsia="Times New Roman" w:hAnsi="Times New Roman"/>
          <w:sz w:val="18"/>
          <w:szCs w:val="18"/>
        </w:rPr>
        <w:t xml:space="preserve">[4] AutomationDirect Corp., DURAPULSE GS2 Series AC Drive User Manual, Cumming, GA, USA.</w:t>
      </w:r>
    </w:p>
    <w:p>
      <w:pPr>
        <w:spacing w:after="80"/>
        <w:ind w:left="288" w:hanging="288"/>
      </w:pPr>
      <w:r>
        <w:rPr>
          <w:rFonts w:ascii="Times New Roman" w:cs="Times New Roman" w:eastAsia="Times New Roman" w:hAnsi="Times New Roman"/>
          <w:sz w:val="18"/>
          <w:szCs w:val="18"/>
        </w:rPr>
        <w:t xml:space="preserve">[5] Modbus Organization, Inc., “MODBUS Application Protocol Specification V1.1b3,” 2012.</w:t>
      </w:r>
    </w:p>
    <w:p>
      <w:pPr>
        <w:spacing w:after="80"/>
        <w:ind w:left="288" w:hanging="288"/>
      </w:pPr>
      <w:r>
        <w:rPr>
          <w:rFonts w:ascii="Times New Roman" w:cs="Times New Roman" w:eastAsia="Times New Roman" w:hAnsi="Times New Roman"/>
          <w:sz w:val="18"/>
          <w:szCs w:val="18"/>
        </w:rPr>
        <w:t xml:space="preserve">[6] STMicroelectronics, “STM32F401xB/C/D/E Reference Manual (RM0368),” 2021.</w:t>
      </w:r>
    </w:p>
    <w:sectPr>
      <w:type w:val="continuous"/>
      <w:pgSz w:w="12240" w:h="15840" w:orient="portrait"/>
      <w:pgMar w:top="1080" w:right="900" w:bottom="1440" w:left="900" w:header="708" w:footer="708" w:gutter="0"/>
      <w:pgNumType/>
      <w:cols w:space="288"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2026-10-06T19:04:12.592Z</dcterms:created>
  <dcterms:modified xsi:type="dcterms:W3CDTF">2026-10-06T19:04:12.592Z</dcterms:modified>
</cp:coreProperties>
</file>

<file path=docProps/custom.xml><?xml version="1.0" encoding="utf-8"?>
<Properties xmlns="http://schemas.openxmlformats.org/officeDocument/2006/custom-properties" xmlns:vt="http://schemas.openxmlformats.org/officeDocument/2006/docPropsVTypes"/>
</file>