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F4E79"/>
          <w:sz w:val="36"/>
          <w:szCs w:val="36"/>
        </w:rPr>
        <w:t xml:space="preserve">LOVESAC × CONSCIA</w:t>
      </w:r>
    </w:p>
    <w:p>
      <w:pPr>
        <w:spacing w:after="120" w:before="0"/>
      </w:pPr>
      <w:r>
        <w:rPr>
          <w:rFonts w:ascii="Arial" w:cs="Arial" w:eastAsia="Arial" w:hAnsi="Arial"/>
          <w:b/>
          <w:bCs/>
          <w:color w:val="2E75B6"/>
          <w:sz w:val="52"/>
          <w:szCs w:val="52"/>
        </w:rPr>
        <w:t xml:space="preserve">SKU Compatibility Rules</w:t>
      </w:r>
    </w:p>
    <w:p>
      <w:pPr>
        <w:spacing w:after="80" w:before="0"/>
      </w:pPr>
      <w:r>
        <w:rPr>
          <w:rFonts w:ascii="Arial" w:cs="Arial" w:eastAsia="Arial" w:hAnsi="Arial"/>
          <w:color w:val="595959"/>
          <w:sz w:val="22"/>
          <w:szCs w:val="22"/>
        </w:rPr>
        <w:t xml:space="preserve">Derived from Product Data Analysis — 28,089 SKUs</w:t>
      </w:r>
    </w:p>
    <w:p>
      <w:pPr>
        <w:spacing w:after="60" w:before="80"/>
      </w:pPr>
      <w:r>
        <w:rPr>
          <w:rFonts w:ascii="Arial" w:cs="Arial" w:eastAsia="Arial" w:hAnsi="Arial"/>
          <w:i/>
          <w:iCs/>
          <w:color w:val="595959"/>
          <w:sz w:val="20"/>
          <w:szCs w:val="20"/>
        </w:rPr>
        <w:t xml:space="preserve">March 2026  |  Conscia Implementation Team</w:t>
      </w:r>
    </w:p>
    <w:p>
      <w:pPr>
        <w:pBdr>
          <w:bottom w:val="single" w:color="2E75B6" w:sz="4" w:space="1"/>
        </w:pBdr>
        <w:spacing w:after="120" w:before="120"/>
      </w:pPr>
    </w:p>
    <w:p>
      <w:pPr>
        <w:spacing w:after="120" w:before="200"/>
      </w:pPr>
      <w:r>
        <w:rPr>
          <w:rFonts w:ascii="Arial" w:cs="Arial" w:eastAsia="Arial" w:hAnsi="Arial"/>
          <w:b/>
          <w:bCs/>
          <w:color w:val="1F4E79"/>
          <w:sz w:val="24"/>
          <w:szCs w:val="24"/>
        </w:rPr>
        <w:t xml:space="preserve">Purpose of This Document</w:t>
      </w:r>
    </w:p>
    <w:p>
      <w:pPr>
        <w:spacing w:after="100" w:before="60"/>
      </w:pPr>
      <w:r>
        <w:rPr>
          <w:rFonts w:ascii="Arial" w:cs="Arial" w:eastAsia="Arial" w:hAnsi="Arial"/>
          <w:sz w:val="20"/>
          <w:szCs w:val="20"/>
        </w:rPr>
        <w:t xml:space="preserve">This document presents compatibility rules derived programmatically from Lovesac's full product catalog (28,089 SKUs). These rules define which Cover SKUs are compatible with which Insert SKUs across all product lines, and provide the logical basis for configuring DX Graph Relationships. A key finding from this analysis is that Cover ↔ Insert compatibility can be encoded as Dynamic Relationships in DX Graph — eliminating the need for manual 1:M Lookup tagging.</w:t>
      </w:r>
    </w:p>
    <w:p>
      <w:r>
        <w:br w:type="page"/>
      </w:r>
    </w:p>
    <w:p>
      <w:pPr>
        <w:pStyle w:val="Heading1"/>
        <w:spacing w:after="120" w:before="360"/>
      </w:pPr>
      <w:r>
        <w:rPr>
          <w:rFonts w:ascii="Arial" w:cs="Arial" w:eastAsia="Arial" w:hAnsi="Arial"/>
          <w:b/>
          <w:bCs/>
          <w:color w:val="1F4E79"/>
          <w:sz w:val="32"/>
          <w:szCs w:val="32"/>
        </w:rPr>
        <w:t xml:space="preserve">1. Key Findings</w:t>
      </w:r>
    </w:p>
    <w:p>
      <w:pPr>
        <w:spacing w:after="100" w:before="60"/>
      </w:pPr>
      <w:r>
        <w:rPr>
          <w:rFonts w:ascii="Arial" w:cs="Arial" w:eastAsia="Arial" w:hAnsi="Arial"/>
          <w:sz w:val="20"/>
          <w:szCs w:val="20"/>
        </w:rPr>
        <w:t xml:space="preserve">Analysis of the complete Lovesac SKU catalog reveals five principal findings that directly impact how DX Graph Relationships should be modelled:</w:t>
      </w:r>
    </w:p>
    <w:p>
      <w:pPr>
        <w:pStyle w:val="ListParagraph"/>
        <w:numPr>
          <w:ilvl w:val="0"/>
          <w:numId w:val="2"/>
        </w:numPr>
        <w:spacing w:after="40" w:before="40"/>
      </w:pPr>
      <w:r>
        <w:rPr>
          <w:rFonts w:ascii="Arial" w:cs="Arial" w:eastAsia="Arial" w:hAnsi="Arial"/>
          <w:b/>
          <w:bCs/>
          <w:sz w:val="20"/>
          <w:szCs w:val="20"/>
        </w:rPr>
        <w:t xml:space="preserve">Dynamic Relationships can replace manual tagging. </w:t>
      </w:r>
      <w:r>
        <w:rPr>
          <w:rFonts w:ascii="Arial" w:cs="Arial" w:eastAsia="Arial" w:hAnsi="Arial"/>
          <w:sz w:val="20"/>
          <w:szCs w:val="20"/>
        </w:rPr>
        <w:t xml:space="preserve">Cover and Insert records share identical values in the Product and Sactional Size fields. This means DX Graph Dynamic Relationships — which match records by field values — can define Cover ↔ Insert compatibility automatically, across all 15,506 Cover and 151 Insert SKUs, with no row-by-row tagging required.</w:t>
      </w:r>
    </w:p>
    <w:p>
      <w:pPr>
        <w:pStyle w:val="ListParagraph"/>
        <w:numPr>
          <w:ilvl w:val="0"/>
          <w:numId w:val="2"/>
        </w:numPr>
        <w:spacing w:after="40" w:before="40"/>
      </w:pPr>
      <w:r>
        <w:rPr>
          <w:rFonts w:ascii="Arial" w:cs="Arial" w:eastAsia="Arial" w:hAnsi="Arial"/>
          <w:b/>
          <w:bCs/>
          <w:sz w:val="20"/>
          <w:szCs w:val="20"/>
        </w:rPr>
        <w:t xml:space="preserve">Two-field matching rule. </w:t>
      </w:r>
      <w:r>
        <w:rPr>
          <w:rFonts w:ascii="Arial" w:cs="Arial" w:eastAsia="Arial" w:hAnsi="Arial"/>
          <w:sz w:val="20"/>
          <w:szCs w:val="20"/>
        </w:rPr>
        <w:t xml:space="preserve">The compatibility condition is: Cover.Product == Insert.Product AND Cover.Sactional_Size == Insert.Sactional_Size. Every compatible Cover-Insert pair in the data satisfies exactly this condition.</w:t>
      </w:r>
    </w:p>
    <w:p>
      <w:pPr>
        <w:pStyle w:val="ListParagraph"/>
        <w:numPr>
          <w:ilvl w:val="0"/>
          <w:numId w:val="2"/>
        </w:numPr>
        <w:spacing w:after="40" w:before="40"/>
      </w:pPr>
      <w:r>
        <w:rPr>
          <w:rFonts w:ascii="Arial" w:cs="Arial" w:eastAsia="Arial" w:hAnsi="Arial"/>
          <w:b/>
          <w:bCs/>
          <w:sz w:val="20"/>
          <w:szCs w:val="20"/>
        </w:rPr>
        <w:t xml:space="preserve">Series isolation is absolute. </w:t>
      </w:r>
      <w:r>
        <w:rPr>
          <w:rFonts w:ascii="Arial" w:cs="Arial" w:eastAsia="Arial" w:hAnsi="Arial"/>
          <w:sz w:val="20"/>
          <w:szCs w:val="20"/>
        </w:rPr>
        <w:t xml:space="preserve">5 Series and 6 Series components are never interchangeable. No cover or insert crosses series lines. The Sactional Size field enforces this boundary completely.</w:t>
      </w:r>
    </w:p>
    <w:p>
      <w:pPr>
        <w:pStyle w:val="ListParagraph"/>
        <w:numPr>
          <w:ilvl w:val="0"/>
          <w:numId w:val="2"/>
        </w:numPr>
        <w:spacing w:after="40" w:before="40"/>
      </w:pPr>
      <w:r>
        <w:rPr>
          <w:rFonts w:ascii="Arial" w:cs="Arial" w:eastAsia="Arial" w:hAnsi="Arial"/>
          <w:b/>
          <w:bCs/>
          <w:sz w:val="20"/>
          <w:szCs w:val="20"/>
        </w:rPr>
        <w:t xml:space="preserve">Outdoor Platform is a secondary compatibility filter. </w:t>
      </w:r>
      <w:r>
        <w:rPr>
          <w:rFonts w:ascii="Arial" w:cs="Arial" w:eastAsia="Arial" w:hAnsi="Arial"/>
          <w:sz w:val="20"/>
          <w:szCs w:val="20"/>
        </w:rPr>
        <w:t xml:space="preserve">100 Outdoor covers should only be paired with Outdoor fill inserts. All other covers (15,406 Indoor) pair with Standard Foam, Lovesoft, or Down Blend fill types. The Platform field ('Indoor' / 'Outdoor') captures this cleanly.</w:t>
      </w:r>
    </w:p>
    <w:p>
      <w:pPr>
        <w:pStyle w:val="ListParagraph"/>
        <w:numPr>
          <w:ilvl w:val="0"/>
          <w:numId w:val="2"/>
        </w:numPr>
        <w:spacing w:after="40" w:before="40"/>
      </w:pPr>
      <w:r>
        <w:rPr>
          <w:rFonts w:ascii="Arial" w:cs="Arial" w:eastAsia="Arial" w:hAnsi="Arial"/>
          <w:b/>
          <w:bCs/>
          <w:sz w:val="20"/>
          <w:szCs w:val="20"/>
        </w:rPr>
        <w:t xml:space="preserve">Not all components need an insert. </w:t>
      </w:r>
      <w:r>
        <w:rPr>
          <w:rFonts w:ascii="Arial" w:cs="Arial" w:eastAsia="Arial" w:hAnsi="Arial"/>
          <w:sz w:val="20"/>
          <w:szCs w:val="20"/>
        </w:rPr>
        <w:t xml:space="preserve">Nine Cover-only product types (e.g. Reclining Seat Footrest, Storage Seat Lid, Piping pieces) have no matching insert. StealthTech electronic components (Sound + Charge Side, Satellite Side, etc.) exist as Insert-only records with no separate cover.</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DD7EE" w:val="clear"/>
            <w:tcMar>
              <w:top w:type="dxa" w:w="100"/>
              <w:left w:type="dxa" w:w="180"/>
              <w:bottom w:type="dxa" w:w="100"/>
              <w:right w:type="dxa" w:w="180"/>
            </w:tcMar>
          </w:tcPr>
          <w:p>
            <w:r>
              <w:rPr>
                <w:rFonts w:ascii="Arial" w:cs="Arial" w:eastAsia="Arial" w:hAnsi="Arial"/>
                <w:sz w:val="20"/>
                <w:szCs w:val="20"/>
              </w:rPr>
              <w:t xml:space="preserve">Architectural implication: COMPATIBLE_WITH should be implemented as a DX Graph Dynamic Relationship (field-match rule), not a manually-built 1:M Lookup Relationship. This reduces data loading complexity and automatically keeps relationships current as new SKUs are added.</w:t>
            </w:r>
          </w:p>
        </w:tc>
      </w:tr>
    </w:tbl>
    <w:p>
      <w:r>
        <w:br w:type="page"/>
      </w:r>
    </w:p>
    <w:p>
      <w:pPr>
        <w:pStyle w:val="Heading1"/>
        <w:spacing w:after="120" w:before="360"/>
      </w:pPr>
      <w:r>
        <w:rPr>
          <w:rFonts w:ascii="Arial" w:cs="Arial" w:eastAsia="Arial" w:hAnsi="Arial"/>
          <w:b/>
          <w:bCs/>
          <w:color w:val="1F4E79"/>
          <w:sz w:val="32"/>
          <w:szCs w:val="32"/>
        </w:rPr>
        <w:t xml:space="preserve">2. Recommended DX Graph Dynamic Relationship</w:t>
      </w:r>
    </w:p>
    <w:p>
      <w:pPr>
        <w:spacing w:after="100" w:before="60"/>
      </w:pPr>
      <w:r>
        <w:rPr>
          <w:rFonts w:ascii="Arial" w:cs="Arial" w:eastAsia="Arial" w:hAnsi="Arial"/>
          <w:sz w:val="20"/>
          <w:szCs w:val="20"/>
        </w:rPr>
        <w:t xml:space="preserve">Based on the field analysis below, the COMPATIBLE_WITH Relationship within the unified SKU Collection should be configured as a same-collection Dynamic Relationship in DX Graph using the following two-field matching rule. The relationship is scoped from Line=Cover records to Line=Insert records — both residing in the same Collection, distinguished by the Line field:</w:t>
      </w:r>
    </w:p>
    <w:p>
      <w:pPr>
        <w:spacing w:after="4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SKU[Line=Cover] Field</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SKU[Line=Insert] Field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bCs/>
                <w:color w:val="000000"/>
                <w:sz w:val="18"/>
                <w:szCs w:val="18"/>
              </w:rPr>
              <w:t xml:space="preserve">Primary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Product  (e.g. "Seat", "Side", "Back Pillow")</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Product  (same values)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bCs/>
                <w:color w:val="000000"/>
                <w:sz w:val="18"/>
                <w:szCs w:val="18"/>
              </w:rPr>
              <w:t xml:space="preserve">Primary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Sactional Size  ("5 Series" or "6 Series")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Sactional Size  (same values)</w:t>
            </w:r>
          </w:p>
        </w:tc>
      </w:tr>
      <w:tr>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b/>
                <w:bCs/>
                <w:color w:val="000000"/>
                <w:sz w:val="18"/>
                <w:szCs w:val="18"/>
              </w:rPr>
              <w:t xml:space="preserve">Secondary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Platform  ("Indoor" or "Outdoor")</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Fill Type  (map: Outdoor→Outdoor; Indoor→Std Foam / Lovesoft / Down Blend)</w:t>
            </w:r>
          </w:p>
        </w:tc>
      </w:tr>
    </w:tbl>
    <w:p>
      <w:pPr>
        <w:spacing w:before="160"/>
      </w:pPr>
    </w:p>
    <w:p>
      <w:pPr>
        <w:spacing w:after="100" w:before="60"/>
      </w:pPr>
      <w:r>
        <w:rPr>
          <w:rFonts w:ascii="Arial" w:cs="Arial" w:eastAsia="Arial" w:hAnsi="Arial"/>
          <w:sz w:val="20"/>
          <w:szCs w:val="20"/>
        </w:rPr>
        <w:t xml:space="preserve">The secondary Outdoor condition can be enforced at the Experience Rule level in DX Engine rather than in the DX Graph relationship definition, keeping the dynamic rule simple. The DX Engine Configuration Validation flow already applies step logic — the Outdoor filter becomes one additional condition in that flow.</w:t>
      </w:r>
    </w:p>
    <w:p>
      <w:pPr>
        <w:pStyle w:val="Heading3"/>
        <w:spacing w:after="60" w:before="200"/>
      </w:pPr>
      <w:r>
        <w:rPr>
          <w:rFonts w:ascii="Arial" w:cs="Arial" w:eastAsia="Arial" w:hAnsi="Arial"/>
          <w:b/>
          <w:bCs/>
          <w:color w:val="404040"/>
          <w:sz w:val="22"/>
          <w:szCs w:val="22"/>
        </w:rPr>
        <w:t xml:space="preserve">Why Dynamic over 1:M Lookup?</w:t>
      </w:r>
    </w:p>
    <w:p>
      <w:pPr>
        <w:pStyle w:val="ListParagraph"/>
        <w:numPr>
          <w:ilvl w:val="0"/>
          <w:numId w:val="2"/>
        </w:numPr>
        <w:spacing w:after="40" w:before="40"/>
      </w:pPr>
      <w:r>
        <w:rPr>
          <w:rFonts w:ascii="Arial" w:cs="Arial" w:eastAsia="Arial" w:hAnsi="Arial"/>
          <w:sz w:val="20"/>
          <w:szCs w:val="20"/>
        </w:rPr>
        <w:t xml:space="preserve">A 1:M Lookup Relationship requires explicit pairing of each Cover record to each of its compatible Insert records during data loading. With 15,506 Cover SKUs and 151 Insert SKUs, and new SKUs constantly added, this requires ongoing maintenance.</w:t>
      </w:r>
    </w:p>
    <w:p>
      <w:pPr>
        <w:pStyle w:val="ListParagraph"/>
        <w:numPr>
          <w:ilvl w:val="0"/>
          <w:numId w:val="2"/>
        </w:numPr>
        <w:spacing w:after="40" w:before="40"/>
      </w:pPr>
      <w:r>
        <w:rPr>
          <w:rFonts w:ascii="Arial" w:cs="Arial" w:eastAsia="Arial" w:hAnsi="Arial"/>
          <w:sz w:val="20"/>
          <w:szCs w:val="20"/>
        </w:rPr>
        <w:t xml:space="preserve">A Dynamic Relationship defines the rule once at the schema level. Every new Cover or Insert SKU added to the catalog is automatically incorporated — no re-tagging jobs needed.</w:t>
      </w:r>
    </w:p>
    <w:p>
      <w:pPr>
        <w:pStyle w:val="ListParagraph"/>
        <w:numPr>
          <w:ilvl w:val="0"/>
          <w:numId w:val="2"/>
        </w:numPr>
        <w:spacing w:after="40" w:before="40"/>
      </w:pPr>
      <w:r>
        <w:rPr>
          <w:rFonts w:ascii="Arial" w:cs="Arial" w:eastAsia="Arial" w:hAnsi="Arial"/>
          <w:sz w:val="20"/>
          <w:szCs w:val="20"/>
        </w:rPr>
        <w:t xml:space="preserve">Field values (Product, Sactional Size) are already set correctly in the source data. No data transformation is required to support this rule.</w:t>
      </w:r>
    </w:p>
    <w:p>
      <w:r>
        <w:br w:type="page"/>
      </w:r>
    </w:p>
    <w:p>
      <w:pPr>
        <w:pStyle w:val="Heading1"/>
        <w:spacing w:after="120" w:before="360"/>
      </w:pPr>
      <w:r>
        <w:rPr>
          <w:rFonts w:ascii="Arial" w:cs="Arial" w:eastAsia="Arial" w:hAnsi="Arial"/>
          <w:b/>
          <w:bCs/>
          <w:color w:val="1F4E79"/>
          <w:sz w:val="32"/>
          <w:szCs w:val="32"/>
        </w:rPr>
        <w:t xml:space="preserve">3. Sactionals Compatibility Rules</w:t>
      </w:r>
    </w:p>
    <w:p>
      <w:pPr>
        <w:spacing w:after="100" w:before="60"/>
      </w:pPr>
      <w:r>
        <w:rPr>
          <w:rFonts w:ascii="Arial" w:cs="Arial" w:eastAsia="Arial" w:hAnsi="Arial"/>
          <w:sz w:val="20"/>
          <w:szCs w:val="20"/>
        </w:rPr>
        <w:t xml:space="preserve">Sactionals is the primary configurable product line. It accounts for 15,906 SKUs — 15,506 Covers and 151 Inserts (with 249 belonging to accessories, spare parts, and other lines).</w:t>
      </w:r>
    </w:p>
    <w:p>
      <w:pPr>
        <w:pStyle w:val="Heading2"/>
        <w:spacing w:after="80" w:before="280"/>
      </w:pPr>
      <w:r>
        <w:rPr>
          <w:rFonts w:ascii="Arial" w:cs="Arial" w:eastAsia="Arial" w:hAnsi="Arial"/>
          <w:b/>
          <w:bCs/>
          <w:color w:val="2E75B6"/>
          <w:sz w:val="26"/>
          <w:szCs w:val="26"/>
        </w:rPr>
        <w:t xml:space="preserve">3.1  Six Series (6 Series) — Cover ↔ Insert Compatibility</w:t>
      </w:r>
    </w:p>
    <w:p>
      <w:pPr>
        <w:spacing w:after="100" w:before="60"/>
      </w:pPr>
      <w:r>
        <w:rPr>
          <w:rFonts w:ascii="Arial" w:cs="Arial" w:eastAsia="Arial" w:hAnsi="Arial"/>
          <w:sz w:val="20"/>
          <w:szCs w:val="20"/>
        </w:rPr>
        <w:t xml:space="preserve">6 Series is the current and primary product generation. Covers available in up to 143 distinct fabrics and 379 colour options per product type.</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 Type (Cover)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 Covers</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Compatible Insert Fill Types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Angled Side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352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Angled Side Pillow</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352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Back Pillow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718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 Outdoor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Deep Angled Side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350</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Deep Back Pillow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549</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Deep Reclining Seat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268</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Deep Seat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426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Deep Side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604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Deep Storage Seat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420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Reclining Seat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268</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Reclining Seat Cushion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222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Roll Arm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567</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Seat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737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 Outdoor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Seat Cushion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642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 Outdoor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Seat Frame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536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(frame insert, no fill)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Side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769</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Storage Seat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429</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Swept Arm: 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250</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(structural, no fill)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Swept Arm: 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250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(structural, no fill)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Wedge Seat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518</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Wedge Seat Cushion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422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 Down Blend</w:t>
            </w:r>
          </w:p>
        </w:tc>
      </w:tr>
    </w:tbl>
    <w:p>
      <w:pPr>
        <w:spacing w:before="200"/>
      </w:pPr>
    </w:p>
    <w:p>
      <w:pPr>
        <w:pStyle w:val="Heading2"/>
        <w:spacing w:after="80" w:before="280"/>
      </w:pPr>
      <w:r>
        <w:rPr>
          <w:rFonts w:ascii="Arial" w:cs="Arial" w:eastAsia="Arial" w:hAnsi="Arial"/>
          <w:b/>
          <w:bCs/>
          <w:color w:val="2E75B6"/>
          <w:sz w:val="26"/>
          <w:szCs w:val="26"/>
        </w:rPr>
        <w:t xml:space="preserve">3.2  Five Series (5 Series) — Cover ↔ Insert Compatibility</w:t>
      </w:r>
    </w:p>
    <w:p>
      <w:pPr>
        <w:spacing w:after="100" w:before="60"/>
      </w:pPr>
      <w:r>
        <w:rPr>
          <w:rFonts w:ascii="Arial" w:cs="Arial" w:eastAsia="Arial" w:hAnsi="Arial"/>
          <w:sz w:val="20"/>
          <w:szCs w:val="20"/>
        </w:rPr>
        <w:t xml:space="preserve">5 Series is the legacy generation. Fewer product types are available, and fill type options are more limited (Standard Foam and Outdoor only — no Lovesoft or Down Blend).</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 Type (Cover)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 Covers</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Compatible Insert Fill Types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Back Pillow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460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Outdoor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Deep Side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394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Outdoor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Seat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435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Outdoor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Seat Cushion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424</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Outdoor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Side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446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w:t>
            </w:r>
          </w:p>
        </w:tc>
      </w:tr>
    </w:tbl>
    <w:p>
      <w:pPr>
        <w:spacing w:before="200"/>
      </w:pPr>
    </w:p>
    <w:p>
      <w:pPr>
        <w:pStyle w:val="Heading2"/>
        <w:spacing w:after="80" w:before="280"/>
      </w:pPr>
      <w:r>
        <w:rPr>
          <w:rFonts w:ascii="Arial" w:cs="Arial" w:eastAsia="Arial" w:hAnsi="Arial"/>
          <w:b/>
          <w:bCs/>
          <w:color w:val="2E75B6"/>
          <w:sz w:val="26"/>
          <w:szCs w:val="26"/>
        </w:rPr>
        <w:t xml:space="preserve">3.3  Cover-Only Components (No Insert Required)</w:t>
      </w:r>
    </w:p>
    <w:p>
      <w:pPr>
        <w:spacing w:after="100" w:before="60"/>
      </w:pPr>
      <w:r>
        <w:rPr>
          <w:rFonts w:ascii="Arial" w:cs="Arial" w:eastAsia="Arial" w:hAnsi="Arial"/>
          <w:sz w:val="20"/>
          <w:szCs w:val="20"/>
        </w:rPr>
        <w:t xml:space="preserve">The following product types are sold as covers only and have no corresponding insert. They should not appear in COMPATIBLE_WITH relationship queries.</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 Type</w:t>
            </w:r>
          </w:p>
        </w:tc>
        <w:tc>
          <w:tcPr>
            <w:tcW w:type="dxa" w:w="10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r>
              <w:rPr>
                <w:rFonts w:ascii="Arial" w:cs="Arial" w:eastAsia="Arial" w:hAnsi="Arial"/>
                <w:b/>
                <w:bCs/>
                <w:color w:val="FFFFFF"/>
                <w:sz w:val="18"/>
                <w:szCs w:val="18"/>
              </w:rPr>
              <w:t xml:space="preserve"># Covers</w:t>
            </w:r>
          </w:p>
        </w:tc>
        <w:tc>
          <w:tcPr>
            <w:tcW w:type="dxa" w:w="516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r>
              <w:rPr>
                <w:rFonts w:ascii="Arial" w:cs="Arial" w:eastAsia="Arial" w:hAnsi="Arial"/>
                <w:b/>
                <w:bCs/>
                <w:color w:val="FFFFFF"/>
                <w:sz w:val="18"/>
                <w:szCs w:val="18"/>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Back Pillow Piping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Decorative trim — no insert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Reclining Seat Footrest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666</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Mechanical component — no insert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Seat Cushion Piping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Decorative trim — no insert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Side Piping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29</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Decorative trim — no insert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Storage Frame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371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Structural frame — no insert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Storage Seat Lid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371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Lid component — no insert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Wedge Seat Frame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411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Structural frame — no insert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3 &amp; 4 Cover Set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Bundle SKU — no insert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4 &amp; 5 Cover Set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Bundle SKU — no insert</w:t>
            </w:r>
          </w:p>
        </w:tc>
      </w:tr>
    </w:tbl>
    <w:p>
      <w:pPr>
        <w:spacing w:before="200"/>
      </w:pPr>
    </w:p>
    <w:p>
      <w:pPr>
        <w:pStyle w:val="Heading2"/>
        <w:spacing w:after="80" w:before="280"/>
      </w:pPr>
      <w:r>
        <w:rPr>
          <w:rFonts w:ascii="Arial" w:cs="Arial" w:eastAsia="Arial" w:hAnsi="Arial"/>
          <w:b/>
          <w:bCs/>
          <w:color w:val="2E75B6"/>
          <w:sz w:val="26"/>
          <w:szCs w:val="26"/>
        </w:rPr>
        <w:t xml:space="preserve">3.4  Insert-Only Components — StealthTech (No Separate Cover)</w:t>
      </w:r>
    </w:p>
    <w:p>
      <w:pPr>
        <w:spacing w:after="100" w:before="60"/>
      </w:pPr>
      <w:r>
        <w:rPr>
          <w:rFonts w:ascii="Arial" w:cs="Arial" w:eastAsia="Arial" w:hAnsi="Arial"/>
          <w:sz w:val="20"/>
          <w:szCs w:val="20"/>
        </w:rPr>
        <w:t xml:space="preserve">StealthTech Sound + Charge components exist as inserts only. They are electronic components that integrate sound and charging capability into the Sactionals frame. They do not have a paired fabric cover record — the outer cover of the adjacent Side or Arm piece provides coverage.</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 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 Inserts</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Sound + Charge Side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StealthTech electronic side panel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Sound + Charge Angled Side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StealthTech electronic angled side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Sound + Charge Angled Side Pillow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StealthTech pillow with Acoustic Foam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Sound + Charge Swept Arm Side: 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StealthTech swept arm (left)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Sound + Charge Swept Arm Side: 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StealthTech swept arm (right)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Charge Side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StealthTech charging side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Charge Angled Side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StealthTech charging angled side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Satellite Side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StealthTech satellite side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Angled Satellite Side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StealthTech angled satellite side</w:t>
            </w:r>
          </w:p>
        </w:tc>
      </w:tr>
    </w:tbl>
    <w:p>
      <w:r>
        <w:br w:type="page"/>
      </w:r>
    </w:p>
    <w:p>
      <w:pPr>
        <w:pStyle w:val="Heading1"/>
        <w:spacing w:after="120" w:before="360"/>
      </w:pPr>
      <w:r>
        <w:rPr>
          <w:rFonts w:ascii="Arial" w:cs="Arial" w:eastAsia="Arial" w:hAnsi="Arial"/>
          <w:b/>
          <w:bCs/>
          <w:color w:val="1F4E79"/>
          <w:sz w:val="32"/>
          <w:szCs w:val="32"/>
        </w:rPr>
        <w:t xml:space="preserve">4. Sac (Bean Bag) Compatibility Rules</w:t>
      </w:r>
    </w:p>
    <w:p>
      <w:pPr>
        <w:spacing w:after="100" w:before="60"/>
      </w:pPr>
      <w:r>
        <w:rPr>
          <w:rFonts w:ascii="Arial" w:cs="Arial" w:eastAsia="Arial" w:hAnsi="Arial"/>
          <w:sz w:val="20"/>
          <w:szCs w:val="20"/>
        </w:rPr>
        <w:t xml:space="preserve">The Sac product line consists of 4,665 SKUs — 4,298 Covers and 58 Inserts (plus 167 Insert &amp; Cover bundles and 142 accessories/spare parts). Sac compatibility is simpler than Sactionals: a single matching field (Product) determines which insert fits which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DD7EE" w:val="clear"/>
            <w:tcMar>
              <w:top w:type="dxa" w:w="100"/>
              <w:left w:type="dxa" w:w="180"/>
              <w:bottom w:type="dxa" w:w="100"/>
              <w:right w:type="dxa" w:w="180"/>
            </w:tcMar>
          </w:tcPr>
          <w:p>
            <w:r>
              <w:rPr>
                <w:rFonts w:ascii="Arial" w:cs="Arial" w:eastAsia="Arial" w:hAnsi="Arial"/>
                <w:sz w:val="20"/>
                <w:szCs w:val="20"/>
              </w:rPr>
              <w:t xml:space="preserve">DX Graph Dynamic Relationship Rule for Sac: Cover.Product == Insert.Product. No series dimension applies.</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Sac Model (Product)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 Covers</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Insert Fill Type(s)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BigOne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557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Durafoam</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Citysac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631</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Durafoam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Gamersac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357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Durafoam</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Kidsac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Durafoam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Medium Petsac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Durafoam</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Moviesac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614</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Durafoam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PillowSac Jr.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226</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Single fill (no label in data)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Pillowsac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608</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Durafoam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Pouf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14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Kapok</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Small Petsac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4</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Durafoam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Squattoman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640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Durafoam, Polystyrene Beads, Shredded Mattress Fiber, Standard Foam</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Supersac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637</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Durafoam</w:t>
            </w:r>
          </w:p>
        </w:tc>
      </w:tr>
    </w:tbl>
    <w:p>
      <w:pPr>
        <w:spacing w:before="160"/>
      </w:pPr>
    </w:p>
    <w:p>
      <w:pPr>
        <w:spacing w:after="100" w:before="60"/>
      </w:pPr>
      <w:r>
        <w:rPr>
          <w:rFonts w:ascii="Arial" w:cs="Arial" w:eastAsia="Arial" w:hAnsi="Arial"/>
          <w:sz w:val="20"/>
          <w:szCs w:val="20"/>
        </w:rPr>
        <w:t xml:space="preserve">Note: The Squattoman has multiple fill type options (including Polystyrene Beads for a firmer seat). All other Sac models use Durafoam exclusively. This is consistent across all 12 Sac product types.</w:t>
      </w:r>
    </w:p>
    <w:p>
      <w:r>
        <w:br w:type="page"/>
      </w:r>
    </w:p>
    <w:p>
      <w:pPr>
        <w:pStyle w:val="Heading1"/>
        <w:spacing w:after="120" w:before="360"/>
      </w:pPr>
      <w:r>
        <w:rPr>
          <w:rFonts w:ascii="Arial" w:cs="Arial" w:eastAsia="Arial" w:hAnsi="Arial"/>
          <w:b/>
          <w:bCs/>
          <w:color w:val="1F4E79"/>
          <w:sz w:val="32"/>
          <w:szCs w:val="32"/>
        </w:rPr>
        <w:t xml:space="preserve">5. Snugg Compatibility Rules</w:t>
      </w:r>
    </w:p>
    <w:p>
      <w:pPr>
        <w:spacing w:after="100" w:before="60"/>
      </w:pPr>
      <w:r>
        <w:rPr>
          <w:rFonts w:ascii="Arial" w:cs="Arial" w:eastAsia="Arial" w:hAnsi="Arial"/>
          <w:sz w:val="20"/>
          <w:szCs w:val="20"/>
        </w:rPr>
        <w:t xml:space="preserve">Snugg is Lovesac's traditional sofa line — 1,977 Indoor SKUs with 1,925 Covers and 52 associated insert/component records. Compatibility follows the same Product-matching pattern as Sac. All Snugg covers are Indoor platform.</w:t>
      </w:r>
    </w:p>
    <w:p>
      <w:pPr>
        <w:pStyle w:val="Heading2"/>
        <w:spacing w:after="80" w:before="280"/>
      </w:pPr>
      <w:r>
        <w:rPr>
          <w:rFonts w:ascii="Arial" w:cs="Arial" w:eastAsia="Arial" w:hAnsi="Arial"/>
          <w:b/>
          <w:bCs/>
          <w:color w:val="2E75B6"/>
          <w:sz w:val="26"/>
          <w:szCs w:val="26"/>
        </w:rPr>
        <w:t xml:space="preserve">5.1  Cushion &amp; Pillow Components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 Type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 Covers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Insert Fill Options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Chair Seat Cushion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Loveseat Seat Cushion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2-Cushion Sofa Seat Cushion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3-Cushion Sofa Seat Cushion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Chair Back Pillow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Loveseat Back Pillow</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2-Cushion Sofa Back Pillow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3-Cushion Sofa Back Pillow</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Standard Foam, Lovesoft</w:t>
            </w:r>
          </w:p>
        </w:tc>
      </w:tr>
    </w:tbl>
    <w:p>
      <w:pPr>
        <w:spacing w:before="200"/>
      </w:pPr>
    </w:p>
    <w:p>
      <w:pPr>
        <w:pStyle w:val="Heading2"/>
        <w:spacing w:after="80" w:before="280"/>
      </w:pPr>
      <w:r>
        <w:rPr>
          <w:rFonts w:ascii="Arial" w:cs="Arial" w:eastAsia="Arial" w:hAnsi="Arial"/>
          <w:b/>
          <w:bCs/>
          <w:color w:val="2E75B6"/>
          <w:sz w:val="26"/>
          <w:szCs w:val="26"/>
        </w:rPr>
        <w:t xml:space="preserve">5.2  Frame &amp; Structural Components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 Type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 Covers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Matched Insert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Chair Seat Set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Matched by Seat Set insert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Loveseat Seat Set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Matched by Seat Set insert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2-Cushion Sofa Seat Set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Matched by Seat Set insert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3-Cushion Sofa Seat Set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Matched by Seat Set insert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Chair Back</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Back insert (structural)</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Loveseat Back</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Back insert (structural)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Sofa Back</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Back insert (structural)</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Chair Beam</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Beam insert (structural)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Loveseat Beam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Beam insert (structural)</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Sofa Beam</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Beam insert (structural)</w:t>
            </w:r>
          </w:p>
        </w:tc>
      </w:tr>
    </w:tbl>
    <w:p>
      <w:pPr>
        <w:spacing w:before="200"/>
      </w:pPr>
    </w:p>
    <w:p>
      <w:pPr>
        <w:pStyle w:val="Heading2"/>
        <w:spacing w:after="80" w:before="280"/>
      </w:pPr>
      <w:r>
        <w:rPr>
          <w:rFonts w:ascii="Arial" w:cs="Arial" w:eastAsia="Arial" w:hAnsi="Arial"/>
          <w:b/>
          <w:bCs/>
          <w:color w:val="2E75B6"/>
          <w:sz w:val="26"/>
          <w:szCs w:val="26"/>
        </w:rPr>
        <w:t xml:space="preserve">5.3  Arm Components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 Type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 Covers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Matched Insert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Square Arm Cover: 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Matched by Square Arm Insert Set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Square Arm Cover: R</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Matched by Square Arm Insert Set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Swept Arm Cover: 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Matched by Swept Arm Insert Set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Swept Arm Cover: R</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Matched by Swept Arm Insert Set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Tapered Arm Cover: 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Matched by Tapered Arm Insert Set</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Tapered Arm Cover: R</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Matched by Tapered Arm Insert Set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Arm Pillow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595959"/>
                <w:sz w:val="18"/>
                <w:szCs w:val="18"/>
              </w:rPr>
              <w:t xml:space="preserve">77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Arm Pillow Insert (structural)</w:t>
            </w:r>
          </w:p>
        </w:tc>
      </w:tr>
    </w:tbl>
    <w:p>
      <w:r>
        <w:br w:type="page"/>
      </w:r>
    </w:p>
    <w:p>
      <w:pPr>
        <w:pStyle w:val="Heading1"/>
        <w:spacing w:after="120" w:before="360"/>
      </w:pPr>
      <w:r>
        <w:rPr>
          <w:rFonts w:ascii="Arial" w:cs="Arial" w:eastAsia="Arial" w:hAnsi="Arial"/>
          <w:b/>
          <w:bCs/>
          <w:color w:val="1F4E79"/>
          <w:sz w:val="32"/>
          <w:szCs w:val="32"/>
        </w:rPr>
        <w:t xml:space="preserve">6. DX Graph Implementation Notes</w:t>
      </w:r>
    </w:p>
    <w:p>
      <w:pPr>
        <w:pStyle w:val="Heading2"/>
        <w:spacing w:after="80" w:before="280"/>
      </w:pPr>
      <w:r>
        <w:rPr>
          <w:rFonts w:ascii="Arial" w:cs="Arial" w:eastAsia="Arial" w:hAnsi="Arial"/>
          <w:b/>
          <w:bCs/>
          <w:color w:val="2E75B6"/>
          <w:sz w:val="26"/>
          <w:szCs w:val="26"/>
        </w:rPr>
        <w:t xml:space="preserve">6.1  Collections Required</w:t>
      </w:r>
    </w:p>
    <w:p>
      <w:pPr>
        <w:spacing w:after="100" w:before="60"/>
      </w:pPr>
      <w:r>
        <w:rPr>
          <w:rFonts w:ascii="Arial" w:cs="Arial" w:eastAsia="Arial" w:hAnsi="Arial"/>
          <w:sz w:val="20"/>
          <w:szCs w:val="20"/>
        </w:rPr>
        <w:t xml:space="preserve">The final architecture uses a single unified SKU Collection for all purchasable SKU records across all brands (Sactional, Sac, Snugg, Accessories). The Line field distinguishes record roles within the Collection — Cover, Insert, Insert &amp; Cover, Finished Good, etc. — eliminating the need for separate per-brand or per-role collections.</w:t>
      </w:r>
    </w:p>
    <w:p>
      <w:pPr>
        <w:pStyle w:val="ListParagraph"/>
        <w:numPr>
          <w:ilvl w:val="0"/>
          <w:numId w:val="2"/>
        </w:numPr>
        <w:spacing w:after="40" w:before="40"/>
      </w:pPr>
      <w:r>
        <w:rPr>
          <w:rFonts w:ascii="Arial" w:cs="Arial" w:eastAsia="Arial" w:hAnsi="Arial"/>
          <w:sz w:val="20"/>
          <w:szCs w:val="20"/>
        </w:rPr>
        <w:t xml:space="preserve">SKU Collection (single collection, all brands and lines) — Key fields: SKU ID, Display Name, Brand (Sactional / Sac / Snugg / Accessories), Line (Cover / Insert / Insert &amp; Cover / Finished Good), Product (Seat / Side / Supersac / etc.), Sactional Size (5 Series / 6 Series / n/a), Fabric, Fabric Category, Color, Color Family, Fill Type, Type (Custom / Quickship / Limited Edition), Platform (Indoor / Outdoor), Product Category, MSRP, Discontinued, Inactive</w:t>
      </w:r>
    </w:p>
    <w:p>
      <w:pPr>
        <w:pStyle w:val="ListParagraph"/>
        <w:numPr>
          <w:ilvl w:val="0"/>
          <w:numId w:val="2"/>
        </w:numPr>
        <w:spacing w:after="40" w:before="40"/>
      </w:pPr>
      <w:r>
        <w:rPr>
          <w:rFonts w:ascii="Arial" w:cs="Arial" w:eastAsia="Arial" w:hAnsi="Arial"/>
          <w:sz w:val="20"/>
          <w:szCs w:val="20"/>
        </w:rPr>
        <w:t xml:space="preserve">Configuration Collection — fields: Config ID, Channel, creation timestamp, status (draft / validated / ordered). Linked to SKU Collection via CONTAINS relationship.</w:t>
      </w:r>
    </w:p>
    <w:p>
      <w:pPr>
        <w:pStyle w:val="ListParagraph"/>
        <w:numPr>
          <w:ilvl w:val="0"/>
          <w:numId w:val="2"/>
        </w:numPr>
        <w:spacing w:after="40" w:before="40"/>
      </w:pPr>
      <w:r>
        <w:rPr>
          <w:rFonts w:ascii="Arial" w:cs="Arial" w:eastAsia="Arial" w:hAnsi="Arial"/>
          <w:sz w:val="20"/>
          <w:szCs w:val="20"/>
        </w:rPr>
        <w:t xml:space="preserve">Taxonomy Collections (up to 3) — one per channel taxonomy requirement: Internal ops, Lovesac.com, Marketplace (Google Shopping, ChatGPT). Linked from SKU Collection via MAPS_TO relationship.</w:t>
      </w:r>
    </w:p>
    <w:p>
      <w:pPr>
        <w:spacing w:before="120"/>
      </w:pPr>
    </w:p>
    <w:p>
      <w:pPr>
        <w:pStyle w:val="Heading2"/>
        <w:spacing w:after="80" w:before="280"/>
      </w:pPr>
      <w:r>
        <w:rPr>
          <w:rFonts w:ascii="Arial" w:cs="Arial" w:eastAsia="Arial" w:hAnsi="Arial"/>
          <w:b/>
          <w:bCs/>
          <w:color w:val="2E75B6"/>
          <w:sz w:val="26"/>
          <w:szCs w:val="26"/>
        </w:rPr>
        <w:t xml:space="preserve">6.2  Relationship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Relationship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Match Rule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bCs/>
                <w:color w:val="000000"/>
                <w:sz w:val="18"/>
                <w:szCs w:val="18"/>
              </w:rPr>
              <w:t xml:space="preserve">COMPATIBLE_WITH (Sactionals)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Dynamic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SKU → SKU (same-coll.)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Line=Cover → Line=Insert. Product == Product AND Sactional_Size == Sactional_Size.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bCs/>
                <w:color w:val="000000"/>
                <w:sz w:val="18"/>
                <w:szCs w:val="18"/>
              </w:rPr>
              <w:t xml:space="preserve">COMPATIBLE_WITH (Sac)</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Dynamic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SKU → SKU (same-coll.)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Line=Cover → Line=Insert, Brand=Sac. Product == Product. No series dimension.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bCs/>
                <w:color w:val="000000"/>
                <w:sz w:val="18"/>
                <w:szCs w:val="18"/>
              </w:rPr>
              <w:t xml:space="preserve">COMPATIBLE_WITH (Snugg)</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Dynamic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SKU → SKU (same-coll.)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Line=Cover → Line=Insert, Brand=Snugg. Product == Product.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bCs/>
                <w:color w:val="000000"/>
                <w:sz w:val="18"/>
                <w:szCs w:val="18"/>
              </w:rPr>
              <w:t xml:space="preserve">COMPATIBLE_WITH (adjacency — pending)</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1:M Lookup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SKU → SKU (same-coll.)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Physical adjacency between component types (e.g. which Side types are valid adjacent to which Seat types). Pending Lovesac confirmation — see Open Question 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bCs/>
                <w:color w:val="000000"/>
                <w:sz w:val="18"/>
                <w:szCs w:val="18"/>
              </w:rPr>
              <w:t xml:space="preserve">BUNDLES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1:M Lookup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SKU → SKU (same-coll.)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Line=Finished Good → Line=Cover or Insert. Encodes Covered Sactionals, Cover Sets, etc.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bCs/>
                <w:color w:val="000000"/>
                <w:sz w:val="18"/>
                <w:szCs w:val="18"/>
              </w:rPr>
              <w:t xml:space="preserve">CONTAINS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1:M Lookup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Configuration → SKU (cross-coll.)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BOM link from a Configuration Record to its constituent SKU Records, with quantity field.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bCs/>
                <w:color w:val="000000"/>
                <w:sz w:val="18"/>
                <w:szCs w:val="18"/>
              </w:rPr>
              <w:t xml:space="preserve">MAPS_TO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1:M Lookup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SKU → Taxonomy (cross-coll.)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Channel taxonomy assignment. One SKU can map to Taxonomy Records across up to 3 Taxonomy Collections.</w:t>
            </w:r>
          </w:p>
        </w:tc>
      </w:tr>
    </w:tbl>
    <w:p>
      <w:pPr>
        <w:spacing w:before="160"/>
      </w:pPr>
    </w:p>
    <w:p>
      <w:pPr>
        <w:pStyle w:val="Heading2"/>
        <w:spacing w:after="80" w:before="280"/>
      </w:pPr>
      <w:r>
        <w:rPr>
          <w:rFonts w:ascii="Arial" w:cs="Arial" w:eastAsia="Arial" w:hAnsi="Arial"/>
          <w:b/>
          <w:bCs/>
          <w:color w:val="2E75B6"/>
          <w:sz w:val="26"/>
          <w:szCs w:val="26"/>
        </w:rPr>
        <w:t xml:space="preserve">6.3  Outdoor Restriction Handling</w:t>
      </w:r>
    </w:p>
    <w:p>
      <w:pPr>
        <w:spacing w:after="100" w:before="60"/>
      </w:pPr>
      <w:r>
        <w:rPr>
          <w:rFonts w:ascii="Arial" w:cs="Arial" w:eastAsia="Arial" w:hAnsi="Arial"/>
          <w:sz w:val="20"/>
          <w:szCs w:val="20"/>
        </w:rPr>
        <w:t xml:space="preserve">The Outdoor compatibility restriction (100 Outdoor covers should only pair with Outdoor-fill inserts) is best enforced as an Experience Rule in DX Engine rather than as a separate DX Graph relationship, for the following reasons:</w:t>
      </w:r>
    </w:p>
    <w:p>
      <w:pPr>
        <w:pStyle w:val="ListParagraph"/>
        <w:numPr>
          <w:ilvl w:val="0"/>
          <w:numId w:val="2"/>
        </w:numPr>
        <w:spacing w:after="40" w:before="40"/>
      </w:pPr>
      <w:r>
        <w:rPr>
          <w:rFonts w:ascii="Arial" w:cs="Arial" w:eastAsia="Arial" w:hAnsi="Arial"/>
          <w:sz w:val="20"/>
          <w:szCs w:val="20"/>
        </w:rPr>
        <w:t xml:space="preserve">The Dynamic Relationship definition remains clean and singular — Product + Series matching.</w:t>
      </w:r>
    </w:p>
    <w:p>
      <w:pPr>
        <w:pStyle w:val="ListParagraph"/>
        <w:numPr>
          <w:ilvl w:val="0"/>
          <w:numId w:val="2"/>
        </w:numPr>
        <w:spacing w:after="40" w:before="40"/>
      </w:pPr>
      <w:r>
        <w:rPr>
          <w:rFonts w:ascii="Arial" w:cs="Arial" w:eastAsia="Arial" w:hAnsi="Arial"/>
          <w:sz w:val="20"/>
          <w:szCs w:val="20"/>
        </w:rPr>
        <w:t xml:space="preserve">The DX Engine Configuration Validation flow already steps through context variables. Adding Platform to the context input and checking it in an Experience Rule requires no schema change.</w:t>
      </w:r>
    </w:p>
    <w:p>
      <w:pPr>
        <w:pStyle w:val="ListParagraph"/>
        <w:numPr>
          <w:ilvl w:val="0"/>
          <w:numId w:val="2"/>
        </w:numPr>
        <w:spacing w:after="40" w:before="40"/>
      </w:pPr>
      <w:r>
        <w:rPr>
          <w:rFonts w:ascii="Arial" w:cs="Arial" w:eastAsia="Arial" w:hAnsi="Arial"/>
          <w:sz w:val="20"/>
          <w:szCs w:val="20"/>
        </w:rPr>
        <w:t xml:space="preserve">Outdoor is a minority case (100 of 15,606 cover SKUs). Handling it in orchestration logic avoids over-complicating the data model.</w:t>
      </w:r>
    </w:p>
    <w:p>
      <w:pPr>
        <w:spacing w:before="120"/>
      </w:pPr>
    </w:p>
    <w:p>
      <w:pPr>
        <w:pStyle w:val="Heading2"/>
        <w:spacing w:after="80" w:before="280"/>
      </w:pPr>
      <w:r>
        <w:rPr>
          <w:rFonts w:ascii="Arial" w:cs="Arial" w:eastAsia="Arial" w:hAnsi="Arial"/>
          <w:b/>
          <w:bCs/>
          <w:color w:val="2E75B6"/>
          <w:sz w:val="26"/>
          <w:szCs w:val="26"/>
        </w:rPr>
        <w:t xml:space="preserve">6.4  Component-to-Component Adjacency Rules (Open Question)</w:t>
      </w:r>
    </w:p>
    <w:p>
      <w:pPr>
        <w:spacing w:after="100" w:before="60"/>
      </w:pPr>
      <w:r>
        <w:rPr>
          <w:rFonts w:ascii="Arial" w:cs="Arial" w:eastAsia="Arial" w:hAnsi="Arial"/>
          <w:sz w:val="20"/>
          <w:szCs w:val="20"/>
        </w:rPr>
        <w:t xml:space="preserve">Cover ↔ Insert compatibility is fully resolved by the Dynamic Relationship rule above. However, a second class of compatibility rules — which Sactionals component types can be physically placed next to each other in a configuration — is not derivable from the SKU attribute catalog alone.</w:t>
      </w:r>
    </w:p>
    <w:p>
      <w:pPr>
        <w:spacing w:after="100" w:before="60"/>
      </w:pPr>
      <w:r>
        <w:rPr>
          <w:rFonts w:ascii="Arial" w:cs="Arial" w:eastAsia="Arial" w:hAnsi="Arial"/>
          <w:sz w:val="20"/>
          <w:szCs w:val="20"/>
        </w:rPr>
        <w:t xml:space="preserve">Examples of adjacency questions the data does not answer:</w:t>
      </w:r>
    </w:p>
    <w:p>
      <w:pPr>
        <w:pStyle w:val="ListParagraph"/>
        <w:numPr>
          <w:ilvl w:val="0"/>
          <w:numId w:val="2"/>
        </w:numPr>
        <w:spacing w:after="40" w:before="40"/>
      </w:pPr>
      <w:r>
        <w:rPr>
          <w:rFonts w:ascii="Arial" w:cs="Arial" w:eastAsia="Arial" w:hAnsi="Arial"/>
          <w:sz w:val="20"/>
          <w:szCs w:val="20"/>
        </w:rPr>
        <w:t xml:space="preserve">Which Side product types (Angled Side, Swept Arm Side, Deep Side, etc.) are valid when placed adjacent to which Seat product types (Deep Seat, Reclining Seat, Wedge Seat, etc.)?</w:t>
      </w:r>
    </w:p>
    <w:p>
      <w:pPr>
        <w:pStyle w:val="ListParagraph"/>
        <w:numPr>
          <w:ilvl w:val="0"/>
          <w:numId w:val="2"/>
        </w:numPr>
        <w:spacing w:after="40" w:before="40"/>
      </w:pPr>
      <w:r>
        <w:rPr>
          <w:rFonts w:ascii="Arial" w:cs="Arial" w:eastAsia="Arial" w:hAnsi="Arial"/>
          <w:sz w:val="20"/>
          <w:szCs w:val="20"/>
        </w:rPr>
        <w:t xml:space="preserve">Can Deep pieces (Deep Seat, Deep Side) be mixed with standard-depth pieces in the same configuration?</w:t>
      </w:r>
    </w:p>
    <w:p>
      <w:pPr>
        <w:pStyle w:val="ListParagraph"/>
        <w:numPr>
          <w:ilvl w:val="0"/>
          <w:numId w:val="2"/>
        </w:numPr>
        <w:spacing w:after="40" w:before="40"/>
      </w:pPr>
      <w:r>
        <w:rPr>
          <w:rFonts w:ascii="Arial" w:cs="Arial" w:eastAsia="Arial" w:hAnsi="Arial"/>
          <w:sz w:val="20"/>
          <w:szCs w:val="20"/>
        </w:rPr>
        <w:t xml:space="preserve">Are there orientation constraints on Angled Sides and Wedge Seats that restrict how they connect to adjacent components?</w:t>
      </w:r>
    </w:p>
    <w:p>
      <w:pPr>
        <w:spacing w:after="100" w:before="60"/>
      </w:pPr>
      <w:r>
        <w:rPr>
          <w:rFonts w:ascii="Arial" w:cs="Arial" w:eastAsia="Arial" w:hAnsi="Arial"/>
          <w:sz w:val="20"/>
          <w:szCs w:val="20"/>
        </w:rPr>
        <w:t xml:space="preserve">These rules are required to configure the second COMPATIBLE_WITH Relationship (same-collection 1:M Lookup) in the SKU Collection. Lovesac's product team should provide either:</w:t>
      </w:r>
    </w:p>
    <w:p>
      <w:pPr>
        <w:pStyle w:val="ListParagraph"/>
        <w:numPr>
          <w:ilvl w:val="0"/>
          <w:numId w:val="2"/>
        </w:numPr>
        <w:spacing w:after="40" w:before="40"/>
      </w:pPr>
      <w:r>
        <w:rPr>
          <w:rFonts w:ascii="Arial" w:cs="Arial" w:eastAsia="Arial" w:hAnsi="Arial"/>
          <w:sz w:val="20"/>
          <w:szCs w:val="20"/>
        </w:rPr>
        <w:t xml:space="preserve">(a) A component adjacency matrix specifying which Product types can be placed next to each other — this becomes the explicit Lookup Relationship definition, or</w:t>
      </w:r>
    </w:p>
    <w:p>
      <w:pPr>
        <w:pStyle w:val="ListParagraph"/>
        <w:numPr>
          <w:ilvl w:val="0"/>
          <w:numId w:val="2"/>
        </w:numPr>
        <w:spacing w:after="40" w:before="40"/>
      </w:pPr>
      <w:r>
        <w:rPr>
          <w:rFonts w:ascii="Arial" w:cs="Arial" w:eastAsia="Arial" w:hAnsi="Arial"/>
          <w:sz w:val="20"/>
          <w:szCs w:val="20"/>
        </w:rPr>
        <w:t xml:space="preserve">(b) Confirmation that within a given series, all component types connect freely to any adjacent component — in which case only the series Field check (Sactional Size) is required and no Component-to-Component Relationship needs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DD7EE" w:val="clear"/>
            <w:tcMar>
              <w:top w:type="dxa" w:w="100"/>
              <w:left w:type="dxa" w:w="180"/>
              <w:bottom w:type="dxa" w:w="100"/>
              <w:right w:type="dxa" w:w="180"/>
            </w:tcMar>
          </w:tcPr>
          <w:p>
            <w:r>
              <w:rPr>
                <w:rFonts w:ascii="Arial" w:cs="Arial" w:eastAsia="Arial" w:hAnsi="Arial"/>
                <w:sz w:val="20"/>
                <w:szCs w:val="20"/>
              </w:rPr>
              <w:t xml:space="preserve">ACTION REQUIRED: Lovesac product team to provide component adjacency rules or confirm free-connection within series before the second COMPATIBLE_WITH Relationship can be implemented. See Open Question 7 in the Solution Design document.</w:t>
            </w:r>
          </w:p>
        </w:tc>
      </w:tr>
    </w:tbl>
    <w:p>
      <w:pPr>
        <w:spacing w:before="120"/>
      </w:pPr>
    </w:p>
    <w:p>
      <w:pPr>
        <w:pStyle w:val="Heading2"/>
        <w:spacing w:after="80" w:before="280"/>
      </w:pPr>
      <w:r>
        <w:rPr>
          <w:rFonts w:ascii="Arial" w:cs="Arial" w:eastAsia="Arial" w:hAnsi="Arial"/>
          <w:b/>
          <w:bCs/>
          <w:color w:val="2E75B6"/>
          <w:sz w:val="26"/>
          <w:szCs w:val="26"/>
        </w:rPr>
        <w:t xml:space="preserve">6.5  Inactive and Discontinued SKUs</w:t>
      </w:r>
    </w:p>
    <w:p>
      <w:pPr>
        <w:spacing w:after="100" w:before="60"/>
      </w:pPr>
      <w:r>
        <w:rPr>
          <w:rFonts w:ascii="Arial" w:cs="Arial" w:eastAsia="Arial" w:hAnsi="Arial"/>
          <w:sz w:val="20"/>
          <w:szCs w:val="20"/>
        </w:rPr>
        <w:t xml:space="preserve">The dataset contains Inactive and Discontinued SKUs that should be excluded from compatibility queries in production. DX Graph filter conditions (e.g. Inactive = 'No' AND Discontinued != 'Discontinued') should be applied at query time in DX Engine Orchestration Flows, or alternatively as a field-level filter in the Dynamic Relationship definition.</w:t>
      </w:r>
    </w:p>
    <w:p>
      <w:pPr>
        <w:spacing w:before="120"/>
      </w:pPr>
    </w:p>
    <w:p>
      <w:pPr>
        <w:pStyle w:val="Heading2"/>
        <w:spacing w:after="80" w:before="280"/>
      </w:pPr>
      <w:r>
        <w:rPr>
          <w:rFonts w:ascii="Arial" w:cs="Arial" w:eastAsia="Arial" w:hAnsi="Arial"/>
          <w:b/>
          <w:bCs/>
          <w:color w:val="2E75B6"/>
          <w:sz w:val="26"/>
          <w:szCs w:val="26"/>
        </w:rPr>
        <w:t xml:space="preserve">6.6  Data Volume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780"/>
        <w:gridCol w:w="1780"/>
        <w:gridCol w:w="1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Brand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Total SKUs</w:t>
            </w:r>
          </w:p>
        </w:tc>
        <w:tc>
          <w:tcPr>
            <w:tcW w:type="dxa" w:w="1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Cover SKUs</w:t>
            </w:r>
          </w:p>
        </w:tc>
        <w:tc>
          <w:tcPr>
            <w:tcW w:type="dxa" w:w="1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Insert SKUs</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Other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bCs/>
                <w:color w:val="000000"/>
                <w:sz w:val="18"/>
                <w:szCs w:val="18"/>
              </w:rPr>
              <w:t xml:space="preserve">Sactional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15,906</w:t>
            </w:r>
          </w:p>
        </w:tc>
        <w:tc>
          <w:tcPr>
            <w:tcW w:type="dxa" w:w="1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15,506</w:t>
            </w:r>
          </w:p>
        </w:tc>
        <w:tc>
          <w:tcPr>
            <w:tcW w:type="dxa" w:w="1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151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249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bCs/>
                <w:color w:val="000000"/>
                <w:sz w:val="18"/>
                <w:szCs w:val="18"/>
              </w:rPr>
              <w:t xml:space="preserve">Sac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4,665</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4,298</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58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309</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bCs/>
                <w:color w:val="000000"/>
                <w:sz w:val="18"/>
                <w:szCs w:val="18"/>
              </w:rPr>
              <w:t xml:space="preserve">Snugg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1,977</w:t>
            </w:r>
          </w:p>
        </w:tc>
        <w:tc>
          <w:tcPr>
            <w:tcW w:type="dxa" w:w="1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1,925</w:t>
            </w:r>
          </w:p>
        </w:tc>
        <w:tc>
          <w:tcPr>
            <w:tcW w:type="dxa" w:w="1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52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bCs/>
                <w:color w:val="000000"/>
                <w:sz w:val="18"/>
                <w:szCs w:val="18"/>
              </w:rPr>
              <w:t xml:space="preserve">Accessories / Misc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5,541</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vAlign w:val="center"/>
          </w:tcPr>
          <w:p>
            <w:r>
              <w:rPr>
                <w:rFonts w:ascii="Arial" w:cs="Arial" w:eastAsia="Arial" w:hAnsi="Arial"/>
                <w:b/>
                <w:bCs/>
                <w:color w:val="000000"/>
                <w:sz w:val="18"/>
                <w:szCs w:val="18"/>
              </w:rPr>
              <w:t xml:space="preserve">TOTAL</w:t>
            </w:r>
          </w:p>
        </w:tc>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vAlign w:val="center"/>
          </w:tcPr>
          <w:p>
            <w:r>
              <w:rPr>
                <w:rFonts w:ascii="Arial" w:cs="Arial" w:eastAsia="Arial" w:hAnsi="Arial"/>
                <w:b/>
                <w:bCs/>
                <w:color w:val="000000"/>
                <w:sz w:val="18"/>
                <w:szCs w:val="18"/>
              </w:rPr>
              <w:t xml:space="preserve">28,089</w:t>
            </w:r>
          </w:p>
        </w:tc>
        <w:tc>
          <w:tcPr>
            <w:tcW w:type="dxa" w:w="178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vAlign w:val="center"/>
          </w:tcPr>
          <w:p>
            <w:r>
              <w:rPr>
                <w:rFonts w:ascii="Arial" w:cs="Arial" w:eastAsia="Arial" w:hAnsi="Arial"/>
                <w:b/>
                <w:bCs/>
                <w:color w:val="000000"/>
                <w:sz w:val="18"/>
                <w:szCs w:val="18"/>
              </w:rPr>
              <w:t xml:space="preserve">21,729</w:t>
            </w:r>
          </w:p>
        </w:tc>
        <w:tc>
          <w:tcPr>
            <w:tcW w:type="dxa" w:w="178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vAlign w:val="center"/>
          </w:tcPr>
          <w:p>
            <w:r>
              <w:rPr>
                <w:rFonts w:ascii="Arial" w:cs="Arial" w:eastAsia="Arial" w:hAnsi="Arial"/>
                <w:b/>
                <w:bCs/>
                <w:color w:val="000000"/>
                <w:sz w:val="18"/>
                <w:szCs w:val="18"/>
              </w:rPr>
              <w:t xml:space="preserve">261</w:t>
            </w:r>
          </w:p>
        </w:tc>
        <w:tc>
          <w:tcPr>
            <w:tcW w:type="dxa" w:w="10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vAlign w:val="center"/>
          </w:tcPr>
          <w:p>
            <w:r>
              <w:rPr>
                <w:rFonts w:ascii="Arial" w:cs="Arial" w:eastAsia="Arial" w:hAnsi="Arial"/>
                <w:b/>
                <w:bCs/>
                <w:color w:val="000000"/>
                <w:sz w:val="18"/>
                <w:szCs w:val="18"/>
              </w:rPr>
              <w:t xml:space="preserve">558+</w:t>
            </w:r>
          </w:p>
        </w:tc>
      </w:tr>
    </w:tbl>
    <w:p>
      <w:pPr>
        <w:spacing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Lovesac SKU Compatibility Rules</w:t>
    </w:r>
    <w:r>
      <w:rPr>
        <w:rFonts w:ascii="Arial" w:cs="Arial" w:eastAsia="Arial" w:hAnsi="Arial"/>
        <w:i/>
        <w:iCs/>
        <w:color w:val="595959"/>
        <w:sz w:val="18"/>
        <w:szCs w:val="18"/>
      </w:rPr>
      <w:t xml:space="preserve">	Conscia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2026-03-27T04:55:01.912Z</dcterms:created>
  <dcterms:modified xsi:type="dcterms:W3CDTF">2026-03-27T04:55:01.914Z</dcterms:modified>
</cp:coreProperties>
</file>

<file path=docProps/custom.xml><?xml version="1.0" encoding="utf-8"?>
<Properties xmlns="http://schemas.openxmlformats.org/officeDocument/2006/custom-properties" xmlns:vt="http://schemas.openxmlformats.org/officeDocument/2006/docPropsVTypes"/>
</file>