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8A" w:val="clear"/>
            <w:tcMar>
              <w:top w:type="dxa" w:w="300"/>
              <w:left w:type="dxa" w:w="400"/>
              <w:bottom w:type="dxa" w:w="60"/>
              <w:right w:type="dxa" w:w="400"/>
            </w:tcMar>
          </w:tcPr>
          <w:p>
            <w:r>
              <w:rPr>
                <w:rFonts w:ascii="Arial" w:cs="Arial" w:eastAsia="Arial" w:hAnsi="Arial"/>
                <w:color w:val="BDD7EE"/>
                <w:spacing w:val="100"/>
                <w:sz w:val="20"/>
                <w:szCs w:val="20"/>
              </w:rPr>
              <w:t xml:space="preserve">SOLUTION DESIGN</w:t>
            </w:r>
          </w:p>
        </w:tc>
      </w:tr>
      <w:tr>
        <w:tc>
          <w:tcPr>
            <w:tcW w:type="dxa" w:w="9360"/>
            <w:tcBorders>
              <w:top w:val="none" w:color="FFFFFF" w:sz="0"/>
              <w:left w:val="none" w:color="FFFFFF" w:sz="0"/>
              <w:bottom w:val="none" w:color="FFFFFF" w:sz="0"/>
              <w:right w:val="none" w:color="FFFFFF" w:sz="0"/>
            </w:tcBorders>
            <w:shd w:fill="1B4F8A" w:val="clear"/>
            <w:tcMar>
              <w:top w:type="dxa" w:w="0"/>
              <w:left w:type="dxa" w:w="400"/>
              <w:bottom w:type="dxa" w:w="20"/>
              <w:right w:type="dxa" w:w="400"/>
            </w:tcMar>
          </w:tcPr>
          <w:p>
            <w:r>
              <w:rPr>
                <w:rFonts w:ascii="Arial" w:cs="Arial" w:eastAsia="Arial" w:hAnsi="Arial"/>
                <w:b/>
                <w:bCs/>
                <w:color w:val="FFFFFF"/>
                <w:sz w:val="56"/>
                <w:szCs w:val="56"/>
              </w:rPr>
              <w:t xml:space="preserve">DX Graph &amp; DX Engine</w:t>
            </w:r>
          </w:p>
        </w:tc>
      </w:tr>
      <w:tr>
        <w:tc>
          <w:tcPr>
            <w:tcW w:type="dxa" w:w="9360"/>
            <w:tcBorders>
              <w:top w:val="none" w:color="FFFFFF" w:sz="0"/>
              <w:left w:val="none" w:color="FFFFFF" w:sz="0"/>
              <w:bottom w:val="none" w:color="FFFFFF" w:sz="0"/>
              <w:right w:val="none" w:color="FFFFFF" w:sz="0"/>
            </w:tcBorders>
            <w:shd w:fill="1B4F8A" w:val="clear"/>
            <w:tcMar>
              <w:top w:type="dxa" w:w="0"/>
              <w:left w:type="dxa" w:w="400"/>
              <w:bottom w:type="dxa" w:w="300"/>
              <w:right w:type="dxa" w:w="400"/>
            </w:tcMar>
          </w:tcPr>
          <w:p>
            <w:r>
              <w:rPr>
                <w:rFonts w:ascii="Arial" w:cs="Arial" w:eastAsia="Arial" w:hAnsi="Arial"/>
                <w:color w:val="D5E8F0"/>
                <w:sz w:val="32"/>
                <w:szCs w:val="32"/>
              </w:rPr>
              <w:t xml:space="preserve">Implementation for Lovesac</w:t>
            </w:r>
          </w:p>
        </w:tc>
      </w:tr>
      <w:tr>
        <w:tc>
          <w:tcPr>
            <w:tcW w:type="dxa" w:w="9360"/>
            <w:tcBorders>
              <w:top w:val="none" w:color="FFFFFF" w:sz="0"/>
              <w:left w:val="none" w:color="FFFFFF" w:sz="0"/>
              <w:bottom w:val="none" w:color="FFFFFF" w:sz="0"/>
              <w:right w:val="none" w:color="FFFFFF" w:sz="0"/>
            </w:tcBorders>
            <w:shd w:fill="FFFFFF" w:val="clear"/>
            <w:tcMar>
              <w:top w:type="dxa" w:w="200"/>
              <w:left w:type="dxa" w:w="400"/>
              <w:bottom w:type="dxa" w:w="80"/>
              <w:right w:type="dxa" w:w="400"/>
            </w:tcMar>
          </w:tcPr>
          <w:p>
            <w:r>
              <w:rPr>
                <w:rFonts w:ascii="Arial" w:cs="Arial" w:eastAsia="Arial" w:hAnsi="Arial"/>
                <w:color w:val="D1D5DB"/>
                <w:sz w:val="20"/>
                <w:szCs w:val="20"/>
              </w:rPr>
              <w:t xml:space="preserve">Prepared by Conscia  |  March 2026</w:t>
            </w:r>
          </w:p>
        </w:tc>
      </w:tr>
    </w:tbl>
    <w:p>
      <w:pPr>
        <w:spacing w:after="4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1D5DB" w:sz="1"/>
              <w:left w:val="single" w:color="D1D5DB" w:sz="1"/>
              <w:bottom w:val="single" w:color="D1D5DB" w:sz="1"/>
              <w:right w:val="single" w:color="D1D5DB" w:sz="1"/>
            </w:tcBorders>
            <w:shd w:fill="F2F4F7" w:val="clear"/>
            <w:tcMar>
              <w:top w:type="dxa" w:w="80"/>
              <w:left w:type="dxa" w:w="120"/>
              <w:bottom w:type="dxa" w:w="80"/>
              <w:right w:type="dxa" w:w="120"/>
            </w:tcMar>
          </w:tcPr>
          <w:p>
            <w:r>
              <w:rPr>
                <w:rFonts w:ascii="Arial" w:cs="Arial" w:eastAsia="Arial" w:hAnsi="Arial"/>
                <w:b/>
                <w:bCs/>
                <w:color w:val="1F2937"/>
                <w:sz w:val="22"/>
                <w:szCs w:val="22"/>
              </w:rPr>
              <w:t xml:space="preserve">Client</w:t>
            </w:r>
          </w:p>
        </w:tc>
        <w:tc>
          <w:tcPr>
            <w:tcW w:type="dxa" w:w="7160"/>
            <w:tcBorders>
              <w:top w:val="single" w:color="D1D5DB" w:sz="1"/>
              <w:left w:val="single" w:color="D1D5DB" w:sz="1"/>
              <w:bottom w:val="single" w:color="D1D5DB" w:sz="1"/>
              <w:right w:val="single" w:color="D1D5DB" w:sz="1"/>
            </w:tcBorders>
            <w:shd w:fill="F2F4F7" w:val="clear"/>
            <w:tcMar>
              <w:top w:type="dxa" w:w="80"/>
              <w:left w:type="dxa" w:w="120"/>
              <w:bottom w:type="dxa" w:w="80"/>
              <w:right w:type="dxa" w:w="120"/>
            </w:tcMar>
          </w:tcPr>
          <w:p>
            <w:r>
              <w:rPr>
                <w:rFonts w:ascii="Arial" w:cs="Arial" w:eastAsia="Arial" w:hAnsi="Arial"/>
                <w:color w:val="1F2937"/>
                <w:sz w:val="22"/>
                <w:szCs w:val="22"/>
              </w:rPr>
              <w:t xml:space="preserve">Lovesac</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F2937"/>
                <w:sz w:val="22"/>
                <w:szCs w:val="22"/>
              </w:rPr>
              <w:t xml:space="preserve">Prepared by</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2"/>
                <w:szCs w:val="22"/>
              </w:rPr>
              <w:t xml:space="preserve">Conscia</w:t>
            </w:r>
          </w:p>
        </w:tc>
      </w:tr>
      <w:tr>
        <w:tc>
          <w:tcPr>
            <w:tcW w:type="dxa" w:w="2200"/>
            <w:tcBorders>
              <w:top w:val="single" w:color="D1D5DB" w:sz="1"/>
              <w:left w:val="single" w:color="D1D5DB" w:sz="1"/>
              <w:bottom w:val="single" w:color="D1D5DB" w:sz="1"/>
              <w:right w:val="single" w:color="D1D5DB" w:sz="1"/>
            </w:tcBorders>
            <w:shd w:fill="F2F4F7" w:val="clear"/>
            <w:tcMar>
              <w:top w:type="dxa" w:w="80"/>
              <w:left w:type="dxa" w:w="120"/>
              <w:bottom w:type="dxa" w:w="80"/>
              <w:right w:type="dxa" w:w="120"/>
            </w:tcMar>
          </w:tcPr>
          <w:p>
            <w:r>
              <w:rPr>
                <w:rFonts w:ascii="Arial" w:cs="Arial" w:eastAsia="Arial" w:hAnsi="Arial"/>
                <w:b/>
                <w:bCs/>
                <w:color w:val="1F2937"/>
                <w:sz w:val="22"/>
                <w:szCs w:val="22"/>
              </w:rPr>
              <w:t xml:space="preserve">Version</w:t>
            </w:r>
          </w:p>
        </w:tc>
        <w:tc>
          <w:tcPr>
            <w:tcW w:type="dxa" w:w="7160"/>
            <w:tcBorders>
              <w:top w:val="single" w:color="D1D5DB" w:sz="1"/>
              <w:left w:val="single" w:color="D1D5DB" w:sz="1"/>
              <w:bottom w:val="single" w:color="D1D5DB" w:sz="1"/>
              <w:right w:val="single" w:color="D1D5DB" w:sz="1"/>
            </w:tcBorders>
            <w:shd w:fill="F2F4F7" w:val="clear"/>
            <w:tcMar>
              <w:top w:type="dxa" w:w="80"/>
              <w:left w:type="dxa" w:w="120"/>
              <w:bottom w:type="dxa" w:w="80"/>
              <w:right w:type="dxa" w:w="120"/>
            </w:tcMar>
          </w:tcPr>
          <w:p>
            <w:r>
              <w:rPr>
                <w:rFonts w:ascii="Arial" w:cs="Arial" w:eastAsia="Arial" w:hAnsi="Arial"/>
                <w:color w:val="1F2937"/>
                <w:sz w:val="22"/>
                <w:szCs w:val="22"/>
              </w:rPr>
              <w:t xml:space="preserve">1.0</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F2937"/>
                <w:sz w:val="22"/>
                <w:szCs w:val="22"/>
              </w:rPr>
              <w:t xml:space="preserve">Date</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2"/>
                <w:szCs w:val="22"/>
              </w:rPr>
              <w:t xml:space="preserve">March 2026</w:t>
            </w:r>
          </w:p>
        </w:tc>
      </w:tr>
      <w:tr>
        <w:tc>
          <w:tcPr>
            <w:tcW w:type="dxa" w:w="2200"/>
            <w:tcBorders>
              <w:top w:val="single" w:color="D1D5DB" w:sz="1"/>
              <w:left w:val="single" w:color="D1D5DB" w:sz="1"/>
              <w:bottom w:val="single" w:color="D1D5DB" w:sz="1"/>
              <w:right w:val="single" w:color="D1D5DB" w:sz="1"/>
            </w:tcBorders>
            <w:shd w:fill="F2F4F7" w:val="clear"/>
            <w:tcMar>
              <w:top w:type="dxa" w:w="80"/>
              <w:left w:type="dxa" w:w="120"/>
              <w:bottom w:type="dxa" w:w="80"/>
              <w:right w:type="dxa" w:w="120"/>
            </w:tcMar>
          </w:tcPr>
          <w:p>
            <w:r>
              <w:rPr>
                <w:rFonts w:ascii="Arial" w:cs="Arial" w:eastAsia="Arial" w:hAnsi="Arial"/>
                <w:b/>
                <w:bCs/>
                <w:color w:val="1F2937"/>
                <w:sz w:val="22"/>
                <w:szCs w:val="22"/>
              </w:rPr>
              <w:t xml:space="preserve">Status</w:t>
            </w:r>
          </w:p>
        </w:tc>
        <w:tc>
          <w:tcPr>
            <w:tcW w:type="dxa" w:w="7160"/>
            <w:tcBorders>
              <w:top w:val="single" w:color="D1D5DB" w:sz="1"/>
              <w:left w:val="single" w:color="D1D5DB" w:sz="1"/>
              <w:bottom w:val="single" w:color="D1D5DB" w:sz="1"/>
              <w:right w:val="single" w:color="D1D5DB" w:sz="1"/>
            </w:tcBorders>
            <w:shd w:fill="F2F4F7" w:val="clear"/>
            <w:tcMar>
              <w:top w:type="dxa" w:w="80"/>
              <w:left w:type="dxa" w:w="120"/>
              <w:bottom w:type="dxa" w:w="80"/>
              <w:right w:type="dxa" w:w="120"/>
            </w:tcMar>
          </w:tcPr>
          <w:p>
            <w:r>
              <w:rPr>
                <w:rFonts w:ascii="Arial" w:cs="Arial" w:eastAsia="Arial" w:hAnsi="Arial"/>
                <w:color w:val="1F2937"/>
                <w:sz w:val="22"/>
                <w:szCs w:val="22"/>
              </w:rPr>
              <w:t xml:space="preserve">Draft for Review</w:t>
            </w:r>
          </w:p>
        </w:tc>
      </w:tr>
    </w:tbl>
    <w:p>
      <w:r>
        <w:br w:type="page"/>
      </w:r>
    </w:p>
    <w:p>
      <w:pPr>
        <w:pStyle w:val="Heading1"/>
        <w:spacing w:after="80" w:before="360"/>
      </w:pPr>
      <w:r>
        <w:rPr>
          <w:rFonts w:ascii="Arial" w:cs="Arial" w:eastAsia="Arial" w:hAnsi="Arial"/>
          <w:b/>
          <w:bCs/>
          <w:color w:val="1B4F8A"/>
          <w:sz w:val="36"/>
          <w:szCs w:val="36"/>
        </w:rPr>
        <w:t xml:space="preserve">1. Executive Summary</w:t>
      </w:r>
    </w:p>
    <w:p>
      <w:pPr>
        <w:pBdr>
          <w:bottom w:val="single" w:color="2E75B6" w:sz="6" w:space="1"/>
        </w:pBdr>
        <w:spacing w:after="120" w:before="0"/>
      </w:pPr>
    </w:p>
    <w:p>
      <w:pPr>
        <w:spacing w:after="120" w:before="0"/>
      </w:pPr>
      <w:r>
        <w:rPr>
          <w:rFonts w:ascii="Arial" w:cs="Arial" w:eastAsia="Arial" w:hAnsi="Arial"/>
          <w:color w:val="1F2937"/>
          <w:sz w:val="22"/>
          <w:szCs w:val="22"/>
        </w:rPr>
        <w:t xml:space="preserve">Lovesac sells a highly configurable modular furniture system — the Sactional — whose product catalog is characterised by an extreme SKU explosion driven by fabric, color, fill type, component type, and series dimensions. Managing this complexity at scale, across POS, ecommerce, marketplaces, and emerging AI shopping agents, requires a governed semantic data layer and a real-time orchestration engine.</w:t>
      </w:r>
    </w:p>
    <w:p>
      <w:pPr>
        <w:spacing w:after="120" w:before="0"/>
      </w:pPr>
    </w:p>
    <w:p>
      <w:pPr>
        <w:spacing w:after="120" w:before="0"/>
      </w:pPr>
      <w:r>
        <w:rPr>
          <w:rFonts w:ascii="Arial" w:cs="Arial" w:eastAsia="Arial" w:hAnsi="Arial"/>
          <w:color w:val="1F2937"/>
          <w:sz w:val="22"/>
          <w:szCs w:val="22"/>
        </w:rPr>
        <w:t xml:space="preserve">Conscia will implement two complementary platform capabilities to serve as Lovesac’s product master and digital experience orchestration layer:</w:t>
      </w:r>
    </w:p>
    <w:p>
      <w:pPr>
        <w:spacing w:after="80" w:before="0"/>
      </w:pPr>
    </w:p>
    <w:p>
      <w:pPr>
        <w:pStyle w:val="ListParagraph"/>
        <w:numPr>
          <w:ilvl w:val="0"/>
          <w:numId w:val="2"/>
        </w:numPr>
        <w:spacing w:after="80" w:before="0"/>
      </w:pPr>
      <w:r>
        <w:rPr>
          <w:rFonts w:ascii="Arial" w:cs="Arial" w:eastAsia="Arial" w:hAnsi="Arial"/>
          <w:b/>
          <w:bCs/>
          <w:color w:val="1F2937"/>
          <w:sz w:val="22"/>
          <w:szCs w:val="22"/>
        </w:rPr>
        <w:t xml:space="preserve">DX Graph</w:t>
      </w:r>
      <w:r>
        <w:rPr>
          <w:rFonts w:ascii="Arial" w:cs="Arial" w:eastAsia="Arial" w:hAnsi="Arial"/>
          <w:color w:val="1F2937"/>
          <w:sz w:val="22"/>
          <w:szCs w:val="22"/>
        </w:rPr>
        <w:t xml:space="preserve"> — the governed product data model. All SKU Records, their Fields, compatibility Relationships, and Taxonomy Collections live here. DX Graph becomes the single source of truth for configurable product data, replacing fragmented representations across multiple backend systems.</w:t>
      </w:r>
    </w:p>
    <w:p>
      <w:pPr>
        <w:pStyle w:val="ListParagraph"/>
        <w:numPr>
          <w:ilvl w:val="0"/>
          <w:numId w:val="2"/>
        </w:numPr>
        <w:spacing w:after="80" w:before="0"/>
      </w:pPr>
      <w:r>
        <w:rPr>
          <w:rFonts w:ascii="Arial" w:cs="Arial" w:eastAsia="Arial" w:hAnsi="Arial"/>
          <w:b/>
          <w:bCs/>
          <w:color w:val="1F2937"/>
          <w:sz w:val="22"/>
          <w:szCs w:val="22"/>
        </w:rPr>
        <w:t xml:space="preserve">DX Engine</w:t>
      </w:r>
      <w:r>
        <w:rPr>
          <w:rFonts w:ascii="Arial" w:cs="Arial" w:eastAsia="Arial" w:hAnsi="Arial"/>
          <w:color w:val="1F2937"/>
          <w:sz w:val="22"/>
          <w:szCs w:val="22"/>
        </w:rPr>
        <w:t xml:space="preserve"> — the real-time orchestration layer. DX Engine sits between Channels and DX Graph, executing Experience Rules such as configuration validation, BOM explosion, and wizard-step computation. It exposes Orchestration Flows via the Experience API that power POS, Lovesac.com, and agentic channels like Google Shopping and ChatGPT.</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2"/>
              <w:bottom w:val="single" w:color="2E75B6" w:sz="4"/>
              <w:right w:val="single" w:color="2E75B6" w:sz="4"/>
            </w:tcBorders>
            <w:shd w:fill="D5E8F0" w:val="clear"/>
            <w:tcMar>
              <w:top w:type="dxa" w:w="120"/>
              <w:left w:type="dxa" w:w="180"/>
              <w:bottom w:type="dxa" w:w="120"/>
              <w:right w:type="dxa" w:w="180"/>
            </w:tcMar>
          </w:tcPr>
          <w:p>
            <w:r>
              <w:rPr>
                <w:rFonts w:ascii="Arial" w:cs="Arial" w:eastAsia="Arial" w:hAnsi="Arial"/>
                <w:b/>
                <w:bCs/>
                <w:color w:val="2E75B6"/>
                <w:sz w:val="20"/>
                <w:szCs w:val="20"/>
              </w:rPr>
              <w:t xml:space="preserve">STRATEGIC OBJECTIVE</w:t>
            </w:r>
          </w:p>
        </w:tc>
      </w:tr>
      <w:tr>
        <w:tc>
          <w:tcPr>
            <w:tcW w:type="dxa" w:w="9360"/>
            <w:tcBorders>
              <w:top w:val="none" w:color="FFFFFF" w:sz="0"/>
              <w:left w:val="single" w:color="2E75B6" w:sz="12"/>
              <w:bottom w:val="none" w:color="FFFFFF" w:sz="0"/>
              <w:right w:val="none" w:color="FFFFFF" w:sz="0"/>
            </w:tcBorders>
            <w:shd w:fill="D5E8F0" w:val="clear"/>
            <w:tcMar>
              <w:top w:type="dxa" w:w="120"/>
              <w:left w:type="dxa" w:w="180"/>
              <w:bottom w:type="dxa" w:w="120"/>
              <w:right w:type="dxa" w:w="180"/>
            </w:tcMar>
          </w:tcPr>
          <w:p>
            <w:pPr>
              <w:spacing w:after="120" w:before="0"/>
            </w:pPr>
            <w:r>
              <w:rPr>
                <w:rFonts w:ascii="Arial" w:cs="Arial" w:eastAsia="Arial" w:hAnsi="Arial"/>
                <w:color w:val="1F2937"/>
                <w:sz w:val="22"/>
                <w:szCs w:val="22"/>
              </w:rPr>
              <w:t xml:space="preserve">Make Conscia the product master for Lovesac’s configurable products. Expose that governed data as real-time, channel-appropriate API endpoints — starting with configuration validation and BOM explosion, and extending to on-site shopping agents and third-party AI channels.</w:t>
            </w:r>
          </w:p>
        </w:tc>
      </w:tr>
    </w:tbl>
    <w:p>
      <w:r>
        <w:br w:type="page"/>
      </w:r>
    </w:p>
    <w:p>
      <w:pPr>
        <w:pStyle w:val="Heading1"/>
        <w:spacing w:after="80" w:before="360"/>
      </w:pPr>
      <w:r>
        <w:rPr>
          <w:rFonts w:ascii="Arial" w:cs="Arial" w:eastAsia="Arial" w:hAnsi="Arial"/>
          <w:b/>
          <w:bCs/>
          <w:color w:val="1B4F8A"/>
          <w:sz w:val="36"/>
          <w:szCs w:val="36"/>
        </w:rPr>
        <w:t xml:space="preserve">2. Current State &amp; Problem Statement</w:t>
      </w:r>
    </w:p>
    <w:p>
      <w:pPr>
        <w:pBdr>
          <w:bottom w:val="single" w:color="2E75B6" w:sz="6" w:space="1"/>
        </w:pBdr>
        <w:spacing w:after="120" w:before="0"/>
      </w:pPr>
    </w:p>
    <w:p>
      <w:pPr>
        <w:pStyle w:val="Heading2"/>
        <w:spacing w:after="60" w:before="260"/>
      </w:pPr>
      <w:r>
        <w:rPr>
          <w:rFonts w:ascii="Arial" w:cs="Arial" w:eastAsia="Arial" w:hAnsi="Arial"/>
          <w:b/>
          <w:bCs/>
          <w:color w:val="2E75B6"/>
          <w:sz w:val="28"/>
          <w:szCs w:val="28"/>
        </w:rPr>
        <w:t xml:space="preserve">2.1  The SKU Explosion Problem</w:t>
      </w:r>
    </w:p>
    <w:p>
      <w:pPr>
        <w:spacing w:after="120" w:before="0"/>
      </w:pPr>
      <w:r>
        <w:rPr>
          <w:rFonts w:ascii="Arial" w:cs="Arial" w:eastAsia="Arial" w:hAnsi="Arial"/>
          <w:color w:val="1F2937"/>
          <w:sz w:val="22"/>
          <w:szCs w:val="22"/>
        </w:rPr>
        <w:t xml:space="preserve">Lovesac’s Sactional products are structurally modular: a customer assembles a sofa from independently purchasable components (Sides, Seats, Backs, Arms, Blocks) each available in multiple fabric/fill/size combinations. This creates a combinatorial SKU explosion across at least 13 attribute dimensions: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1D5DB" w:sz="1"/>
              <w:left w:val="single" w:color="D1D5DB" w:sz="1"/>
              <w:bottom w:val="single" w:color="D1D5DB" w:sz="1"/>
              <w:right w:val="single" w:color="D1D5DB"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6360"/>
            <w:tcBorders>
              <w:top w:val="single" w:color="D1D5DB" w:sz="1"/>
              <w:left w:val="single" w:color="D1D5DB" w:sz="1"/>
              <w:bottom w:val="single" w:color="D1D5DB" w:sz="1"/>
              <w:right w:val="single" w:color="D1D5DB"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Example Values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2"/>
                <w:szCs w:val="22"/>
              </w:rPr>
              <w:t xml:space="preserve">Brand</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2"/>
                <w:szCs w:val="22"/>
              </w:rPr>
              <w:t xml:space="preserve">Sactional, Sac, Snugg, Accessories</w:t>
            </w:r>
          </w:p>
        </w:tc>
      </w:tr>
      <w:tr>
        <w:tc>
          <w:tcPr>
            <w:tcW w:type="dxa" w:w="3000"/>
            <w:tcBorders>
              <w:top w:val="single" w:color="D1D5DB" w:sz="1"/>
              <w:left w:val="single" w:color="D1D5DB" w:sz="1"/>
              <w:bottom w:val="single" w:color="D1D5DB" w:sz="1"/>
              <w:right w:val="single" w:color="D1D5DB" w:sz="1"/>
            </w:tcBorders>
            <w:shd w:fill="F2F4F7" w:val="clear"/>
            <w:tcMar>
              <w:top w:type="dxa" w:w="80"/>
              <w:left w:type="dxa" w:w="120"/>
              <w:bottom w:type="dxa" w:w="80"/>
              <w:right w:type="dxa" w:w="120"/>
            </w:tcMar>
          </w:tcPr>
          <w:p>
            <w:r>
              <w:rPr>
                <w:rFonts w:ascii="Arial" w:cs="Arial" w:eastAsia="Arial" w:hAnsi="Arial"/>
                <w:color w:val="1F2937"/>
                <w:sz w:val="22"/>
                <w:szCs w:val="22"/>
              </w:rPr>
              <w:t xml:space="preserve">Platform / Line</w:t>
            </w:r>
          </w:p>
        </w:tc>
        <w:tc>
          <w:tcPr>
            <w:tcW w:type="dxa" w:w="6360"/>
            <w:tcBorders>
              <w:top w:val="single" w:color="D1D5DB" w:sz="1"/>
              <w:left w:val="single" w:color="D1D5DB" w:sz="1"/>
              <w:bottom w:val="single" w:color="D1D5DB" w:sz="1"/>
              <w:right w:val="single" w:color="D1D5DB" w:sz="1"/>
            </w:tcBorders>
            <w:shd w:fill="F2F4F7" w:val="clear"/>
            <w:tcMar>
              <w:top w:type="dxa" w:w="80"/>
              <w:left w:type="dxa" w:w="120"/>
              <w:bottom w:type="dxa" w:w="80"/>
              <w:right w:type="dxa" w:w="120"/>
            </w:tcMar>
          </w:tcPr>
          <w:p>
            <w:r>
              <w:rPr>
                <w:rFonts w:ascii="Arial" w:cs="Arial" w:eastAsia="Arial" w:hAnsi="Arial"/>
                <w:color w:val="1F2937"/>
                <w:sz w:val="22"/>
                <w:szCs w:val="22"/>
              </w:rPr>
              <w:t xml:space="preserve">Indoor, Outdoor, StealthTech, AnyTable, Covered Sactionals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2"/>
                <w:szCs w:val="22"/>
              </w:rPr>
              <w:t xml:space="preserve">Product Category</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2"/>
                <w:szCs w:val="22"/>
              </w:rPr>
              <w:t xml:space="preserve">Arms, Backrests, Seats, Blocks, Cushion Sets, Cover Sets, Bags</w:t>
            </w:r>
          </w:p>
        </w:tc>
      </w:tr>
      <w:tr>
        <w:tc>
          <w:tcPr>
            <w:tcW w:type="dxa" w:w="3000"/>
            <w:tcBorders>
              <w:top w:val="single" w:color="D1D5DB" w:sz="1"/>
              <w:left w:val="single" w:color="D1D5DB" w:sz="1"/>
              <w:bottom w:val="single" w:color="D1D5DB" w:sz="1"/>
              <w:right w:val="single" w:color="D1D5DB" w:sz="1"/>
            </w:tcBorders>
            <w:shd w:fill="F2F4F7" w:val="clear"/>
            <w:tcMar>
              <w:top w:type="dxa" w:w="80"/>
              <w:left w:type="dxa" w:w="120"/>
              <w:bottom w:type="dxa" w:w="80"/>
              <w:right w:type="dxa" w:w="120"/>
            </w:tcMar>
          </w:tcPr>
          <w:p>
            <w:r>
              <w:rPr>
                <w:rFonts w:ascii="Arial" w:cs="Arial" w:eastAsia="Arial" w:hAnsi="Arial"/>
                <w:color w:val="1F2937"/>
                <w:sz w:val="22"/>
                <w:szCs w:val="22"/>
              </w:rPr>
              <w:t xml:space="preserve">Sactional Size</w:t>
            </w:r>
          </w:p>
        </w:tc>
        <w:tc>
          <w:tcPr>
            <w:tcW w:type="dxa" w:w="6360"/>
            <w:tcBorders>
              <w:top w:val="single" w:color="D1D5DB" w:sz="1"/>
              <w:left w:val="single" w:color="D1D5DB" w:sz="1"/>
              <w:bottom w:val="single" w:color="D1D5DB" w:sz="1"/>
              <w:right w:val="single" w:color="D1D5DB" w:sz="1"/>
            </w:tcBorders>
            <w:shd w:fill="F2F4F7" w:val="clear"/>
            <w:tcMar>
              <w:top w:type="dxa" w:w="80"/>
              <w:left w:type="dxa" w:w="120"/>
              <w:bottom w:type="dxa" w:w="80"/>
              <w:right w:type="dxa" w:w="120"/>
            </w:tcMar>
          </w:tcPr>
          <w:p>
            <w:r>
              <w:rPr>
                <w:rFonts w:ascii="Arial" w:cs="Arial" w:eastAsia="Arial" w:hAnsi="Arial"/>
                <w:color w:val="1F2937"/>
                <w:sz w:val="22"/>
                <w:szCs w:val="22"/>
              </w:rPr>
              <w:t xml:space="preserve">5 Series, 6 Series, Blocks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2"/>
                <w:szCs w:val="22"/>
              </w:rPr>
              <w:t xml:space="preserve">Type</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2"/>
                <w:szCs w:val="22"/>
              </w:rPr>
              <w:t xml:space="preserve">Standard, Quickship, Limited Edition, Collaboration, Custom, 3rd Party</w:t>
            </w:r>
          </w:p>
        </w:tc>
      </w:tr>
      <w:tr>
        <w:tc>
          <w:tcPr>
            <w:tcW w:type="dxa" w:w="3000"/>
            <w:tcBorders>
              <w:top w:val="single" w:color="D1D5DB" w:sz="1"/>
              <w:left w:val="single" w:color="D1D5DB" w:sz="1"/>
              <w:bottom w:val="single" w:color="D1D5DB" w:sz="1"/>
              <w:right w:val="single" w:color="D1D5DB" w:sz="1"/>
            </w:tcBorders>
            <w:shd w:fill="F2F4F7" w:val="clear"/>
            <w:tcMar>
              <w:top w:type="dxa" w:w="80"/>
              <w:left w:type="dxa" w:w="120"/>
              <w:bottom w:type="dxa" w:w="80"/>
              <w:right w:type="dxa" w:w="120"/>
            </w:tcMar>
          </w:tcPr>
          <w:p>
            <w:r>
              <w:rPr>
                <w:rFonts w:ascii="Arial" w:cs="Arial" w:eastAsia="Arial" w:hAnsi="Arial"/>
                <w:color w:val="1F2937"/>
                <w:sz w:val="22"/>
                <w:szCs w:val="22"/>
              </w:rPr>
              <w:t xml:space="preserve">Fill Type</w:t>
            </w:r>
          </w:p>
        </w:tc>
        <w:tc>
          <w:tcPr>
            <w:tcW w:type="dxa" w:w="6360"/>
            <w:tcBorders>
              <w:top w:val="single" w:color="D1D5DB" w:sz="1"/>
              <w:left w:val="single" w:color="D1D5DB" w:sz="1"/>
              <w:bottom w:val="single" w:color="D1D5DB" w:sz="1"/>
              <w:right w:val="single" w:color="D1D5DB" w:sz="1"/>
            </w:tcBorders>
            <w:shd w:fill="F2F4F7" w:val="clear"/>
            <w:tcMar>
              <w:top w:type="dxa" w:w="80"/>
              <w:left w:type="dxa" w:w="120"/>
              <w:bottom w:type="dxa" w:w="80"/>
              <w:right w:type="dxa" w:w="120"/>
            </w:tcMar>
          </w:tcPr>
          <w:p>
            <w:r>
              <w:rPr>
                <w:rFonts w:ascii="Arial" w:cs="Arial" w:eastAsia="Arial" w:hAnsi="Arial"/>
                <w:color w:val="1F2937"/>
                <w:sz w:val="22"/>
                <w:szCs w:val="22"/>
              </w:rPr>
              <w:t xml:space="preserve">Durafoam, Lovesoft, Down Blend, Kapok, Polystyrene Beads, Outdoor, Therma-form, Batting</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2"/>
                <w:szCs w:val="22"/>
              </w:rPr>
              <w:t xml:space="preserve">Fabric Category</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2"/>
                <w:szCs w:val="22"/>
              </w:rPr>
              <w:t xml:space="preserve">Bouclé, Chenille, Velvet, Phur, Denim, Canvas, Outdoor, Carousel</w:t>
            </w:r>
          </w:p>
        </w:tc>
      </w:tr>
      <w:tr>
        <w:tc>
          <w:tcPr>
            <w:tcW w:type="dxa" w:w="3000"/>
            <w:tcBorders>
              <w:top w:val="single" w:color="D1D5DB" w:sz="1"/>
              <w:left w:val="single" w:color="D1D5DB" w:sz="1"/>
              <w:bottom w:val="single" w:color="D1D5DB" w:sz="1"/>
              <w:right w:val="single" w:color="D1D5DB" w:sz="1"/>
            </w:tcBorders>
            <w:shd w:fill="F2F4F7" w:val="clear"/>
            <w:tcMar>
              <w:top w:type="dxa" w:w="80"/>
              <w:left w:type="dxa" w:w="120"/>
              <w:bottom w:type="dxa" w:w="80"/>
              <w:right w:type="dxa" w:w="120"/>
            </w:tcMar>
          </w:tcPr>
          <w:p>
            <w:r>
              <w:rPr>
                <w:rFonts w:ascii="Arial" w:cs="Arial" w:eastAsia="Arial" w:hAnsi="Arial"/>
                <w:color w:val="1F2937"/>
                <w:sz w:val="22"/>
                <w:szCs w:val="22"/>
              </w:rPr>
              <w:t xml:space="preserve">Fabric (Item)</w:t>
            </w:r>
          </w:p>
        </w:tc>
        <w:tc>
          <w:tcPr>
            <w:tcW w:type="dxa" w:w="6360"/>
            <w:tcBorders>
              <w:top w:val="single" w:color="D1D5DB" w:sz="1"/>
              <w:left w:val="single" w:color="D1D5DB" w:sz="1"/>
              <w:bottom w:val="single" w:color="D1D5DB" w:sz="1"/>
              <w:right w:val="single" w:color="D1D5DB" w:sz="1"/>
            </w:tcBorders>
            <w:shd w:fill="F2F4F7" w:val="clear"/>
            <w:tcMar>
              <w:top w:type="dxa" w:w="80"/>
              <w:left w:type="dxa" w:w="120"/>
              <w:bottom w:type="dxa" w:w="80"/>
              <w:right w:type="dxa" w:w="120"/>
            </w:tcMar>
          </w:tcPr>
          <w:p>
            <w:r>
              <w:rPr>
                <w:rFonts w:ascii="Arial" w:cs="Arial" w:eastAsia="Arial" w:hAnsi="Arial"/>
                <w:color w:val="1F2937"/>
                <w:sz w:val="22"/>
                <w:szCs w:val="22"/>
              </w:rPr>
              <w:t xml:space="preserve">100+ distinct fabric options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2"/>
                <w:szCs w:val="22"/>
              </w:rPr>
              <w:t xml:space="preserve">Color Family</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2"/>
                <w:szCs w:val="22"/>
              </w:rPr>
              <w:t xml:space="preserve">Blue, Brown, Cream, Grey, Floral, Gold, and more</w:t>
            </w:r>
          </w:p>
        </w:tc>
      </w:tr>
      <w:tr>
        <w:tc>
          <w:tcPr>
            <w:tcW w:type="dxa" w:w="3000"/>
            <w:tcBorders>
              <w:top w:val="single" w:color="D1D5DB" w:sz="1"/>
              <w:left w:val="single" w:color="D1D5DB" w:sz="1"/>
              <w:bottom w:val="single" w:color="D1D5DB" w:sz="1"/>
              <w:right w:val="single" w:color="D1D5DB" w:sz="1"/>
            </w:tcBorders>
            <w:shd w:fill="F2F4F7" w:val="clear"/>
            <w:tcMar>
              <w:top w:type="dxa" w:w="80"/>
              <w:left w:type="dxa" w:w="120"/>
              <w:bottom w:type="dxa" w:w="80"/>
              <w:right w:type="dxa" w:w="120"/>
            </w:tcMar>
          </w:tcPr>
          <w:p>
            <w:r>
              <w:rPr>
                <w:rFonts w:ascii="Arial" w:cs="Arial" w:eastAsia="Arial" w:hAnsi="Arial"/>
                <w:color w:val="1F2937"/>
                <w:sz w:val="22"/>
                <w:szCs w:val="22"/>
              </w:rPr>
              <w:t xml:space="preserve">Color</w:t>
            </w:r>
          </w:p>
        </w:tc>
        <w:tc>
          <w:tcPr>
            <w:tcW w:type="dxa" w:w="6360"/>
            <w:tcBorders>
              <w:top w:val="single" w:color="D1D5DB" w:sz="1"/>
              <w:left w:val="single" w:color="D1D5DB" w:sz="1"/>
              <w:bottom w:val="single" w:color="D1D5DB" w:sz="1"/>
              <w:right w:val="single" w:color="D1D5DB" w:sz="1"/>
            </w:tcBorders>
            <w:shd w:fill="F2F4F7" w:val="clear"/>
            <w:tcMar>
              <w:top w:type="dxa" w:w="80"/>
              <w:left w:type="dxa" w:w="120"/>
              <w:bottom w:type="dxa" w:w="80"/>
              <w:right w:type="dxa" w:w="120"/>
            </w:tcMar>
          </w:tcPr>
          <w:p>
            <w:r>
              <w:rPr>
                <w:rFonts w:ascii="Arial" w:cs="Arial" w:eastAsia="Arial" w:hAnsi="Arial"/>
                <w:color w:val="1F2937"/>
                <w:sz w:val="22"/>
                <w:szCs w:val="22"/>
              </w:rPr>
              <w:t xml:space="preserve">200+ unique color values</w:t>
            </w:r>
          </w:p>
        </w:tc>
      </w:tr>
    </w:tbl>
    <w:p>
      <w:pPr>
        <w:spacing w:after="160" w:before="0"/>
      </w:pPr>
    </w:p>
    <w:p>
      <w:pPr>
        <w:spacing w:after="120" w:before="0"/>
      </w:pPr>
      <w:r>
        <w:rPr>
          <w:rFonts w:ascii="Arial" w:cs="Arial" w:eastAsia="Arial" w:hAnsi="Arial"/>
          <w:color w:val="1F2937"/>
          <w:sz w:val="22"/>
          <w:szCs w:val="22"/>
        </w:rPr>
        <w:t xml:space="preserve">A single component — for example, a Sactional Side — can exist as dozens of Cover SKUs (one per fabric/color) plus multiple Insert SKUs (one per fill type), across two series. The result is a catalog where the SKU count is orders of magnitude larger than the number of “products” a customer actually perceives.</w:t>
      </w:r>
    </w:p>
    <w:p>
      <w:pPr>
        <w:spacing w:after="120" w:before="0"/>
      </w:pPr>
    </w:p>
    <w:p>
      <w:pPr>
        <w:pStyle w:val="Heading2"/>
        <w:spacing w:after="60" w:before="260"/>
      </w:pPr>
      <w:r>
        <w:rPr>
          <w:rFonts w:ascii="Arial" w:cs="Arial" w:eastAsia="Arial" w:hAnsi="Arial"/>
          <w:b/>
          <w:bCs/>
          <w:color w:val="2E75B6"/>
          <w:sz w:val="28"/>
          <w:szCs w:val="28"/>
        </w:rPr>
        <w:t xml:space="preserve">2.2  Current Structural Gaps</w:t>
      </w:r>
    </w:p>
    <w:p>
      <w:pPr>
        <w:pStyle w:val="ListParagraph"/>
        <w:numPr>
          <w:ilvl w:val="0"/>
          <w:numId w:val="2"/>
        </w:numPr>
        <w:spacing w:after="80" w:before="0"/>
      </w:pPr>
      <w:r>
        <w:rPr>
          <w:rFonts w:ascii="Arial" w:cs="Arial" w:eastAsia="Arial" w:hAnsi="Arial"/>
          <w:b/>
          <w:bCs/>
          <w:color w:val="1F2937"/>
          <w:sz w:val="22"/>
          <w:szCs w:val="22"/>
        </w:rPr>
        <w:t xml:space="preserve">Flat Field representation. </w:t>
      </w:r>
      <w:r>
        <w:rPr>
          <w:rFonts w:ascii="Arial" w:cs="Arial" w:eastAsia="Arial" w:hAnsi="Arial"/>
          <w:color w:val="1F2937"/>
          <w:sz w:val="22"/>
          <w:szCs w:val="22"/>
        </w:rPr>
        <w:t xml:space="preserve">SKU data is stored as a flat list of Field values with no enforced parent-child hierarchy. There is no explicit graph linking covers to compatible inserts, or components to compatible configurations.</w:t>
      </w:r>
    </w:p>
    <w:p>
      <w:pPr>
        <w:pStyle w:val="ListParagraph"/>
        <w:numPr>
          <w:ilvl w:val="0"/>
          <w:numId w:val="2"/>
        </w:numPr>
        <w:spacing w:after="80" w:before="0"/>
      </w:pPr>
      <w:r>
        <w:rPr>
          <w:rFonts w:ascii="Arial" w:cs="Arial" w:eastAsia="Arial" w:hAnsi="Arial"/>
          <w:b/>
          <w:bCs/>
          <w:color w:val="1F2937"/>
          <w:sz w:val="22"/>
          <w:szCs w:val="22"/>
        </w:rPr>
        <w:t xml:space="preserve">No compatibility model. </w:t>
      </w:r>
      <w:r>
        <w:rPr>
          <w:rFonts w:ascii="Arial" w:cs="Arial" w:eastAsia="Arial" w:hAnsi="Arial"/>
          <w:color w:val="1F2937"/>
          <w:sz w:val="22"/>
          <w:szCs w:val="22"/>
        </w:rPr>
        <w:t xml:space="preserve">Rules governing which covers work with which inserts, which components are cross-series compatible, and which fabrics are available for which component types are implicit — not encoded as Relationships in the data.</w:t>
      </w:r>
    </w:p>
    <w:p>
      <w:pPr>
        <w:pStyle w:val="ListParagraph"/>
        <w:numPr>
          <w:ilvl w:val="0"/>
          <w:numId w:val="2"/>
        </w:numPr>
        <w:spacing w:after="80" w:before="0"/>
      </w:pPr>
      <w:r>
        <w:rPr>
          <w:rFonts w:ascii="Arial" w:cs="Arial" w:eastAsia="Arial" w:hAnsi="Arial"/>
          <w:b/>
          <w:bCs/>
          <w:color w:val="1F2937"/>
          <w:sz w:val="22"/>
          <w:szCs w:val="22"/>
        </w:rPr>
        <w:t xml:space="preserve">No canonical Taxonomy Collections. </w:t>
      </w:r>
      <w:r>
        <w:rPr>
          <w:rFonts w:ascii="Arial" w:cs="Arial" w:eastAsia="Arial" w:hAnsi="Arial"/>
          <w:color w:val="1F2937"/>
          <w:sz w:val="22"/>
          <w:szCs w:val="22"/>
        </w:rPr>
        <w:t xml:space="preserve">Lovesac requires up to three versions of product taxonomy to serve different Channels (internal ops, Lovesac.com, marketplace feeds). No single governed Taxonomy Collection currently maps SKU Records across all three.</w:t>
      </w:r>
    </w:p>
    <w:p>
      <w:pPr>
        <w:pStyle w:val="ListParagraph"/>
        <w:numPr>
          <w:ilvl w:val="0"/>
          <w:numId w:val="2"/>
        </w:numPr>
        <w:spacing w:after="80" w:before="0"/>
      </w:pPr>
      <w:r>
        <w:rPr>
          <w:rFonts w:ascii="Arial" w:cs="Arial" w:eastAsia="Arial" w:hAnsi="Arial"/>
          <w:b/>
          <w:bCs/>
          <w:color w:val="1F2937"/>
          <w:sz w:val="22"/>
          <w:szCs w:val="22"/>
        </w:rPr>
        <w:t xml:space="preserve">Multiple source systems. </w:t>
      </w:r>
      <w:r>
        <w:rPr>
          <w:rFonts w:ascii="Arial" w:cs="Arial" w:eastAsia="Arial" w:hAnsi="Arial"/>
          <w:color w:val="1F2937"/>
          <w:sz w:val="22"/>
          <w:szCs w:val="22"/>
        </w:rPr>
        <w:t xml:space="preserve">Product data is distributed across up to three existing backends, with no unified Job pipeline for transformation or normalisation.</w:t>
      </w:r>
    </w:p>
    <w:p>
      <w:pPr>
        <w:pStyle w:val="ListParagraph"/>
        <w:numPr>
          <w:ilvl w:val="0"/>
          <w:numId w:val="2"/>
        </w:numPr>
        <w:spacing w:after="80" w:before="0"/>
      </w:pPr>
      <w:r>
        <w:rPr>
          <w:rFonts w:ascii="Arial" w:cs="Arial" w:eastAsia="Arial" w:hAnsi="Arial"/>
          <w:b/>
          <w:bCs/>
          <w:color w:val="1F2937"/>
          <w:sz w:val="22"/>
          <w:szCs w:val="22"/>
        </w:rPr>
        <w:t xml:space="preserve">No Config ID model. </w:t>
      </w:r>
      <w:r>
        <w:rPr>
          <w:rFonts w:ascii="Arial" w:cs="Arial" w:eastAsia="Arial" w:hAnsi="Arial"/>
          <w:color w:val="1F2937"/>
          <w:sz w:val="22"/>
          <w:szCs w:val="22"/>
        </w:rPr>
        <w:t xml:space="preserve">Configuration IDs and BOM explosion are not currently supported as first-class Orchestration Flows — a gap that blocks POS efficiency and emerging agentic commerce use cases.</w:t>
      </w:r>
    </w:p>
    <w:p>
      <w:r>
        <w:br w:type="page"/>
      </w:r>
    </w:p>
    <w:p>
      <w:pPr>
        <w:pStyle w:val="Heading1"/>
        <w:spacing w:after="80" w:before="360"/>
      </w:pPr>
      <w:r>
        <w:rPr>
          <w:rFonts w:ascii="Arial" w:cs="Arial" w:eastAsia="Arial" w:hAnsi="Arial"/>
          <w:b/>
          <w:bCs/>
          <w:color w:val="1B4F8A"/>
          <w:sz w:val="36"/>
          <w:szCs w:val="36"/>
        </w:rPr>
        <w:t xml:space="preserve">3. DX Graph — Entity Model</w:t>
      </w:r>
    </w:p>
    <w:p>
      <w:pPr>
        <w:pBdr>
          <w:bottom w:val="single" w:color="2E75B6" w:sz="6" w:space="1"/>
        </w:pBdr>
        <w:spacing w:after="120" w:before="0"/>
      </w:pPr>
    </w:p>
    <w:p>
      <w:pPr>
        <w:spacing w:after="120" w:before="0"/>
      </w:pPr>
      <w:r>
        <w:rPr>
          <w:rFonts w:ascii="Arial" w:cs="Arial" w:eastAsia="Arial" w:hAnsi="Arial"/>
          <w:color w:val="1F2937"/>
          <w:sz w:val="22"/>
          <w:szCs w:val="22"/>
        </w:rPr>
        <w:t xml:space="preserve">DX Graph will serve as Lovesac’s governed semantic layer for configurable product data. The model is structured around typed Collections with explicit Relationships, replacing the flat Field list with a queryable graph that encodes compatibility, taxonomy, and hierarchy.</w:t>
      </w:r>
    </w:p>
    <w:p>
      <w:pPr>
        <w:spacing w:after="120" w:before="0"/>
      </w:pPr>
    </w:p>
    <w:p>
      <w:pPr>
        <w:pStyle w:val="Heading2"/>
        <w:spacing w:after="60" w:before="260"/>
      </w:pPr>
      <w:r>
        <w:rPr>
          <w:rFonts w:ascii="Arial" w:cs="Arial" w:eastAsia="Arial" w:hAnsi="Arial"/>
          <w:b/>
          <w:bCs/>
          <w:color w:val="2E75B6"/>
          <w:sz w:val="28"/>
          <w:szCs w:val="28"/>
        </w:rPr>
        <w:t xml:space="preserve">3.1  Collections</w:t>
      </w:r>
    </w:p>
    <w:p>
      <w:pPr>
        <w:spacing w:after="80" w:before="0"/>
      </w:pPr>
    </w:p>
    <w:p>
      <w:pPr>
        <w:spacing w:after="120" w:before="0"/>
      </w:pPr>
      <w:r>
        <w:rPr>
          <w:rFonts w:ascii="Arial" w:cs="Arial" w:eastAsia="Arial" w:hAnsi="Arial"/>
          <w:color w:val="1F2937"/>
          <w:sz w:val="22"/>
          <w:szCs w:val="22"/>
        </w:rPr>
        <w:t xml:space="preserve">The model uses three Collection types. Product Family, Component, and Fabric information is carried as Fields on SKU Records rather than as separate Collections — keeping the model flat, queryable, and free of unnecessary join overhead.</w:t>
      </w:r>
    </w:p>
    <w:p>
      <w:pPr>
        <w:spacing w:after="80" w:before="0"/>
      </w:pPr>
    </w:p>
    <w:p>
      <w:pPr>
        <w:pStyle w:val="Heading3"/>
        <w:spacing w:after="60" w:before="200"/>
      </w:pPr>
      <w:r>
        <w:rPr>
          <w:rFonts w:ascii="Arial" w:cs="Arial" w:eastAsia="Arial" w:hAnsi="Arial"/>
          <w:b/>
          <w:bCs/>
          <w:color w:val="1F2937"/>
          <w:sz w:val="24"/>
          <w:szCs w:val="24"/>
        </w:rPr>
        <w:t xml:space="preserve">SKU Collection</w:t>
      </w:r>
    </w:p>
    <w:p>
      <w:pPr>
        <w:spacing w:after="120" w:before="0"/>
      </w:pPr>
      <w:r>
        <w:rPr>
          <w:rFonts w:ascii="Arial" w:cs="Arial" w:eastAsia="Arial" w:hAnsi="Arial"/>
          <w:color w:val="1F2937"/>
          <w:sz w:val="22"/>
          <w:szCs w:val="22"/>
        </w:rPr>
        <w:t xml:space="preserve">A single Collection holding all purchasable SKU Records across all product lines and brands. The Line Field distinguishes record roles within the Collection (Cover, Insert, Insert &amp; Cover, Finished Good, Accessories, etc.), and all Relationships that reference compatibility, bundling, or taxonomy are scoped using Field values rather than separate Collections.</w:t>
      </w:r>
    </w:p>
    <w:p>
      <w:pPr>
        <w:pStyle w:val="ListParagraph"/>
        <w:numPr>
          <w:ilvl w:val="0"/>
          <w:numId w:val="2"/>
        </w:numPr>
        <w:spacing w:after="80" w:before="0"/>
      </w:pPr>
      <w:r>
        <w:rPr>
          <w:rFonts w:ascii="Arial" w:cs="Arial" w:eastAsia="Arial" w:hAnsi="Arial"/>
          <w:color w:val="1F2937"/>
          <w:sz w:val="22"/>
          <w:szCs w:val="22"/>
        </w:rPr>
        <w:t xml:space="preserve">Key Fields: SKU ID, Display Name, Brand (Sactional / Sac / Snugg / Accessories / etc.), Line (Cover / Insert / Insert &amp; Cover / Finished Good / etc.), Product (Seat / Side / Back Pillow / Supersac / etc.), Sactional Size (5 Series / 6 Series), Fabric, Fabric Category, Color, Color Family, Fill Type, Type (Custom / Quickship / Limited Edition), Platform (Indoor / Outdoor), Product Category, MSRP, Discontinued, Inactive</w:t>
      </w:r>
    </w:p>
    <w:p>
      <w:pPr>
        <w:pStyle w:val="ListParagraph"/>
        <w:numPr>
          <w:ilvl w:val="0"/>
          <w:numId w:val="2"/>
        </w:numPr>
        <w:spacing w:after="80" w:before="0"/>
      </w:pPr>
      <w:r>
        <w:rPr>
          <w:rFonts w:ascii="Arial" w:cs="Arial" w:eastAsia="Arial" w:hAnsi="Arial"/>
          <w:b/>
          <w:bCs/>
          <w:color w:val="1F2937"/>
          <w:sz w:val="22"/>
          <w:szCs w:val="22"/>
        </w:rPr>
        <w:t xml:space="preserve">COMPATIBLE_WITH (same-collection Dynamic Relationship): </w:t>
      </w:r>
      <w:r>
        <w:rPr>
          <w:rFonts w:ascii="Arial" w:cs="Arial" w:eastAsia="Arial" w:hAnsi="Arial"/>
          <w:color w:val="1F2937"/>
          <w:sz w:val="22"/>
          <w:szCs w:val="22"/>
        </w:rPr>
        <w:t xml:space="preserve">Scoped to Line=Cover → Line=Insert. Rule: Product == Product AND Sactional_Size == Sactional_Size. Derived from full catalog analysis; no manual tagging required. New SKUs are automatically covered by the rule.</w:t>
      </w:r>
    </w:p>
    <w:p>
      <w:pPr>
        <w:pStyle w:val="ListParagraph"/>
        <w:numPr>
          <w:ilvl w:val="0"/>
          <w:numId w:val="2"/>
        </w:numPr>
        <w:spacing w:after="80" w:before="0"/>
      </w:pPr>
      <w:r>
        <w:rPr>
          <w:rFonts w:ascii="Arial" w:cs="Arial" w:eastAsia="Arial" w:hAnsi="Arial"/>
          <w:b/>
          <w:bCs/>
          <w:color w:val="1F2937"/>
          <w:sz w:val="22"/>
          <w:szCs w:val="22"/>
        </w:rPr>
        <w:t xml:space="preserve">COMPATIBLE_WITH (same-collection 1:M Lookup, pending): </w:t>
      </w:r>
      <w:r>
        <w:rPr>
          <w:rFonts w:ascii="Arial" w:cs="Arial" w:eastAsia="Arial" w:hAnsi="Arial"/>
          <w:color w:val="1F2937"/>
          <w:sz w:val="22"/>
          <w:szCs w:val="22"/>
        </w:rPr>
        <w:t xml:space="preserve">Physical adjacency rules between product types (e.g. which Side types are valid next to which Seat types), scoped by the Product Field. To be configured once Lovesac confirms adjacency rules — see Open Question 7.</w:t>
      </w:r>
    </w:p>
    <w:p>
      <w:pPr>
        <w:pStyle w:val="ListParagraph"/>
        <w:numPr>
          <w:ilvl w:val="0"/>
          <w:numId w:val="2"/>
        </w:numPr>
        <w:spacing w:after="80" w:before="0"/>
      </w:pPr>
      <w:r>
        <w:rPr>
          <w:rFonts w:ascii="Arial" w:cs="Arial" w:eastAsia="Arial" w:hAnsi="Arial"/>
          <w:b/>
          <w:bCs/>
          <w:color w:val="1F2937"/>
          <w:sz w:val="22"/>
          <w:szCs w:val="22"/>
        </w:rPr>
        <w:t xml:space="preserve">BUNDLES (same-collection 1:M Lookup): </w:t>
      </w:r>
      <w:r>
        <w:rPr>
          <w:rFonts w:ascii="Arial" w:cs="Arial" w:eastAsia="Arial" w:hAnsi="Arial"/>
          <w:color w:val="1F2937"/>
          <w:sz w:val="22"/>
          <w:szCs w:val="22"/>
        </w:rPr>
        <w:t xml:space="preserve">Scoped to Line=Finished Good → Line=Cover or Insert. Encodes the composition of pre-configured sets such as Covered Sactionals and Cover Sets.</w:t>
      </w:r>
    </w:p>
    <w:p>
      <w:pPr>
        <w:pStyle w:val="ListParagraph"/>
        <w:numPr>
          <w:ilvl w:val="0"/>
          <w:numId w:val="2"/>
        </w:numPr>
        <w:spacing w:after="80" w:before="0"/>
      </w:pPr>
      <w:r>
        <w:rPr>
          <w:rFonts w:ascii="Arial" w:cs="Arial" w:eastAsia="Arial" w:hAnsi="Arial"/>
          <w:b/>
          <w:bCs/>
          <w:color w:val="1F2937"/>
          <w:sz w:val="22"/>
          <w:szCs w:val="22"/>
        </w:rPr>
        <w:t xml:space="preserve">MAPS_TO (cross-collection 1:M Lookup): </w:t>
      </w:r>
      <w:r>
        <w:rPr>
          <w:rFonts w:ascii="Arial" w:cs="Arial" w:eastAsia="Arial" w:hAnsi="Arial"/>
          <w:color w:val="1F2937"/>
          <w:sz w:val="22"/>
          <w:szCs w:val="22"/>
        </w:rPr>
        <w:t xml:space="preserve">Links SKU Records to their Taxonomy Collection Records for Channel-specific classification.</w:t>
      </w:r>
    </w:p>
    <w:p>
      <w:pPr>
        <w:spacing w:after="80" w:before="0"/>
      </w:pPr>
    </w:p>
    <w:p>
      <w:pPr>
        <w:pStyle w:val="Heading3"/>
        <w:spacing w:after="60" w:before="200"/>
      </w:pPr>
      <w:r>
        <w:rPr>
          <w:rFonts w:ascii="Arial" w:cs="Arial" w:eastAsia="Arial" w:hAnsi="Arial"/>
          <w:b/>
          <w:bCs/>
          <w:color w:val="1F2937"/>
          <w:sz w:val="24"/>
          <w:szCs w:val="24"/>
        </w:rPr>
        <w:t xml:space="preserve">Configuration Collection</w:t>
      </w:r>
    </w:p>
    <w:p>
      <w:pPr>
        <w:spacing w:after="120" w:before="0"/>
      </w:pPr>
      <w:r>
        <w:rPr>
          <w:rFonts w:ascii="Arial" w:cs="Arial" w:eastAsia="Arial" w:hAnsi="Arial"/>
          <w:color w:val="1F2937"/>
          <w:sz w:val="22"/>
          <w:szCs w:val="22"/>
        </w:rPr>
        <w:t xml:space="preserve">A Collection of saved, validated Sactional builds. Config IDs map to Configuration Records, each of which is the BOM anchor for a specific customer build.</w:t>
      </w:r>
    </w:p>
    <w:p>
      <w:pPr>
        <w:pStyle w:val="ListParagraph"/>
        <w:numPr>
          <w:ilvl w:val="0"/>
          <w:numId w:val="2"/>
        </w:numPr>
        <w:spacing w:after="80" w:before="0"/>
      </w:pPr>
      <w:r>
        <w:rPr>
          <w:rFonts w:ascii="Arial" w:cs="Arial" w:eastAsia="Arial" w:hAnsi="Arial"/>
          <w:color w:val="1F2937"/>
          <w:sz w:val="22"/>
          <w:szCs w:val="22"/>
        </w:rPr>
        <w:t xml:space="preserve">Key Fields: Config ID, Channel of creation, creation timestamp, status (draft / validated / ordered)</w:t>
      </w:r>
    </w:p>
    <w:p>
      <w:pPr>
        <w:pStyle w:val="ListParagraph"/>
        <w:numPr>
          <w:ilvl w:val="0"/>
          <w:numId w:val="2"/>
        </w:numPr>
        <w:spacing w:after="80" w:before="0"/>
      </w:pPr>
      <w:r>
        <w:rPr>
          <w:rFonts w:ascii="Arial" w:cs="Arial" w:eastAsia="Arial" w:hAnsi="Arial"/>
          <w:b/>
          <w:bCs/>
          <w:color w:val="1F2937"/>
          <w:sz w:val="22"/>
          <w:szCs w:val="22"/>
        </w:rPr>
        <w:t xml:space="preserve">CONTAINS (cross-collection 1:M Lookup): </w:t>
      </w:r>
      <w:r>
        <w:rPr>
          <w:rFonts w:ascii="Arial" w:cs="Arial" w:eastAsia="Arial" w:hAnsi="Arial"/>
          <w:color w:val="1F2937"/>
          <w:sz w:val="22"/>
          <w:szCs w:val="22"/>
        </w:rPr>
        <w:t xml:space="preserve">Links a Configuration Record to the SKU Records it comprises, with a quantity Field on each link.</w:t>
      </w:r>
    </w:p>
    <w:p>
      <w:pPr>
        <w:spacing w:after="80" w:before="0"/>
      </w:pPr>
    </w:p>
    <w:p>
      <w:pPr>
        <w:pStyle w:val="Heading3"/>
        <w:spacing w:after="60" w:before="200"/>
      </w:pPr>
      <w:r>
        <w:rPr>
          <w:rFonts w:ascii="Arial" w:cs="Arial" w:eastAsia="Arial" w:hAnsi="Arial"/>
          <w:b/>
          <w:bCs/>
          <w:color w:val="1F2937"/>
          <w:sz w:val="24"/>
          <w:szCs w:val="24"/>
        </w:rPr>
        <w:t xml:space="preserve">Taxonomy Collections</w:t>
      </w:r>
    </w:p>
    <w:p>
      <w:pPr>
        <w:spacing w:after="120" w:before="0"/>
      </w:pPr>
      <w:r>
        <w:rPr>
          <w:rFonts w:ascii="Arial" w:cs="Arial" w:eastAsia="Arial" w:hAnsi="Arial"/>
          <w:color w:val="1F2937"/>
          <w:sz w:val="22"/>
          <w:szCs w:val="22"/>
        </w:rPr>
        <w:t xml:space="preserve">Up to three parallel Taxonomy Collections serve different Channel requirements. SKU Records are mapped to Taxonomy Records via the MAPS_TO Relationship rather than being embedded within a single hierarchy, allowing the same SKU to appear in multiple taxonomies simultaneously.</w:t>
      </w:r>
    </w:p>
    <w:p>
      <w:pPr>
        <w:pStyle w:val="ListParagraph"/>
        <w:numPr>
          <w:ilvl w:val="0"/>
          <w:numId w:val="2"/>
        </w:numPr>
        <w:spacing w:after="80" w:before="0"/>
      </w:pPr>
      <w:r>
        <w:rPr>
          <w:rFonts w:ascii="Arial" w:cs="Arial" w:eastAsia="Arial" w:hAnsi="Arial"/>
          <w:color w:val="1F2937"/>
          <w:sz w:val="22"/>
          <w:szCs w:val="22"/>
        </w:rPr>
        <w:t xml:space="preserve">Taxonomy A: Internal operations taxonomy</w:t>
      </w:r>
    </w:p>
    <w:p>
      <w:pPr>
        <w:pStyle w:val="ListParagraph"/>
        <w:numPr>
          <w:ilvl w:val="0"/>
          <w:numId w:val="2"/>
        </w:numPr>
        <w:spacing w:after="80" w:before="0"/>
      </w:pPr>
      <w:r>
        <w:rPr>
          <w:rFonts w:ascii="Arial" w:cs="Arial" w:eastAsia="Arial" w:hAnsi="Arial"/>
          <w:color w:val="1F2937"/>
          <w:sz w:val="22"/>
          <w:szCs w:val="22"/>
        </w:rPr>
        <w:t xml:space="preserve">Taxonomy B: Lovesac.com Channel taxonomy</w:t>
      </w:r>
    </w:p>
    <w:p>
      <w:pPr>
        <w:pStyle w:val="ListParagraph"/>
        <w:numPr>
          <w:ilvl w:val="0"/>
          <w:numId w:val="2"/>
        </w:numPr>
        <w:spacing w:after="80" w:before="0"/>
      </w:pPr>
      <w:r>
        <w:rPr>
          <w:rFonts w:ascii="Arial" w:cs="Arial" w:eastAsia="Arial" w:hAnsi="Arial"/>
          <w:color w:val="1F2937"/>
          <w:sz w:val="22"/>
          <w:szCs w:val="22"/>
        </w:rPr>
        <w:t xml:space="preserve">Taxonomy C: Marketplace / third-party feed taxonomy (Google Shopping, ChatGPT)</w:t>
      </w:r>
    </w:p>
    <w:p>
      <w:pPr>
        <w:spacing w:after="120" w:before="0"/>
      </w:pPr>
    </w:p>
    <w:p>
      <w:pPr>
        <w:pStyle w:val="Heading2"/>
        <w:spacing w:after="60" w:before="260"/>
      </w:pPr>
      <w:r>
        <w:rPr>
          <w:rFonts w:ascii="Arial" w:cs="Arial" w:eastAsia="Arial" w:hAnsi="Arial"/>
          <w:b/>
          <w:bCs/>
          <w:color w:val="2E75B6"/>
          <w:sz w:val="28"/>
          <w:szCs w:val="28"/>
        </w:rPr>
        <w:t xml:space="preserve">3.2  Key Relationships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1800"/>
        <w:gridCol w:w="2760"/>
      </w:tblGrid>
      <w:tr>
        <w:trPr>
          <w:tblHeader/>
        </w:trPr>
        <w:tc>
          <w:tcPr>
            <w:tcW w:type="dxa" w:w="2600"/>
            <w:tcBorders>
              <w:top w:val="single" w:color="D1D5DB" w:sz="1"/>
              <w:left w:val="single" w:color="D1D5DB" w:sz="1"/>
              <w:bottom w:val="single" w:color="D1D5DB" w:sz="1"/>
              <w:right w:val="single" w:color="D1D5DB"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Relationship</w:t>
            </w:r>
          </w:p>
        </w:tc>
        <w:tc>
          <w:tcPr>
            <w:tcW w:type="dxa" w:w="2200"/>
            <w:tcBorders>
              <w:top w:val="single" w:color="D1D5DB" w:sz="1"/>
              <w:left w:val="single" w:color="D1D5DB" w:sz="1"/>
              <w:bottom w:val="single" w:color="D1D5DB" w:sz="1"/>
              <w:right w:val="single" w:color="D1D5DB"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1800"/>
            <w:tcBorders>
              <w:top w:val="single" w:color="D1D5DB" w:sz="1"/>
              <w:left w:val="single" w:color="D1D5DB" w:sz="1"/>
              <w:bottom w:val="single" w:color="D1D5DB" w:sz="1"/>
              <w:right w:val="single" w:color="D1D5DB"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760"/>
            <w:tcBorders>
              <w:top w:val="single" w:color="D1D5DB" w:sz="1"/>
              <w:left w:val="single" w:color="D1D5DB" w:sz="1"/>
              <w:bottom w:val="single" w:color="D1D5DB" w:sz="1"/>
              <w:right w:val="single" w:color="D1D5DB"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2"/>
                <w:szCs w:val="22"/>
              </w:rPr>
              <w:t xml:space="preserve">COMPATIBLE_WITH</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2"/>
                <w:szCs w:val="22"/>
              </w:rPr>
              <w:t xml:space="preserve">SKU → SKU (same-collection)</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2"/>
                <w:szCs w:val="22"/>
              </w:rPr>
              <w:t xml:space="preserve">Dynamic</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2"/>
                <w:szCs w:val="22"/>
              </w:rPr>
              <w:t xml:space="preserve">Cover-to-Insert compatibility. Scoped: Line=Cover → Line=Insert. Rule: Product == Product AND Sactional_Size == Sactional_Size.</w:t>
            </w:r>
          </w:p>
        </w:tc>
      </w:tr>
      <w:tr>
        <w:tc>
          <w:tcPr>
            <w:tcW w:type="dxa" w:w="2600"/>
            <w:tcBorders>
              <w:top w:val="single" w:color="D1D5DB" w:sz="1"/>
              <w:left w:val="single" w:color="D1D5DB" w:sz="1"/>
              <w:bottom w:val="single" w:color="D1D5DB" w:sz="1"/>
              <w:right w:val="single" w:color="D1D5DB" w:sz="1"/>
            </w:tcBorders>
            <w:shd w:fill="F2F4F7" w:val="clear"/>
            <w:tcMar>
              <w:top w:type="dxa" w:w="80"/>
              <w:left w:type="dxa" w:w="120"/>
              <w:bottom w:type="dxa" w:w="80"/>
              <w:right w:type="dxa" w:w="120"/>
            </w:tcMar>
          </w:tcPr>
          <w:p>
            <w:r>
              <w:rPr>
                <w:rFonts w:ascii="Arial" w:cs="Arial" w:eastAsia="Arial" w:hAnsi="Arial"/>
                <w:color w:val="1F2937"/>
                <w:sz w:val="22"/>
                <w:szCs w:val="22"/>
              </w:rPr>
              <w:t xml:space="preserve">COMPATIBLE_WITH</w:t>
            </w:r>
          </w:p>
        </w:tc>
        <w:tc>
          <w:tcPr>
            <w:tcW w:type="dxa" w:w="2200"/>
            <w:tcBorders>
              <w:top w:val="single" w:color="D1D5DB" w:sz="1"/>
              <w:left w:val="single" w:color="D1D5DB" w:sz="1"/>
              <w:bottom w:val="single" w:color="D1D5DB" w:sz="1"/>
              <w:right w:val="single" w:color="D1D5DB" w:sz="1"/>
            </w:tcBorders>
            <w:shd w:fill="F2F4F7" w:val="clear"/>
            <w:tcMar>
              <w:top w:type="dxa" w:w="80"/>
              <w:left w:type="dxa" w:w="120"/>
              <w:bottom w:type="dxa" w:w="80"/>
              <w:right w:type="dxa" w:w="120"/>
            </w:tcMar>
          </w:tcPr>
          <w:p>
            <w:r>
              <w:rPr>
                <w:rFonts w:ascii="Arial" w:cs="Arial" w:eastAsia="Arial" w:hAnsi="Arial"/>
                <w:color w:val="1F2937"/>
                <w:sz w:val="22"/>
                <w:szCs w:val="22"/>
              </w:rPr>
              <w:t xml:space="preserve">SKU → SKU (same-collection)</w:t>
            </w:r>
          </w:p>
        </w:tc>
        <w:tc>
          <w:tcPr>
            <w:tcW w:type="dxa" w:w="1800"/>
            <w:tcBorders>
              <w:top w:val="single" w:color="D1D5DB" w:sz="1"/>
              <w:left w:val="single" w:color="D1D5DB" w:sz="1"/>
              <w:bottom w:val="single" w:color="D1D5DB" w:sz="1"/>
              <w:right w:val="single" w:color="D1D5DB" w:sz="1"/>
            </w:tcBorders>
            <w:shd w:fill="F2F4F7" w:val="clear"/>
            <w:tcMar>
              <w:top w:type="dxa" w:w="80"/>
              <w:left w:type="dxa" w:w="120"/>
              <w:bottom w:type="dxa" w:w="80"/>
              <w:right w:type="dxa" w:w="120"/>
            </w:tcMar>
          </w:tcPr>
          <w:p>
            <w:r>
              <w:rPr>
                <w:rFonts w:ascii="Arial" w:cs="Arial" w:eastAsia="Arial" w:hAnsi="Arial"/>
                <w:color w:val="1F2937"/>
                <w:sz w:val="22"/>
                <w:szCs w:val="22"/>
              </w:rPr>
              <w:t xml:space="preserve">1:M Lookup</w:t>
            </w:r>
          </w:p>
        </w:tc>
        <w:tc>
          <w:tcPr>
            <w:tcW w:type="dxa" w:w="2760"/>
            <w:tcBorders>
              <w:top w:val="single" w:color="D1D5DB" w:sz="1"/>
              <w:left w:val="single" w:color="D1D5DB" w:sz="1"/>
              <w:bottom w:val="single" w:color="D1D5DB" w:sz="1"/>
              <w:right w:val="single" w:color="D1D5DB" w:sz="1"/>
            </w:tcBorders>
            <w:shd w:fill="F2F4F7" w:val="clear"/>
            <w:tcMar>
              <w:top w:type="dxa" w:w="80"/>
              <w:left w:type="dxa" w:w="120"/>
              <w:bottom w:type="dxa" w:w="80"/>
              <w:right w:type="dxa" w:w="120"/>
            </w:tcMar>
          </w:tcPr>
          <w:p>
            <w:r>
              <w:rPr>
                <w:rFonts w:ascii="Arial" w:cs="Arial" w:eastAsia="Arial" w:hAnsi="Arial"/>
                <w:color w:val="1F2937"/>
                <w:sz w:val="22"/>
                <w:szCs w:val="22"/>
              </w:rPr>
              <w:t xml:space="preserve">Physical adjacency rules between product types, scoped by Product Field. Pending Lovesac confirmation (Open Question 7).</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2"/>
                <w:szCs w:val="22"/>
              </w:rPr>
              <w:t xml:space="preserve">BUNDLES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2"/>
                <w:szCs w:val="22"/>
              </w:rPr>
              <w:t xml:space="preserve">SKU → SKU (same-collection)</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2"/>
                <w:szCs w:val="22"/>
              </w:rPr>
              <w:t xml:space="preserve">1:M Lookup</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2"/>
                <w:szCs w:val="22"/>
              </w:rPr>
              <w:t xml:space="preserve">Finished Good composition. Scoped: Line=Finished Good → Line=Cover or Insert.</w:t>
            </w:r>
          </w:p>
        </w:tc>
      </w:tr>
      <w:tr>
        <w:tc>
          <w:tcPr>
            <w:tcW w:type="dxa" w:w="2600"/>
            <w:tcBorders>
              <w:top w:val="single" w:color="D1D5DB" w:sz="1"/>
              <w:left w:val="single" w:color="D1D5DB" w:sz="1"/>
              <w:bottom w:val="single" w:color="D1D5DB" w:sz="1"/>
              <w:right w:val="single" w:color="D1D5DB" w:sz="1"/>
            </w:tcBorders>
            <w:shd w:fill="F2F4F7" w:val="clear"/>
            <w:tcMar>
              <w:top w:type="dxa" w:w="80"/>
              <w:left w:type="dxa" w:w="120"/>
              <w:bottom w:type="dxa" w:w="80"/>
              <w:right w:type="dxa" w:w="120"/>
            </w:tcMar>
          </w:tcPr>
          <w:p>
            <w:r>
              <w:rPr>
                <w:rFonts w:ascii="Arial" w:cs="Arial" w:eastAsia="Arial" w:hAnsi="Arial"/>
                <w:color w:val="1F2937"/>
                <w:sz w:val="22"/>
                <w:szCs w:val="22"/>
              </w:rPr>
              <w:t xml:space="preserve">CONTAINS</w:t>
            </w:r>
          </w:p>
        </w:tc>
        <w:tc>
          <w:tcPr>
            <w:tcW w:type="dxa" w:w="2200"/>
            <w:tcBorders>
              <w:top w:val="single" w:color="D1D5DB" w:sz="1"/>
              <w:left w:val="single" w:color="D1D5DB" w:sz="1"/>
              <w:bottom w:val="single" w:color="D1D5DB" w:sz="1"/>
              <w:right w:val="single" w:color="D1D5DB" w:sz="1"/>
            </w:tcBorders>
            <w:shd w:fill="F2F4F7" w:val="clear"/>
            <w:tcMar>
              <w:top w:type="dxa" w:w="80"/>
              <w:left w:type="dxa" w:w="120"/>
              <w:bottom w:type="dxa" w:w="80"/>
              <w:right w:type="dxa" w:w="120"/>
            </w:tcMar>
          </w:tcPr>
          <w:p>
            <w:r>
              <w:rPr>
                <w:rFonts w:ascii="Arial" w:cs="Arial" w:eastAsia="Arial" w:hAnsi="Arial"/>
                <w:color w:val="1F2937"/>
                <w:sz w:val="22"/>
                <w:szCs w:val="22"/>
              </w:rPr>
              <w:t xml:space="preserve">Configuration → SKU (cross-collection)</w:t>
            </w:r>
          </w:p>
        </w:tc>
        <w:tc>
          <w:tcPr>
            <w:tcW w:type="dxa" w:w="1800"/>
            <w:tcBorders>
              <w:top w:val="single" w:color="D1D5DB" w:sz="1"/>
              <w:left w:val="single" w:color="D1D5DB" w:sz="1"/>
              <w:bottom w:val="single" w:color="D1D5DB" w:sz="1"/>
              <w:right w:val="single" w:color="D1D5DB" w:sz="1"/>
            </w:tcBorders>
            <w:shd w:fill="F2F4F7" w:val="clear"/>
            <w:tcMar>
              <w:top w:type="dxa" w:w="80"/>
              <w:left w:type="dxa" w:w="120"/>
              <w:bottom w:type="dxa" w:w="80"/>
              <w:right w:type="dxa" w:w="120"/>
            </w:tcMar>
          </w:tcPr>
          <w:p>
            <w:r>
              <w:rPr>
                <w:rFonts w:ascii="Arial" w:cs="Arial" w:eastAsia="Arial" w:hAnsi="Arial"/>
                <w:color w:val="1F2937"/>
                <w:sz w:val="22"/>
                <w:szCs w:val="22"/>
              </w:rPr>
              <w:t xml:space="preserve">1:M Lookup</w:t>
            </w:r>
          </w:p>
        </w:tc>
        <w:tc>
          <w:tcPr>
            <w:tcW w:type="dxa" w:w="2760"/>
            <w:tcBorders>
              <w:top w:val="single" w:color="D1D5DB" w:sz="1"/>
              <w:left w:val="single" w:color="D1D5DB" w:sz="1"/>
              <w:bottom w:val="single" w:color="D1D5DB" w:sz="1"/>
              <w:right w:val="single" w:color="D1D5DB" w:sz="1"/>
            </w:tcBorders>
            <w:shd w:fill="F2F4F7" w:val="clear"/>
            <w:tcMar>
              <w:top w:type="dxa" w:w="80"/>
              <w:left w:type="dxa" w:w="120"/>
              <w:bottom w:type="dxa" w:w="80"/>
              <w:right w:type="dxa" w:w="120"/>
            </w:tcMar>
          </w:tcPr>
          <w:p>
            <w:r>
              <w:rPr>
                <w:rFonts w:ascii="Arial" w:cs="Arial" w:eastAsia="Arial" w:hAnsi="Arial"/>
                <w:color w:val="1F2937"/>
                <w:sz w:val="22"/>
                <w:szCs w:val="22"/>
              </w:rPr>
              <w:t xml:space="preserve">BOM link from a Configuration Record to its constituent SKU Records, with quantity Field.</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2"/>
                <w:szCs w:val="22"/>
              </w:rPr>
              <w:t xml:space="preserve">MAPS_TO</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2"/>
                <w:szCs w:val="22"/>
              </w:rPr>
              <w:t xml:space="preserve">SKU → Taxonomy (cross-collection)</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2"/>
                <w:szCs w:val="22"/>
              </w:rPr>
              <w:t xml:space="preserve">1:M Lookup</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2"/>
                <w:szCs w:val="22"/>
              </w:rPr>
              <w:t xml:space="preserve">Channel taxonomy assignment. One SKU can map to multiple Taxonomy Records across up to 3 Taxonomy Collections.</w:t>
            </w:r>
          </w:p>
        </w:tc>
      </w:tr>
      <w:tr>
        <w:tc>
          <w:tcPr>
            <w:tcW w:type="dxa" w:w="2600"/>
            <w:tcBorders>
              <w:top w:val="single" w:color="D1D5DB" w:sz="1"/>
              <w:left w:val="single" w:color="D1D5DB" w:sz="1"/>
              <w:bottom w:val="single" w:color="D1D5DB" w:sz="1"/>
              <w:right w:val="single" w:color="D1D5DB" w:sz="1"/>
            </w:tcBorders>
            <w:shd w:fill="F2F4F7" w:val="clear"/>
            <w:tcMar>
              <w:top w:type="dxa" w:w="80"/>
              <w:left w:type="dxa" w:w="120"/>
              <w:bottom w:type="dxa" w:w="80"/>
              <w:right w:type="dxa" w:w="120"/>
            </w:tcMar>
          </w:tcPr>
          <w:p>
            <w:r>
              <w:rPr>
                <w:rFonts w:ascii="Arial" w:cs="Arial" w:eastAsia="Arial" w:hAnsi="Arial"/>
                <w:color w:val="1F2937"/>
                <w:sz w:val="22"/>
                <w:szCs w:val="22"/>
              </w:rPr>
              <w:t xml:space="preserve">Sactional_Size (Field — not a Relationship)</w:t>
            </w:r>
          </w:p>
        </w:tc>
        <w:tc>
          <w:tcPr>
            <w:tcW w:type="dxa" w:w="2200"/>
            <w:tcBorders>
              <w:top w:val="single" w:color="D1D5DB" w:sz="1"/>
              <w:left w:val="single" w:color="D1D5DB" w:sz="1"/>
              <w:bottom w:val="single" w:color="D1D5DB" w:sz="1"/>
              <w:right w:val="single" w:color="D1D5DB" w:sz="1"/>
            </w:tcBorders>
            <w:shd w:fill="F2F4F7" w:val="clear"/>
            <w:tcMar>
              <w:top w:type="dxa" w:w="80"/>
              <w:left w:type="dxa" w:w="120"/>
              <w:bottom w:type="dxa" w:w="80"/>
              <w:right w:type="dxa" w:w="120"/>
            </w:tcMar>
          </w:tcPr>
          <w:p>
            <w:r>
              <w:rPr>
                <w:rFonts w:ascii="Arial" w:cs="Arial" w:eastAsia="Arial" w:hAnsi="Arial"/>
                <w:color w:val="1F2937"/>
                <w:sz w:val="22"/>
                <w:szCs w:val="22"/>
              </w:rPr>
              <w:t xml:space="preserve">SKU Records</w:t>
            </w:r>
          </w:p>
        </w:tc>
        <w:tc>
          <w:tcPr>
            <w:tcW w:type="dxa" w:w="1800"/>
            <w:tcBorders>
              <w:top w:val="single" w:color="D1D5DB" w:sz="1"/>
              <w:left w:val="single" w:color="D1D5DB" w:sz="1"/>
              <w:bottom w:val="single" w:color="D1D5DB" w:sz="1"/>
              <w:right w:val="single" w:color="D1D5DB" w:sz="1"/>
            </w:tcBorders>
            <w:shd w:fill="F2F4F7" w:val="clear"/>
            <w:tcMar>
              <w:top w:type="dxa" w:w="80"/>
              <w:left w:type="dxa" w:w="120"/>
              <w:bottom w:type="dxa" w:w="80"/>
              <w:right w:type="dxa" w:w="120"/>
            </w:tcMar>
          </w:tcPr>
          <w:p>
            <w:r>
              <w:rPr>
                <w:rFonts w:ascii="Arial" w:cs="Arial" w:eastAsia="Arial" w:hAnsi="Arial"/>
                <w:color w:val="1F2937"/>
                <w:sz w:val="22"/>
                <w:szCs w:val="22"/>
              </w:rPr>
              <w:t xml:space="preserve">—</w:t>
            </w:r>
          </w:p>
        </w:tc>
        <w:tc>
          <w:tcPr>
            <w:tcW w:type="dxa" w:w="2760"/>
            <w:tcBorders>
              <w:top w:val="single" w:color="D1D5DB" w:sz="1"/>
              <w:left w:val="single" w:color="D1D5DB" w:sz="1"/>
              <w:bottom w:val="single" w:color="D1D5DB" w:sz="1"/>
              <w:right w:val="single" w:color="D1D5DB" w:sz="1"/>
            </w:tcBorders>
            <w:shd w:fill="F2F4F7" w:val="clear"/>
            <w:tcMar>
              <w:top w:type="dxa" w:w="80"/>
              <w:left w:type="dxa" w:w="120"/>
              <w:bottom w:type="dxa" w:w="80"/>
              <w:right w:type="dxa" w:w="120"/>
            </w:tcMar>
          </w:tcPr>
          <w:p>
            <w:r>
              <w:rPr>
                <w:rFonts w:ascii="Arial" w:cs="Arial" w:eastAsia="Arial" w:hAnsi="Arial"/>
                <w:color w:val="1F2937"/>
                <w:sz w:val="22"/>
                <w:szCs w:val="22"/>
              </w:rPr>
              <w:t xml:space="preserve">Series boundary enforced by Experience Rule in DX Engine comparing Sactional_Size Field values across selected Records.</w:t>
            </w:r>
          </w:p>
        </w:tc>
      </w:tr>
    </w:tbl>
    <w:p>
      <w:pPr>
        <w:spacing w:after="160" w:before="0"/>
      </w:pPr>
    </w:p>
    <w:p>
      <w:pPr>
        <w:pStyle w:val="Heading2"/>
        <w:spacing w:after="60" w:before="260"/>
      </w:pPr>
      <w:r>
        <w:rPr>
          <w:rFonts w:ascii="Arial" w:cs="Arial" w:eastAsia="Arial" w:hAnsi="Arial"/>
          <w:b/>
          <w:bCs/>
          <w:color w:val="2E75B6"/>
          <w:sz w:val="28"/>
          <w:szCs w:val="28"/>
        </w:rPr>
        <w:t xml:space="preserve">3.3  Data Loading</w:t>
      </w:r>
    </w:p>
    <w:p>
      <w:pPr>
        <w:spacing w:after="120" w:before="0"/>
      </w:pPr>
      <w:r>
        <w:rPr>
          <w:rFonts w:ascii="Arial" w:cs="Arial" w:eastAsia="Arial" w:hAnsi="Arial"/>
          <w:color w:val="1F2937"/>
          <w:sz w:val="22"/>
          <w:szCs w:val="22"/>
        </w:rPr>
        <w:t xml:space="preserve">Data will be loaded from up to three existing source systems into DX Graph Collections via Jobs. Jobs can pull data from external API endpoints on a schedule, or process files dropped into a Data Bucket (JSON, CSV, XML), with transformation and normalisation applied within the Job pipeline.</w:t>
      </w:r>
    </w:p>
    <w:p>
      <w:pPr>
        <w:spacing w:after="80" w:before="0"/>
      </w:pPr>
    </w:p>
    <w:p>
      <w:pPr>
        <w:pStyle w:val="ListParagraph"/>
        <w:numPr>
          <w:ilvl w:val="0"/>
          <w:numId w:val="2"/>
        </w:numPr>
        <w:spacing w:after="80" w:before="0"/>
      </w:pPr>
      <w:r>
        <w:rPr>
          <w:rFonts w:ascii="Arial" w:cs="Arial" w:eastAsia="Arial" w:hAnsi="Arial"/>
          <w:b/>
          <w:bCs/>
          <w:color w:val="1F2937"/>
          <w:sz w:val="22"/>
          <w:szCs w:val="22"/>
        </w:rPr>
        <w:t xml:space="preserve">Schema normalisation. </w:t>
      </w:r>
      <w:r>
        <w:rPr>
          <w:rFonts w:ascii="Arial" w:cs="Arial" w:eastAsia="Arial" w:hAnsi="Arial"/>
          <w:color w:val="1F2937"/>
          <w:sz w:val="22"/>
          <w:szCs w:val="22"/>
        </w:rPr>
        <w:t xml:space="preserve">Field values from each source system (e.g. fabric names, SKU ID formats) will be mapped to the canonical DX Graph Collection Schema. Conflicting representations will be resolved within the Job transformation step.</w:t>
      </w:r>
    </w:p>
    <w:p>
      <w:pPr>
        <w:pStyle w:val="ListParagraph"/>
        <w:numPr>
          <w:ilvl w:val="0"/>
          <w:numId w:val="2"/>
        </w:numPr>
        <w:spacing w:after="80" w:before="0"/>
      </w:pPr>
      <w:r>
        <w:rPr>
          <w:rFonts w:ascii="Arial" w:cs="Arial" w:eastAsia="Arial" w:hAnsi="Arial"/>
          <w:b/>
          <w:bCs/>
          <w:color w:val="1F2937"/>
          <w:sz w:val="22"/>
          <w:szCs w:val="22"/>
        </w:rPr>
        <w:t xml:space="preserve">Relationship construction. </w:t>
      </w:r>
      <w:r>
        <w:rPr>
          <w:rFonts w:ascii="Arial" w:cs="Arial" w:eastAsia="Arial" w:hAnsi="Arial"/>
          <w:color w:val="1F2937"/>
          <w:sz w:val="22"/>
          <w:szCs w:val="22"/>
        </w:rPr>
        <w:t xml:space="preserve">Compatibility Relationships that are currently implicit in the source data will be explicitly constructed during data loading, either from known compatibility rules provided by Lovesac or derived from existing product logic.</w:t>
      </w:r>
    </w:p>
    <w:p>
      <w:pPr>
        <w:pStyle w:val="ListParagraph"/>
        <w:numPr>
          <w:ilvl w:val="0"/>
          <w:numId w:val="2"/>
        </w:numPr>
        <w:spacing w:after="80" w:before="0"/>
      </w:pPr>
      <w:r>
        <w:rPr>
          <w:rFonts w:ascii="Arial" w:cs="Arial" w:eastAsia="Arial" w:hAnsi="Arial"/>
          <w:b/>
          <w:bCs/>
          <w:color w:val="1F2937"/>
          <w:sz w:val="22"/>
          <w:szCs w:val="22"/>
        </w:rPr>
        <w:t xml:space="preserve">Marketplace feed updates. </w:t>
      </w:r>
      <w:r>
        <w:rPr>
          <w:rFonts w:ascii="Arial" w:cs="Arial" w:eastAsia="Arial" w:hAnsi="Arial"/>
          <w:color w:val="1F2937"/>
          <w:sz w:val="22"/>
          <w:szCs w:val="22"/>
        </w:rPr>
        <w:t xml:space="preserve">Two existing marketplace feeds will be updated to draw from DX Graph Collections as their authoritative source, replacing any existing direct backend connections.</w:t>
      </w:r>
    </w:p>
    <w:p>
      <w:pPr>
        <w:pStyle w:val="ListParagraph"/>
        <w:numPr>
          <w:ilvl w:val="0"/>
          <w:numId w:val="2"/>
        </w:numPr>
        <w:spacing w:after="80" w:before="0"/>
      </w:pPr>
      <w:r>
        <w:rPr>
          <w:rFonts w:ascii="Arial" w:cs="Arial" w:eastAsia="Arial" w:hAnsi="Arial"/>
          <w:b/>
          <w:bCs/>
          <w:color w:val="1F2937"/>
          <w:sz w:val="22"/>
          <w:szCs w:val="22"/>
        </w:rPr>
        <w:t xml:space="preserve">Ongoing sync. </w:t>
      </w:r>
      <w:r>
        <w:rPr>
          <w:rFonts w:ascii="Arial" w:cs="Arial" w:eastAsia="Arial" w:hAnsi="Arial"/>
          <w:color w:val="1F2937"/>
          <w:sz w:val="22"/>
          <w:szCs w:val="22"/>
        </w:rPr>
        <w:t xml:space="preserve">Jobs will be scheduled for regular refresh of each Collection. Event-driven Triggers (e.g. Record Created / Record Updated) can be configured for backends that support webhook-based updates.</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2"/>
              <w:bottom w:val="single" w:color="2E75B6" w:sz="4"/>
              <w:right w:val="single" w:color="2E75B6" w:sz="4"/>
            </w:tcBorders>
            <w:shd w:fill="D5E8F0" w:val="clear"/>
            <w:tcMar>
              <w:top w:type="dxa" w:w="120"/>
              <w:left w:type="dxa" w:w="180"/>
              <w:bottom w:type="dxa" w:w="120"/>
              <w:right w:type="dxa" w:w="180"/>
            </w:tcMar>
          </w:tcPr>
          <w:p>
            <w:r>
              <w:rPr>
                <w:rFonts w:ascii="Arial" w:cs="Arial" w:eastAsia="Arial" w:hAnsi="Arial"/>
                <w:b/>
                <w:bCs/>
                <w:color w:val="2E75B6"/>
                <w:sz w:val="20"/>
                <w:szCs w:val="20"/>
              </w:rPr>
              <w:t xml:space="preserve">DESIGN PRINCIPLE</w:t>
            </w:r>
          </w:p>
        </w:tc>
      </w:tr>
      <w:tr>
        <w:tc>
          <w:tcPr>
            <w:tcW w:type="dxa" w:w="9360"/>
            <w:tcBorders>
              <w:top w:val="none" w:color="FFFFFF" w:sz="0"/>
              <w:left w:val="single" w:color="2E75B6" w:sz="12"/>
              <w:bottom w:val="none" w:color="FFFFFF" w:sz="0"/>
              <w:right w:val="none" w:color="FFFFFF" w:sz="0"/>
            </w:tcBorders>
            <w:shd w:fill="D5E8F0" w:val="clear"/>
            <w:tcMar>
              <w:top w:type="dxa" w:w="120"/>
              <w:left w:type="dxa" w:w="180"/>
              <w:bottom w:type="dxa" w:w="120"/>
              <w:right w:type="dxa" w:w="180"/>
            </w:tcMar>
          </w:tcPr>
          <w:p>
            <w:pPr>
              <w:spacing w:after="120" w:before="0"/>
            </w:pPr>
            <w:r>
              <w:rPr>
                <w:rFonts w:ascii="Arial" w:cs="Arial" w:eastAsia="Arial" w:hAnsi="Arial"/>
                <w:color w:val="1F2937"/>
                <w:sz w:val="22"/>
                <w:szCs w:val="22"/>
              </w:rPr>
              <w:t xml:space="preserve">DX Graph is the system of record, not a cache. All downstream Channels — POS, web, marketplace, agents — query DX Graph (directly or via DX Engine Orchestration Flows). Source systems remain as systems of origin but are not queried at runtime.</w:t>
            </w:r>
          </w:p>
        </w:tc>
      </w:tr>
    </w:tbl>
    <w:p>
      <w:r>
        <w:br w:type="page"/>
      </w:r>
    </w:p>
    <w:p>
      <w:pPr>
        <w:pStyle w:val="Heading1"/>
        <w:spacing w:after="80" w:before="360"/>
      </w:pPr>
      <w:r>
        <w:rPr>
          <w:rFonts w:ascii="Arial" w:cs="Arial" w:eastAsia="Arial" w:hAnsi="Arial"/>
          <w:b/>
          <w:bCs/>
          <w:color w:val="1B4F8A"/>
          <w:sz w:val="36"/>
          <w:szCs w:val="36"/>
        </w:rPr>
        <w:t xml:space="preserve">4. DX Engine — Orchestration Layer</w:t>
      </w:r>
    </w:p>
    <w:p>
      <w:pPr>
        <w:pBdr>
          <w:bottom w:val="single" w:color="2E75B6" w:sz="6" w:space="1"/>
        </w:pBdr>
        <w:spacing w:after="120" w:before="0"/>
      </w:pPr>
    </w:p>
    <w:p>
      <w:pPr>
        <w:spacing w:after="120" w:before="0"/>
      </w:pPr>
      <w:r>
        <w:rPr>
          <w:rFonts w:ascii="Arial" w:cs="Arial" w:eastAsia="Arial" w:hAnsi="Arial"/>
          <w:color w:val="1F2937"/>
          <w:sz w:val="22"/>
          <w:szCs w:val="22"/>
        </w:rPr>
        <w:t xml:space="preserve">DX Engine sits between Channels and DX Graph. Where DX Graph owns the truth (what Records exist, what Relationships encode compatibility, what Taxonomy Collections classify them), DX Engine owns the decisions: what’s valid for this Context, this Channel, this user, right now. It exposes each use case as a discrete Orchestration Flow, queryable via the Experience API.</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2"/>
              <w:bottom w:val="single" w:color="2E75B6" w:sz="4"/>
              <w:right w:val="single" w:color="2E75B6" w:sz="4"/>
            </w:tcBorders>
            <w:shd w:fill="D5E8F0" w:val="clear"/>
            <w:tcMar>
              <w:top w:type="dxa" w:w="120"/>
              <w:left w:type="dxa" w:w="180"/>
              <w:bottom w:type="dxa" w:w="120"/>
              <w:right w:type="dxa" w:w="180"/>
            </w:tcMar>
          </w:tcPr>
          <w:p>
            <w:r>
              <w:rPr>
                <w:rFonts w:ascii="Arial" w:cs="Arial" w:eastAsia="Arial" w:hAnsi="Arial"/>
                <w:b/>
                <w:bCs/>
                <w:color w:val="2E75B6"/>
                <w:sz w:val="20"/>
                <w:szCs w:val="20"/>
              </w:rPr>
              <w:t xml:space="preserve">SEPARATION OF CONCERNS</w:t>
            </w:r>
          </w:p>
        </w:tc>
      </w:tr>
      <w:tr>
        <w:tc>
          <w:tcPr>
            <w:tcW w:type="dxa" w:w="9360"/>
            <w:tcBorders>
              <w:top w:val="none" w:color="FFFFFF" w:sz="0"/>
              <w:left w:val="single" w:color="2E75B6" w:sz="12"/>
              <w:bottom w:val="none" w:color="FFFFFF" w:sz="0"/>
              <w:right w:val="none" w:color="FFFFFF" w:sz="0"/>
            </w:tcBorders>
            <w:shd w:fill="D5E8F0" w:val="clear"/>
            <w:tcMar>
              <w:top w:type="dxa" w:w="120"/>
              <w:left w:type="dxa" w:w="180"/>
              <w:bottom w:type="dxa" w:w="120"/>
              <w:right w:type="dxa" w:w="180"/>
            </w:tcMar>
          </w:tcPr>
          <w:p>
            <w:pPr>
              <w:spacing w:after="120" w:before="0"/>
            </w:pPr>
            <w:r>
              <w:rPr>
                <w:rFonts w:ascii="Arial" w:cs="Arial" w:eastAsia="Arial" w:hAnsi="Arial"/>
                <w:color w:val="1F2937"/>
                <w:sz w:val="22"/>
                <w:szCs w:val="22"/>
              </w:rPr>
              <w:t xml:space="preserve">DX Graph — “What is true?”  Stores Records, Relationships, Fields, and Taxonomy Collections.</w:t>
            </w:r>
          </w:p>
        </w:tc>
      </w:tr>
      <w:tr>
        <w:tc>
          <w:tcPr>
            <w:tcW w:type="dxa" w:w="9360"/>
            <w:tcBorders>
              <w:top w:val="none" w:color="FFFFFF" w:sz="0"/>
              <w:left w:val="single" w:color="2E75B6" w:sz="12"/>
              <w:bottom w:val="none" w:color="FFFFFF" w:sz="0"/>
              <w:right w:val="none" w:color="FFFFFF" w:sz="0"/>
            </w:tcBorders>
            <w:shd w:fill="D5E8F0" w:val="clear"/>
            <w:tcMar>
              <w:top w:type="dxa" w:w="120"/>
              <w:left w:type="dxa" w:w="180"/>
              <w:bottom w:type="dxa" w:w="120"/>
              <w:right w:type="dxa" w:w="180"/>
            </w:tcMar>
          </w:tcPr>
          <w:p>
            <w:pPr>
              <w:spacing w:after="120" w:before="0"/>
            </w:pPr>
            <w:r>
              <w:rPr>
                <w:rFonts w:ascii="Arial" w:cs="Arial" w:eastAsia="Arial" w:hAnsi="Arial"/>
                <w:color w:val="1F2937"/>
                <w:sz w:val="22"/>
                <w:szCs w:val="22"/>
              </w:rPr>
              <w:t xml:space="preserve">DX Engine — “What should happen?”  Applies Experience Rules, executes multi-step Orchestration Flows using chained Orchestration Components, returns Channel-specific responses.</w:t>
            </w:r>
          </w:p>
        </w:tc>
      </w:tr>
    </w:tbl>
    <w:p>
      <w:pPr>
        <w:spacing w:after="160" w:before="0"/>
      </w:pPr>
    </w:p>
    <w:p>
      <w:pPr>
        <w:pStyle w:val="Heading2"/>
        <w:spacing w:after="60" w:before="260"/>
      </w:pPr>
      <w:r>
        <w:rPr>
          <w:rFonts w:ascii="Arial" w:cs="Arial" w:eastAsia="Arial" w:hAnsi="Arial"/>
          <w:b/>
          <w:bCs/>
          <w:color w:val="2E75B6"/>
          <w:sz w:val="28"/>
          <w:szCs w:val="28"/>
        </w:rPr>
        <w:t xml:space="preserve">4.1  Orchestration Flow: Configuration Validation</w:t>
      </w:r>
    </w:p>
    <w:p>
      <w:pPr>
        <w:spacing w:after="120" w:before="0"/>
      </w:pPr>
      <w:r>
        <w:rPr>
          <w:rFonts w:ascii="Arial" w:cs="Arial" w:eastAsia="Arial" w:hAnsi="Arial"/>
          <w:color w:val="1F2937"/>
          <w:sz w:val="22"/>
          <w:szCs w:val="22"/>
        </w:rPr>
        <w:t xml:space="preserve">The highest-priority DX Engine use case. An Orchestration Flow receives a set of selected SKU Records representing a proposed Sactional build and validates the entire configuration against the COMPATIBLE_WITH Relationships in DX Graph.</w:t>
      </w:r>
    </w:p>
    <w:p>
      <w:pPr>
        <w:spacing w:after="80" w:before="0"/>
      </w:pPr>
    </w:p>
    <w:p>
      <w:pPr>
        <w:pStyle w:val="ListParagraph"/>
        <w:numPr>
          <w:ilvl w:val="0"/>
          <w:numId w:val="2"/>
        </w:numPr>
        <w:spacing w:after="80" w:before="0"/>
      </w:pPr>
      <w:r>
        <w:rPr>
          <w:rFonts w:ascii="Arial" w:cs="Arial" w:eastAsia="Arial" w:hAnsi="Arial"/>
          <w:b/>
          <w:bCs/>
          <w:color w:val="1F2937"/>
          <w:sz w:val="22"/>
          <w:szCs w:val="22"/>
        </w:rPr>
        <w:t xml:space="preserve">Context (Input): </w:t>
      </w:r>
      <w:r>
        <w:rPr>
          <w:rFonts w:ascii="Arial" w:cs="Arial" w:eastAsia="Arial" w:hAnsi="Arial"/>
          <w:color w:val="1F2937"/>
          <w:sz w:val="22"/>
          <w:szCs w:val="22"/>
        </w:rPr>
        <w:t xml:space="preserve">Array of selected SKU IDs (Line=Cover and Line=Insert records), passed as Context parameters in the Experience API request.</w:t>
      </w:r>
    </w:p>
    <w:p>
      <w:pPr>
        <w:pStyle w:val="ListParagraph"/>
        <w:numPr>
          <w:ilvl w:val="0"/>
          <w:numId w:val="2"/>
        </w:numPr>
        <w:spacing w:after="80" w:before="0"/>
      </w:pPr>
      <w:r>
        <w:rPr>
          <w:rFonts w:ascii="Arial" w:cs="Arial" w:eastAsia="Arial" w:hAnsi="Arial"/>
          <w:b/>
          <w:bCs/>
          <w:color w:val="1F2937"/>
          <w:sz w:val="22"/>
          <w:szCs w:val="22"/>
        </w:rPr>
        <w:t xml:space="preserve">Orchestration Components: </w:t>
      </w:r>
      <w:r>
        <w:rPr>
          <w:rFonts w:ascii="Arial" w:cs="Arial" w:eastAsia="Arial" w:hAnsi="Arial"/>
          <w:color w:val="1F2937"/>
          <w:sz w:val="22"/>
          <w:szCs w:val="22"/>
        </w:rPr>
        <w:t xml:space="preserve">Step 1 — a coarse Experience Rule immediately compares the Sactional Size Field values across all selected SKU Records. If any series values are mixed (5 Series and 6 Series together), the Flow fails fast without further DX Graph queries. Step 2 — for configurations that pass the series check, a DX Graph Fetch Component uses the COMPATIBLE_WITH Dynamic Relationship to retrieve the set of valid Insert Records for each selected Cover Record. The returned set is compared against the customer’s selected Inserts; any mismatches produce a structured error. Step 3 — an additional Experience Rule enforces the Outdoor Platform restriction: if the selected Cover has Platform = Outdoor, only Outdoor fill-type Insert Records are valid. Step 4 — Channel-specific Experience Rules are applied (e.g. Quickship-only enforcement for the POS Channel).</w:t>
      </w:r>
    </w:p>
    <w:p>
      <w:pPr>
        <w:pStyle w:val="ListParagraph"/>
        <w:numPr>
          <w:ilvl w:val="0"/>
          <w:numId w:val="2"/>
        </w:numPr>
        <w:spacing w:after="80" w:before="0"/>
      </w:pPr>
      <w:r>
        <w:rPr>
          <w:rFonts w:ascii="Arial" w:cs="Arial" w:eastAsia="Arial" w:hAnsi="Arial"/>
          <w:b/>
          <w:bCs/>
          <w:color w:val="1F2937"/>
          <w:sz w:val="22"/>
          <w:szCs w:val="22"/>
        </w:rPr>
        <w:t xml:space="preserve">Output: </w:t>
      </w:r>
      <w:r>
        <w:rPr>
          <w:rFonts w:ascii="Arial" w:cs="Arial" w:eastAsia="Arial" w:hAnsi="Arial"/>
          <w:color w:val="1F2937"/>
          <w:sz w:val="22"/>
          <w:szCs w:val="22"/>
        </w:rPr>
        <w:t xml:space="preserve">Pass / Fail. On failure: structured error payload identifying which specific SKU Records are incompatible and why, enabling the frontend to surface actionable guidance.</w:t>
      </w:r>
    </w:p>
    <w:p>
      <w:pPr>
        <w:pStyle w:val="ListParagraph"/>
        <w:numPr>
          <w:ilvl w:val="0"/>
          <w:numId w:val="2"/>
        </w:numPr>
        <w:spacing w:after="80" w:before="0"/>
      </w:pPr>
      <w:r>
        <w:rPr>
          <w:rFonts w:ascii="Arial" w:cs="Arial" w:eastAsia="Arial" w:hAnsi="Arial"/>
          <w:b/>
          <w:bCs/>
          <w:color w:val="1F2937"/>
          <w:sz w:val="22"/>
          <w:szCs w:val="22"/>
        </w:rPr>
        <w:t xml:space="preserve">Channel: </w:t>
      </w:r>
      <w:r>
        <w:rPr>
          <w:rFonts w:ascii="Arial" w:cs="Arial" w:eastAsia="Arial" w:hAnsi="Arial"/>
          <w:color w:val="1F2937"/>
          <w:sz w:val="22"/>
          <w:szCs w:val="22"/>
        </w:rPr>
        <w:t xml:space="preserve">POS Channel and Lovesac.com Channel.</w:t>
      </w:r>
    </w:p>
    <w:p>
      <w:pPr>
        <w:spacing w:after="160" w:before="0"/>
      </w:pPr>
    </w:p>
    <w:p>
      <w:pPr>
        <w:pStyle w:val="Heading2"/>
        <w:spacing w:after="60" w:before="260"/>
      </w:pPr>
      <w:r>
        <w:rPr>
          <w:rFonts w:ascii="Arial" w:cs="Arial" w:eastAsia="Arial" w:hAnsi="Arial"/>
          <w:b/>
          <w:bCs/>
          <w:color w:val="2E75B6"/>
          <w:sz w:val="28"/>
          <w:szCs w:val="28"/>
        </w:rPr>
        <w:t xml:space="preserve">4.2  Orchestration Flow: Visual Configurator — Step Options</w:t>
      </w:r>
    </w:p>
    <w:p>
      <w:pPr>
        <w:spacing w:after="120" w:before="0"/>
      </w:pPr>
      <w:r>
        <w:rPr>
          <w:rFonts w:ascii="Arial" w:cs="Arial" w:eastAsia="Arial" w:hAnsi="Arial"/>
          <w:color w:val="1F2937"/>
          <w:sz w:val="22"/>
          <w:szCs w:val="22"/>
        </w:rPr>
        <w:t xml:space="preserve">Powers the step-by-step Sactional configuration wizard on Lovesac.com. Each wizard step calls an Orchestration Flow asking: given what the customer has selected so far, what are the valid next options?</w:t>
      </w:r>
    </w:p>
    <w:p>
      <w:pPr>
        <w:spacing w:after="80" w:before="0"/>
      </w:pPr>
    </w:p>
    <w:p>
      <w:pPr>
        <w:pStyle w:val="ListParagraph"/>
        <w:numPr>
          <w:ilvl w:val="0"/>
          <w:numId w:val="2"/>
        </w:numPr>
        <w:spacing w:after="80" w:before="0"/>
      </w:pPr>
      <w:r>
        <w:rPr>
          <w:rFonts w:ascii="Arial" w:cs="Arial" w:eastAsia="Arial" w:hAnsi="Arial"/>
          <w:b/>
          <w:bCs/>
          <w:color w:val="1F2937"/>
          <w:sz w:val="22"/>
          <w:szCs w:val="22"/>
        </w:rPr>
        <w:t xml:space="preserve">Context (Input): </w:t>
      </w:r>
      <w:r>
        <w:rPr>
          <w:rFonts w:ascii="Arial" w:cs="Arial" w:eastAsia="Arial" w:hAnsi="Arial"/>
          <w:color w:val="1F2937"/>
          <w:sz w:val="22"/>
          <w:szCs w:val="22"/>
        </w:rPr>
        <w:t xml:space="preserve">Current wizard step identifier + the set of already-selected SKU IDs, passed as Context parameters.</w:t>
      </w:r>
    </w:p>
    <w:p>
      <w:pPr>
        <w:pStyle w:val="ListParagraph"/>
        <w:numPr>
          <w:ilvl w:val="0"/>
          <w:numId w:val="2"/>
        </w:numPr>
        <w:spacing w:after="80" w:before="0"/>
      </w:pPr>
      <w:r>
        <w:rPr>
          <w:rFonts w:ascii="Arial" w:cs="Arial" w:eastAsia="Arial" w:hAnsi="Arial"/>
          <w:b/>
          <w:bCs/>
          <w:color w:val="1F2937"/>
          <w:sz w:val="22"/>
          <w:szCs w:val="22"/>
        </w:rPr>
        <w:t xml:space="preserve">Orchestration Components: </w:t>
      </w:r>
      <w:r>
        <w:rPr>
          <w:rFonts w:ascii="Arial" w:cs="Arial" w:eastAsia="Arial" w:hAnsi="Arial"/>
          <w:color w:val="1F2937"/>
          <w:sz w:val="22"/>
          <w:szCs w:val="22"/>
        </w:rPr>
        <w:t xml:space="preserve">A DX Graph Fetch Component traverses the COMPATIBLE_WITH same-collection Dynamic Relationship from the selected SKU Records (Line=Cover) to retrieve all compatible SKU Records (Line=Insert). A field filter on the SKU Collection returns available fabric and colour options for the current step. An Experience Rule filters to only the options valid for the next step. An Object Mapper Component shapes the results for the wizard UI.</w:t>
      </w:r>
    </w:p>
    <w:p>
      <w:pPr>
        <w:pStyle w:val="ListParagraph"/>
        <w:numPr>
          <w:ilvl w:val="0"/>
          <w:numId w:val="2"/>
        </w:numPr>
        <w:spacing w:after="80" w:before="0"/>
      </w:pPr>
      <w:r>
        <w:rPr>
          <w:rFonts w:ascii="Arial" w:cs="Arial" w:eastAsia="Arial" w:hAnsi="Arial"/>
          <w:b/>
          <w:bCs/>
          <w:color w:val="1F2937"/>
          <w:sz w:val="22"/>
          <w:szCs w:val="22"/>
        </w:rPr>
        <w:t xml:space="preserve">Output: </w:t>
      </w:r>
      <w:r>
        <w:rPr>
          <w:rFonts w:ascii="Arial" w:cs="Arial" w:eastAsia="Arial" w:hAnsi="Arial"/>
          <w:color w:val="1F2937"/>
          <w:sz w:val="22"/>
          <w:szCs w:val="22"/>
        </w:rPr>
        <w:t xml:space="preserve">A Channel-specific response matching the wizard step schema: available Component Records, Fabric Records, colors, or fill types, each with display metadata (label, image reference, availability, pricing tier).</w:t>
      </w:r>
    </w:p>
    <w:p>
      <w:pPr>
        <w:pStyle w:val="ListParagraph"/>
        <w:numPr>
          <w:ilvl w:val="0"/>
          <w:numId w:val="2"/>
        </w:numPr>
        <w:spacing w:after="80" w:before="0"/>
      </w:pPr>
      <w:r>
        <w:rPr>
          <w:rFonts w:ascii="Arial" w:cs="Arial" w:eastAsia="Arial" w:hAnsi="Arial"/>
          <w:b/>
          <w:bCs/>
          <w:color w:val="1F2937"/>
          <w:sz w:val="22"/>
          <w:szCs w:val="22"/>
        </w:rPr>
        <w:t xml:space="preserve">Why DX Engine here: </w:t>
      </w:r>
      <w:r>
        <w:rPr>
          <w:rFonts w:ascii="Arial" w:cs="Arial" w:eastAsia="Arial" w:hAnsi="Arial"/>
          <w:color w:val="1F2937"/>
          <w:sz w:val="22"/>
          <w:szCs w:val="22"/>
        </w:rPr>
        <w:t xml:space="preserve">This is not a static data lookup. It is a live Relationship query with Experience Rules applied. Static queries would return invalid combinations; DX Engine enforces the constraint graph at runtime via chained Orchestration Components.</w:t>
      </w:r>
    </w:p>
    <w:p>
      <w:pPr>
        <w:spacing w:after="160" w:before="0"/>
      </w:pPr>
    </w:p>
    <w:p>
      <w:pPr>
        <w:pStyle w:val="Heading2"/>
        <w:spacing w:after="60" w:before="260"/>
      </w:pPr>
      <w:r>
        <w:rPr>
          <w:rFonts w:ascii="Arial" w:cs="Arial" w:eastAsia="Arial" w:hAnsi="Arial"/>
          <w:b/>
          <w:bCs/>
          <w:color w:val="2E75B6"/>
          <w:sz w:val="28"/>
          <w:szCs w:val="28"/>
        </w:rPr>
        <w:t xml:space="preserve">4.3  Orchestration Flow: Config ID Creation</w:t>
      </w:r>
    </w:p>
    <w:p>
      <w:pPr>
        <w:spacing w:after="120" w:before="0"/>
      </w:pPr>
      <w:r>
        <w:rPr>
          <w:rFonts w:ascii="Arial" w:cs="Arial" w:eastAsia="Arial" w:hAnsi="Arial"/>
          <w:color w:val="1F2937"/>
          <w:sz w:val="22"/>
          <w:szCs w:val="22"/>
        </w:rPr>
        <w:t xml:space="preserve">Once a configuration is validated, an Orchestration Flow creates a durable Config ID that captures the full validated build as a Configuration Record in DX Graph.</w:t>
      </w:r>
    </w:p>
    <w:p>
      <w:pPr>
        <w:spacing w:after="80" w:before="0"/>
      </w:pPr>
    </w:p>
    <w:p>
      <w:pPr>
        <w:pStyle w:val="ListParagraph"/>
        <w:numPr>
          <w:ilvl w:val="0"/>
          <w:numId w:val="2"/>
        </w:numPr>
        <w:spacing w:after="80" w:before="0"/>
      </w:pPr>
      <w:r>
        <w:rPr>
          <w:rFonts w:ascii="Arial" w:cs="Arial" w:eastAsia="Arial" w:hAnsi="Arial"/>
          <w:b/>
          <w:bCs/>
          <w:color w:val="1F2937"/>
          <w:sz w:val="22"/>
          <w:szCs w:val="22"/>
        </w:rPr>
        <w:t xml:space="preserve">Context (Input): </w:t>
      </w:r>
      <w:r>
        <w:rPr>
          <w:rFonts w:ascii="Arial" w:cs="Arial" w:eastAsia="Arial" w:hAnsi="Arial"/>
          <w:color w:val="1F2937"/>
          <w:sz w:val="22"/>
          <w:szCs w:val="22"/>
        </w:rPr>
        <w:t xml:space="preserve">Validated array of SKU IDs (Line=Cover and Line=Insert) with quantities, passed as Context parameters.</w:t>
      </w:r>
    </w:p>
    <w:p>
      <w:pPr>
        <w:pStyle w:val="ListParagraph"/>
        <w:numPr>
          <w:ilvl w:val="0"/>
          <w:numId w:val="2"/>
        </w:numPr>
        <w:spacing w:after="80" w:before="0"/>
      </w:pPr>
      <w:r>
        <w:rPr>
          <w:rFonts w:ascii="Arial" w:cs="Arial" w:eastAsia="Arial" w:hAnsi="Arial"/>
          <w:b/>
          <w:bCs/>
          <w:color w:val="1F2937"/>
          <w:sz w:val="22"/>
          <w:szCs w:val="22"/>
        </w:rPr>
        <w:t xml:space="preserve">Orchestration Components: </w:t>
      </w:r>
      <w:r>
        <w:rPr>
          <w:rFonts w:ascii="Arial" w:cs="Arial" w:eastAsia="Arial" w:hAnsi="Arial"/>
          <w:color w:val="1F2937"/>
          <w:sz w:val="22"/>
          <w:szCs w:val="22"/>
        </w:rPr>
        <w:t xml:space="preserve">A validation Orchestration Component re-runs the compatibility check (idempotent with 4.1). A DX Graph API Connection Orchestration Component then calls the DX Graph REST API to write the new Configuration Record and CONTAINS Relationships to the relevant SKU Records. An Object Mapper Component returns the Config ID and build summary.</w:t>
      </w:r>
    </w:p>
    <w:p>
      <w:pPr>
        <w:pStyle w:val="ListParagraph"/>
        <w:numPr>
          <w:ilvl w:val="0"/>
          <w:numId w:val="2"/>
        </w:numPr>
        <w:spacing w:after="80" w:before="0"/>
      </w:pPr>
      <w:r>
        <w:rPr>
          <w:rFonts w:ascii="Arial" w:cs="Arial" w:eastAsia="Arial" w:hAnsi="Arial"/>
          <w:b/>
          <w:bCs/>
          <w:color w:val="1F2937"/>
          <w:sz w:val="22"/>
          <w:szCs w:val="22"/>
        </w:rPr>
        <w:t xml:space="preserve">Design note: </w:t>
      </w:r>
      <w:r>
        <w:rPr>
          <w:rFonts w:ascii="Arial" w:cs="Arial" w:eastAsia="Arial" w:hAnsi="Arial"/>
          <w:color w:val="1F2937"/>
          <w:sz w:val="22"/>
          <w:szCs w:val="22"/>
        </w:rPr>
        <w:t xml:space="preserve">DX Engine does not natively write Records to DX Graph — it orchestrates API calls. The write-back is implemented by configuring the DX Graph write API as an external Connection in DX Engine, and calling it from within the Orchestration Flow like any other downstream service. This must be explicitly configured as a Connection with appropriate API credentials.</w:t>
      </w:r>
    </w:p>
    <w:p>
      <w:pPr>
        <w:pStyle w:val="ListParagraph"/>
        <w:numPr>
          <w:ilvl w:val="0"/>
          <w:numId w:val="2"/>
        </w:numPr>
        <w:spacing w:after="80" w:before="0"/>
      </w:pPr>
      <w:r>
        <w:rPr>
          <w:rFonts w:ascii="Arial" w:cs="Arial" w:eastAsia="Arial" w:hAnsi="Arial"/>
          <w:b/>
          <w:bCs/>
          <w:color w:val="1F2937"/>
          <w:sz w:val="22"/>
          <w:szCs w:val="22"/>
        </w:rPr>
        <w:t xml:space="preserve">Output: </w:t>
      </w:r>
      <w:r>
        <w:rPr>
          <w:rFonts w:ascii="Arial" w:cs="Arial" w:eastAsia="Arial" w:hAnsi="Arial"/>
          <w:color w:val="1F2937"/>
          <w:sz w:val="22"/>
          <w:szCs w:val="22"/>
        </w:rPr>
        <w:t xml:space="preserve">Config ID + Configuration Record summary (Component list, total SKU count, Channel-specific pricing summary).</w:t>
      </w:r>
    </w:p>
    <w:p>
      <w:pPr>
        <w:pStyle w:val="ListParagraph"/>
        <w:numPr>
          <w:ilvl w:val="0"/>
          <w:numId w:val="2"/>
        </w:numPr>
        <w:spacing w:after="80" w:before="0"/>
      </w:pPr>
      <w:r>
        <w:rPr>
          <w:rFonts w:ascii="Arial" w:cs="Arial" w:eastAsia="Arial" w:hAnsi="Arial"/>
          <w:b/>
          <w:bCs/>
          <w:color w:val="1F2937"/>
          <w:sz w:val="22"/>
          <w:szCs w:val="22"/>
        </w:rPr>
        <w:t xml:space="preserve">Channel: </w:t>
      </w:r>
      <w:r>
        <w:rPr>
          <w:rFonts w:ascii="Arial" w:cs="Arial" w:eastAsia="Arial" w:hAnsi="Arial"/>
          <w:color w:val="1F2937"/>
          <w:sz w:val="22"/>
          <w:szCs w:val="22"/>
        </w:rPr>
        <w:t xml:space="preserve">Lovesac.com Channel (save/share a build) and POS Channel (associate build with a customer order).</w:t>
      </w:r>
    </w:p>
    <w:p>
      <w:pPr>
        <w:pStyle w:val="ListParagraph"/>
        <w:numPr>
          <w:ilvl w:val="0"/>
          <w:numId w:val="2"/>
        </w:numPr>
        <w:spacing w:after="80" w:before="0"/>
      </w:pPr>
      <w:r>
        <w:rPr>
          <w:rFonts w:ascii="Arial" w:cs="Arial" w:eastAsia="Arial" w:hAnsi="Arial"/>
          <w:b/>
          <w:bCs/>
          <w:color w:val="1F2937"/>
          <w:sz w:val="22"/>
          <w:szCs w:val="22"/>
        </w:rPr>
        <w:t xml:space="preserve">Future consideration: </w:t>
      </w:r>
      <w:r>
        <w:rPr>
          <w:rFonts w:ascii="Arial" w:cs="Arial" w:eastAsia="Arial" w:hAnsi="Arial"/>
          <w:color w:val="1F2937"/>
          <w:sz w:val="22"/>
          <w:szCs w:val="22"/>
        </w:rPr>
        <w:t xml:space="preserve">At high order volumes, storing Configuration Records in DX Graph creates transactional load on what is primarily a governed data layer. Post-POC, evaluate whether Config ID persistence should move to Lovesac’s OMS, with DX Engine resolving and returning the BOM without writing back to DX Graph.</w:t>
      </w:r>
    </w:p>
    <w:p>
      <w:pPr>
        <w:spacing w:after="160" w:before="0"/>
      </w:pPr>
    </w:p>
    <w:p>
      <w:pPr>
        <w:pStyle w:val="Heading2"/>
        <w:spacing w:after="60" w:before="260"/>
      </w:pPr>
      <w:r>
        <w:rPr>
          <w:rFonts w:ascii="Arial" w:cs="Arial" w:eastAsia="Arial" w:hAnsi="Arial"/>
          <w:b/>
          <w:bCs/>
          <w:color w:val="2E75B6"/>
          <w:sz w:val="28"/>
          <w:szCs w:val="28"/>
        </w:rPr>
        <w:t xml:space="preserve">4.4  Orchestration Flow: Config ID → BOM Explosion</w:t>
      </w:r>
    </w:p>
    <w:p>
      <w:pPr>
        <w:spacing w:after="120" w:before="0"/>
      </w:pPr>
      <w:r>
        <w:rPr>
          <w:rFonts w:ascii="Arial" w:cs="Arial" w:eastAsia="Arial" w:hAnsi="Arial"/>
          <w:color w:val="1F2937"/>
          <w:sz w:val="22"/>
          <w:szCs w:val="22"/>
        </w:rPr>
        <w:t xml:space="preserve">Given a Config ID, an Orchestration Flow resolves the full Bill of Materials — every Component SKU Record, quantity, and fulfilment-relevant Field — shaped for the requesting Channel.</w:t>
      </w:r>
    </w:p>
    <w:p>
      <w:pPr>
        <w:spacing w:after="80" w:before="0"/>
      </w:pPr>
    </w:p>
    <w:p>
      <w:pPr>
        <w:pStyle w:val="ListParagraph"/>
        <w:numPr>
          <w:ilvl w:val="0"/>
          <w:numId w:val="2"/>
        </w:numPr>
        <w:spacing w:after="80" w:before="0"/>
      </w:pPr>
      <w:r>
        <w:rPr>
          <w:rFonts w:ascii="Arial" w:cs="Arial" w:eastAsia="Arial" w:hAnsi="Arial"/>
          <w:b/>
          <w:bCs/>
          <w:color w:val="1F2937"/>
          <w:sz w:val="22"/>
          <w:szCs w:val="22"/>
        </w:rPr>
        <w:t xml:space="preserve">Context (Input): </w:t>
      </w:r>
      <w:r>
        <w:rPr>
          <w:rFonts w:ascii="Arial" w:cs="Arial" w:eastAsia="Arial" w:hAnsi="Arial"/>
          <w:color w:val="1F2937"/>
          <w:sz w:val="22"/>
          <w:szCs w:val="22"/>
        </w:rPr>
        <w:t xml:space="preserve">Config ID + Channel identifier, passed as Context parameters in the Experience API request.</w:t>
      </w:r>
    </w:p>
    <w:p>
      <w:pPr>
        <w:pStyle w:val="ListParagraph"/>
        <w:numPr>
          <w:ilvl w:val="0"/>
          <w:numId w:val="2"/>
        </w:numPr>
        <w:spacing w:after="80" w:before="0"/>
      </w:pPr>
      <w:r>
        <w:rPr>
          <w:rFonts w:ascii="Arial" w:cs="Arial" w:eastAsia="Arial" w:hAnsi="Arial"/>
          <w:b/>
          <w:bCs/>
          <w:color w:val="1F2937"/>
          <w:sz w:val="22"/>
          <w:szCs w:val="22"/>
        </w:rPr>
        <w:t xml:space="preserve">Orchestration Components: </w:t>
      </w:r>
      <w:r>
        <w:rPr>
          <w:rFonts w:ascii="Arial" w:cs="Arial" w:eastAsia="Arial" w:hAnsi="Arial"/>
          <w:color w:val="1F2937"/>
          <w:sz w:val="22"/>
          <w:szCs w:val="22"/>
        </w:rPr>
        <w:t xml:space="preserve">A DX Graph Fetch Component traverses CONTAINS Relationships from the Configuration Record to retrieve all SKU Records (Cover and Insert lines) with quantities. An enrichment Orchestration Component adds fulfilment Fields (SKU ID, description, pricing, lead time, warehouse availability). An Object Mapper Component applies Channel-specific output shaping.</w:t>
      </w:r>
    </w:p>
    <w:p>
      <w:pPr>
        <w:pStyle w:val="ListParagraph"/>
        <w:numPr>
          <w:ilvl w:val="0"/>
          <w:numId w:val="2"/>
        </w:numPr>
        <w:spacing w:after="80" w:before="0"/>
      </w:pPr>
      <w:r>
        <w:rPr>
          <w:rFonts w:ascii="Arial" w:cs="Arial" w:eastAsia="Arial" w:hAnsi="Arial"/>
          <w:b/>
          <w:bCs/>
          <w:color w:val="1F2937"/>
          <w:sz w:val="22"/>
          <w:szCs w:val="22"/>
        </w:rPr>
        <w:t xml:space="preserve">Output shapes: </w:t>
      </w:r>
      <w:r>
        <w:rPr>
          <w:rFonts w:ascii="Arial" w:cs="Arial" w:eastAsia="Arial" w:hAnsi="Arial"/>
          <w:color w:val="1F2937"/>
          <w:sz w:val="22"/>
          <w:szCs w:val="22"/>
        </w:rPr>
        <w:t xml:space="preserve">POS Channel — ring-up-ready line items. OMS — fulfilment-optimised BOM. Warehouse — pick list. Marketplace Channel — product bundle feed.</w:t>
      </w:r>
    </w:p>
    <w:p>
      <w:pPr>
        <w:pStyle w:val="ListParagraph"/>
        <w:numPr>
          <w:ilvl w:val="0"/>
          <w:numId w:val="2"/>
        </w:numPr>
        <w:spacing w:after="80" w:before="0"/>
      </w:pPr>
      <w:r>
        <w:rPr>
          <w:rFonts w:ascii="Arial" w:cs="Arial" w:eastAsia="Arial" w:hAnsi="Arial"/>
          <w:b/>
          <w:bCs/>
          <w:color w:val="1F2937"/>
          <w:sz w:val="22"/>
          <w:szCs w:val="22"/>
        </w:rPr>
        <w:t xml:space="preserve">Why DX Engine here: </w:t>
      </w:r>
      <w:r>
        <w:rPr>
          <w:rFonts w:ascii="Arial" w:cs="Arial" w:eastAsia="Arial" w:hAnsi="Arial"/>
          <w:color w:val="1F2937"/>
          <w:sz w:val="22"/>
          <w:szCs w:val="22"/>
        </w:rPr>
        <w:t xml:space="preserve">The BOM structure differs by Channel. DX Engine’s Object Mapper Orchestration Components handle this transformation without requiring separate integrations per Channel.</w:t>
      </w:r>
    </w:p>
    <w:p>
      <w:pPr>
        <w:spacing w:after="160" w:before="0"/>
      </w:pPr>
    </w:p>
    <w:p>
      <w:pPr>
        <w:pStyle w:val="Heading2"/>
        <w:spacing w:after="60" w:before="260"/>
      </w:pPr>
      <w:r>
        <w:rPr>
          <w:rFonts w:ascii="Arial" w:cs="Arial" w:eastAsia="Arial" w:hAnsi="Arial"/>
          <w:b/>
          <w:bCs/>
          <w:color w:val="2E75B6"/>
          <w:sz w:val="28"/>
          <w:szCs w:val="28"/>
        </w:rPr>
        <w:t xml:space="preserve">4.5  Orchestration Flow: POS Channel</w:t>
      </w:r>
    </w:p>
    <w:p>
      <w:pPr>
        <w:spacing w:after="120" w:before="0"/>
      </w:pPr>
      <w:r>
        <w:rPr>
          <w:rFonts w:ascii="Arial" w:cs="Arial" w:eastAsia="Arial" w:hAnsi="Arial"/>
          <w:color w:val="1F2937"/>
          <w:sz w:val="22"/>
          <w:szCs w:val="22"/>
        </w:rPr>
        <w:t xml:space="preserve">POS terminals query DX Engine Orchestration Flows rather than DX Graph Collections directly, receiving Experience API responses shaped for the in-store Context.</w:t>
      </w:r>
    </w:p>
    <w:p>
      <w:pPr>
        <w:spacing w:after="80" w:before="0"/>
      </w:pPr>
    </w:p>
    <w:p>
      <w:pPr>
        <w:pStyle w:val="ListParagraph"/>
        <w:numPr>
          <w:ilvl w:val="0"/>
          <w:numId w:val="2"/>
        </w:numPr>
        <w:spacing w:after="80" w:before="0"/>
      </w:pPr>
      <w:r>
        <w:rPr>
          <w:rFonts w:ascii="Arial" w:cs="Arial" w:eastAsia="Arial" w:hAnsi="Arial"/>
          <w:color w:val="1F2937"/>
          <w:sz w:val="22"/>
          <w:szCs w:val="22"/>
        </w:rPr>
        <w:t xml:space="preserve">Experience Rules suppress Limited Edition SKU Records not available in-store.</w:t>
      </w:r>
    </w:p>
    <w:p>
      <w:pPr>
        <w:pStyle w:val="ListParagraph"/>
        <w:numPr>
          <w:ilvl w:val="0"/>
          <w:numId w:val="2"/>
        </w:numPr>
        <w:spacing w:after="80" w:before="0"/>
      </w:pPr>
      <w:r>
        <w:rPr>
          <w:rFonts w:ascii="Arial" w:cs="Arial" w:eastAsia="Arial" w:hAnsi="Arial"/>
          <w:color w:val="1F2937"/>
          <w:sz w:val="22"/>
          <w:szCs w:val="22"/>
        </w:rPr>
        <w:t xml:space="preserve">Orchestration Components return simplified configuration options optimised for the POS UI.</w:t>
      </w:r>
    </w:p>
    <w:p>
      <w:pPr>
        <w:pStyle w:val="ListParagraph"/>
        <w:numPr>
          <w:ilvl w:val="0"/>
          <w:numId w:val="2"/>
        </w:numPr>
        <w:spacing w:after="80" w:before="0"/>
      </w:pPr>
      <w:r>
        <w:rPr>
          <w:rFonts w:ascii="Arial" w:cs="Arial" w:eastAsia="Arial" w:hAnsi="Arial"/>
          <w:color w:val="1F2937"/>
          <w:sz w:val="22"/>
          <w:szCs w:val="22"/>
        </w:rPr>
        <w:t xml:space="preserve">Config ID validation and BOM explosion are exposed as single Experience API calls to minimise in-store latency.</w:t>
      </w:r>
    </w:p>
    <w:p>
      <w:pPr>
        <w:spacing w:after="160" w:before="0"/>
      </w:pPr>
    </w:p>
    <w:p>
      <w:pPr>
        <w:pStyle w:val="Heading2"/>
        <w:spacing w:after="60" w:before="260"/>
      </w:pPr>
      <w:r>
        <w:rPr>
          <w:rFonts w:ascii="Arial" w:cs="Arial" w:eastAsia="Arial" w:hAnsi="Arial"/>
          <w:b/>
          <w:bCs/>
          <w:color w:val="2E75B6"/>
          <w:sz w:val="28"/>
          <w:szCs w:val="28"/>
        </w:rPr>
        <w:t xml:space="preserve">4.6  Orchestration Flows: Agentic Channels (AI Shopping)</w:t>
      </w:r>
    </w:p>
    <w:p>
      <w:pPr>
        <w:spacing w:after="120" w:before="0"/>
      </w:pPr>
      <w:r>
        <w:rPr>
          <w:rFonts w:ascii="Arial" w:cs="Arial" w:eastAsia="Arial" w:hAnsi="Arial"/>
          <w:color w:val="1F2937"/>
          <w:sz w:val="22"/>
          <w:szCs w:val="22"/>
        </w:rPr>
        <w:t xml:space="preserve">This is the most strategically significant long-term use case. Because the Config ID and BOM flows are already modelled as DX Engine Orchestration Flows queryable via the Experience API, they are naturally exposable as MCP (Model Context Protocol) tools to AI shopping agents.</w:t>
      </w:r>
    </w:p>
    <w:p>
      <w:pPr>
        <w:spacing w:after="80" w:before="0"/>
      </w:pPr>
    </w:p>
    <w:p>
      <w:pPr>
        <w:pStyle w:val="ListParagraph"/>
        <w:numPr>
          <w:ilvl w:val="0"/>
          <w:numId w:val="2"/>
        </w:numPr>
        <w:spacing w:after="80" w:before="0"/>
      </w:pPr>
      <w:r>
        <w:rPr>
          <w:rFonts w:ascii="Arial" w:cs="Arial" w:eastAsia="Arial" w:hAnsi="Arial"/>
          <w:b/>
          <w:bCs/>
          <w:color w:val="1F2937"/>
          <w:sz w:val="22"/>
          <w:szCs w:val="22"/>
        </w:rPr>
        <w:t xml:space="preserve">On-site shopping agent. </w:t>
      </w:r>
      <w:r>
        <w:rPr>
          <w:rFonts w:ascii="Arial" w:cs="Arial" w:eastAsia="Arial" w:hAnsi="Arial"/>
          <w:color w:val="1F2937"/>
          <w:sz w:val="22"/>
          <w:szCs w:val="22"/>
        </w:rPr>
        <w:t xml:space="preserve">An AI assistant on Lovesac.com calls DX Engine Orchestration Flows as tools to help a customer build a valid Sactional configuration through natural conversation. The agent invokes validate_configuration, get_wizard_step_options, and create_config_id as structured Experience API calls — without needing to understand the underlying Collections or Relationships.</w:t>
      </w:r>
    </w:p>
    <w:p>
      <w:pPr>
        <w:pStyle w:val="ListParagraph"/>
        <w:numPr>
          <w:ilvl w:val="0"/>
          <w:numId w:val="2"/>
        </w:numPr>
        <w:spacing w:after="80" w:before="0"/>
      </w:pPr>
      <w:r>
        <w:rPr>
          <w:rFonts w:ascii="Arial" w:cs="Arial" w:eastAsia="Arial" w:hAnsi="Arial"/>
          <w:b/>
          <w:bCs/>
          <w:color w:val="1F2937"/>
          <w:sz w:val="22"/>
          <w:szCs w:val="22"/>
        </w:rPr>
        <w:t xml:space="preserve">Google Shopping. </w:t>
      </w:r>
      <w:r>
        <w:rPr>
          <w:rFonts w:ascii="Arial" w:cs="Arial" w:eastAsia="Arial" w:hAnsi="Arial"/>
          <w:color w:val="1F2937"/>
          <w:sz w:val="22"/>
          <w:szCs w:val="22"/>
        </w:rPr>
        <w:t xml:space="preserve">Orchestration Flows generate Channel-appropriate product representations from DX Graph Collections, driven by the governed Taxonomy Collection mapping. Ensures product Field accuracy across SKU Records in Google’s catalog.</w:t>
      </w:r>
    </w:p>
    <w:p>
      <w:pPr>
        <w:pStyle w:val="ListParagraph"/>
        <w:numPr>
          <w:ilvl w:val="0"/>
          <w:numId w:val="2"/>
        </w:numPr>
        <w:spacing w:after="80" w:before="0"/>
      </w:pPr>
      <w:r>
        <w:rPr>
          <w:rFonts w:ascii="Arial" w:cs="Arial" w:eastAsia="Arial" w:hAnsi="Arial"/>
          <w:b/>
          <w:bCs/>
          <w:color w:val="1F2937"/>
          <w:sz w:val="22"/>
          <w:szCs w:val="22"/>
        </w:rPr>
        <w:t xml:space="preserve">ChatGPT / third-party agents. </w:t>
      </w:r>
      <w:r>
        <w:rPr>
          <w:rFonts w:ascii="Arial" w:cs="Arial" w:eastAsia="Arial" w:hAnsi="Arial"/>
          <w:color w:val="1F2937"/>
          <w:sz w:val="22"/>
          <w:szCs w:val="22"/>
        </w:rPr>
        <w:t xml:space="preserve">Third-party agents querying Lovesac’s product catalog receive governed, up-to-date responses via Experience API. The compatibility Relationships and Taxonomy Collections enforced in DX Graph flow through to any agent that calls DX Engine Orchestration Flows, ensuring consistent, accurate product information regardless of Channel.</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2"/>
              <w:bottom w:val="single" w:color="2E75B6" w:sz="4"/>
              <w:right w:val="single" w:color="2E75B6" w:sz="4"/>
            </w:tcBorders>
            <w:shd w:fill="D5E8F0" w:val="clear"/>
            <w:tcMar>
              <w:top w:type="dxa" w:w="120"/>
              <w:left w:type="dxa" w:w="180"/>
              <w:bottom w:type="dxa" w:w="120"/>
              <w:right w:type="dxa" w:w="180"/>
            </w:tcMar>
          </w:tcPr>
          <w:p>
            <w:r>
              <w:rPr>
                <w:rFonts w:ascii="Arial" w:cs="Arial" w:eastAsia="Arial" w:hAnsi="Arial"/>
                <w:b/>
                <w:bCs/>
                <w:color w:val="2E75B6"/>
                <w:sz w:val="20"/>
                <w:szCs w:val="20"/>
              </w:rPr>
              <w:t xml:space="preserve">WHY THIS MATTERS</w:t>
            </w:r>
          </w:p>
        </w:tc>
      </w:tr>
      <w:tr>
        <w:tc>
          <w:tcPr>
            <w:tcW w:type="dxa" w:w="9360"/>
            <w:tcBorders>
              <w:top w:val="none" w:color="FFFFFF" w:sz="0"/>
              <w:left w:val="single" w:color="2E75B6" w:sz="12"/>
              <w:bottom w:val="none" w:color="FFFFFF" w:sz="0"/>
              <w:right w:val="none" w:color="FFFFFF" w:sz="0"/>
            </w:tcBorders>
            <w:shd w:fill="D5E8F0" w:val="clear"/>
            <w:tcMar>
              <w:top w:type="dxa" w:w="120"/>
              <w:left w:type="dxa" w:w="180"/>
              <w:bottom w:type="dxa" w:w="120"/>
              <w:right w:type="dxa" w:w="180"/>
            </w:tcMar>
          </w:tcPr>
          <w:p>
            <w:pPr>
              <w:spacing w:after="120" w:before="0"/>
            </w:pPr>
            <w:r>
              <w:rPr>
                <w:rFonts w:ascii="Arial" w:cs="Arial" w:eastAsia="Arial" w:hAnsi="Arial"/>
                <w:color w:val="1F2937"/>
                <w:sz w:val="22"/>
                <w:szCs w:val="22"/>
              </w:rPr>
              <w:t xml:space="preserve">AI agents don’t browse product pages — they call APIs. By making configuration validation, wizard step options, and BOM explosion available as DX Engine API endpoints now, Lovesac is building the exact infrastructure that agentic commerce channels require. DX Graph + DX Engine is not just a PIM upgrade — it is the governed data foundation for AI-native commerce.</w:t>
            </w:r>
          </w:p>
        </w:tc>
      </w:tr>
    </w:tbl>
    <w:p>
      <w:r>
        <w:br w:type="page"/>
      </w:r>
    </w:p>
    <w:p>
      <w:pPr>
        <w:pStyle w:val="Heading1"/>
        <w:spacing w:after="80" w:before="360"/>
      </w:pPr>
      <w:r>
        <w:rPr>
          <w:rFonts w:ascii="Arial" w:cs="Arial" w:eastAsia="Arial" w:hAnsi="Arial"/>
          <w:b/>
          <w:bCs/>
          <w:color w:val="1B4F8A"/>
          <w:sz w:val="36"/>
          <w:szCs w:val="36"/>
        </w:rPr>
        <w:t xml:space="preserve">5. End-to-End Flow Summary</w:t>
      </w:r>
    </w:p>
    <w:p>
      <w:pPr>
        <w:pBdr>
          <w:bottom w:val="single" w:color="2E75B6" w:sz="6" w:space="1"/>
        </w:pBdr>
        <w:spacing w:after="120" w:before="0"/>
      </w:pPr>
    </w:p>
    <w:p>
      <w:pPr>
        <w:spacing w:after="120" w:before="0"/>
      </w:pPr>
      <w:r>
        <w:rPr>
          <w:rFonts w:ascii="Arial" w:cs="Arial" w:eastAsia="Arial" w:hAnsi="Arial"/>
          <w:color w:val="1F2937"/>
          <w:sz w:val="22"/>
          <w:szCs w:val="22"/>
        </w:rPr>
        <w:t xml:space="preserve">The diagram below illustrates how data and requests flow through the Conscia platform for Lovesac’s key use cases.</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8A" w:sz="4"/>
              <w:left w:val="single" w:color="1B4F8A" w:sz="4"/>
              <w:bottom w:val="single" w:color="1B4F8A" w:sz="4"/>
              <w:right w:val="single" w:color="1B4F8A" w:sz="4"/>
            </w:tcBorders>
            <w:shd w:fill="F2F4F7" w:val="clear"/>
            <w:tcMar>
              <w:top w:type="dxa" w:w="160"/>
              <w:left w:type="dxa" w:w="240"/>
              <w:bottom w:type="dxa" w:w="160"/>
              <w:right w:type="dxa" w:w="240"/>
            </w:tcMar>
          </w:tcPr>
          <w:p>
            <w:r>
              <w:rPr>
                <w:rFonts w:ascii="Arial" w:cs="Arial" w:eastAsia="Arial" w:hAnsi="Arial"/>
                <w:b/>
                <w:bCs/>
                <w:color w:val="1B4F8A"/>
                <w:sz w:val="20"/>
                <w:szCs w:val="20"/>
              </w:rPr>
              <w:t xml:space="preserve">SOURCE BACKENDS  (up to 3)</w:t>
            </w:r>
          </w:p>
          <w:p>
            <w:r>
              <w:rPr>
                <w:rFonts w:ascii="Arial" w:cs="Arial" w:eastAsia="Arial" w:hAnsi="Arial"/>
                <w:i/>
                <w:iCs/>
                <w:color w:val="1F2937"/>
                <w:sz w:val="18"/>
                <w:szCs w:val="18"/>
              </w:rPr>
              <w:t xml:space="preserve">Batch feeds / APIs  ↓  (transform &amp; normalise)</w:t>
            </w:r>
          </w:p>
          <w:p>
            <w:pPr>
              <w:spacing w:after="80" w:before="0"/>
            </w:pPr>
          </w:p>
          <w:p>
            <w:r>
              <w:rPr>
                <w:rFonts w:ascii="Arial" w:cs="Arial" w:eastAsia="Arial" w:hAnsi="Arial"/>
                <w:b/>
                <w:bCs/>
                <w:color w:val="1B4F8A"/>
                <w:sz w:val="20"/>
                <w:szCs w:val="20"/>
              </w:rPr>
              <w:t xml:space="preserve">DX GRAPH  —  Governed Semantic Layer</w:t>
            </w:r>
          </w:p>
          <w:p>
            <w:r>
              <w:rPr>
                <w:rFonts w:ascii="Arial" w:cs="Arial" w:eastAsia="Arial" w:hAnsi="Arial"/>
                <w:color w:val="1F2937"/>
                <w:sz w:val="18"/>
                <w:szCs w:val="18"/>
              </w:rPr>
              <w:t xml:space="preserve">Collections: SKU | Configuration | Taxonomy Collections</w:t>
            </w:r>
          </w:p>
          <w:p>
            <w:r>
              <w:rPr>
                <w:rFonts w:ascii="Arial" w:cs="Arial" w:eastAsia="Arial" w:hAnsi="Arial"/>
                <w:color w:val="1F2937"/>
                <w:sz w:val="18"/>
                <w:szCs w:val="18"/>
              </w:rPr>
              <w:t xml:space="preserve">Relationships: COMPATIBLE_WITH (same-coll.) | BUNDLES (same-coll.) | CONTAINS | MAPS_TO</w:t>
            </w:r>
          </w:p>
          <w:p>
            <w:pPr>
              <w:spacing w:after="80" w:before="0"/>
            </w:pPr>
          </w:p>
          <w:p>
            <w:r>
              <w:rPr>
                <w:rFonts w:ascii="Arial" w:cs="Arial" w:eastAsia="Arial" w:hAnsi="Arial"/>
                <w:i/>
                <w:iCs/>
                <w:color w:val="D1D5DB"/>
                <w:sz w:val="18"/>
                <w:szCs w:val="18"/>
              </w:rPr>
              <w:t xml:space="preserve">↓  Queried at runtime by DX Engine Orchestration Components</w:t>
            </w:r>
          </w:p>
          <w:p>
            <w:pPr>
              <w:spacing w:after="80" w:before="0"/>
            </w:pPr>
          </w:p>
          <w:p>
            <w:r>
              <w:rPr>
                <w:rFonts w:ascii="Arial" w:cs="Arial" w:eastAsia="Arial" w:hAnsi="Arial"/>
                <w:b/>
                <w:bCs/>
                <w:color w:val="1B4F8A"/>
                <w:sz w:val="20"/>
                <w:szCs w:val="20"/>
              </w:rPr>
              <w:t xml:space="preserve">DX ENGINE  —  Experience API &amp; Orchestration Layer</w:t>
            </w:r>
          </w:p>
          <w:p>
            <w:r>
              <w:rPr>
                <w:rFonts w:ascii="Arial" w:cs="Arial" w:eastAsia="Arial" w:hAnsi="Arial"/>
                <w:color w:val="1F2937"/>
                <w:sz w:val="18"/>
                <w:szCs w:val="18"/>
              </w:rPr>
              <w:t xml:space="preserve">Orchestration Flows: Configuration Validation | Wizard Step Options | Config ID Creation | BOM Explosion | Channel Feeds</w:t>
            </w:r>
          </w:p>
          <w:p>
            <w:pPr>
              <w:spacing w:after="80" w:before="0"/>
            </w:pPr>
          </w:p>
          <w:p>
            <w:r>
              <w:rPr>
                <w:rFonts w:ascii="Arial" w:cs="Arial" w:eastAsia="Arial" w:hAnsi="Arial"/>
                <w:i/>
                <w:iCs/>
                <w:color w:val="D1D5DB"/>
                <w:sz w:val="18"/>
                <w:szCs w:val="18"/>
              </w:rPr>
              <w:t xml:space="preserve">↓  Channel-shaped API responses</w:t>
            </w:r>
          </w:p>
          <w:p>
            <w:pPr>
              <w:spacing w:after="80" w:before="0"/>
            </w:pPr>
          </w:p>
          <w:p>
            <w:r>
              <w:rPr>
                <w:rFonts w:ascii="Arial" w:cs="Arial" w:eastAsia="Arial" w:hAnsi="Arial"/>
                <w:b/>
                <w:bCs/>
                <w:color w:val="1B4F8A"/>
                <w:sz w:val="20"/>
                <w:szCs w:val="20"/>
              </w:rPr>
              <w:t xml:space="preserve">CHANNELS</w:t>
            </w:r>
          </w:p>
          <w:p>
            <w:r>
              <w:rPr>
                <w:rFonts w:ascii="Arial" w:cs="Arial" w:eastAsia="Arial" w:hAnsi="Arial"/>
                <w:color w:val="1F2937"/>
                <w:sz w:val="18"/>
                <w:szCs w:val="18"/>
              </w:rPr>
              <w:t xml:space="preserve">POS Systems  |  Lovesac.com  |  On-site Shopping Agent  |  Google Shopping  |  ChatGPT / Third-Party Agents</w:t>
            </w:r>
          </w:p>
        </w:tc>
      </w:tr>
    </w:tbl>
    <w:p>
      <w:pPr>
        <w:spacing w:after="160" w:before="0"/>
      </w:pPr>
    </w:p>
    <w:p>
      <w:pPr>
        <w:pStyle w:val="Heading2"/>
        <w:spacing w:after="60" w:before="260"/>
      </w:pPr>
      <w:r>
        <w:rPr>
          <w:rFonts w:ascii="Arial" w:cs="Arial" w:eastAsia="Arial" w:hAnsi="Arial"/>
          <w:b/>
          <w:bCs/>
          <w:color w:val="2E75B6"/>
          <w:sz w:val="28"/>
          <w:szCs w:val="28"/>
        </w:rPr>
        <w:t xml:space="preserve">5.1  Request Flow: Configuration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000"/>
        <w:gridCol w:w="5880"/>
      </w:tblGrid>
      <w:tr>
        <w:trPr>
          <w:tblHeader/>
        </w:trPr>
        <w:tc>
          <w:tcPr>
            <w:tcW w:type="dxa" w:w="480"/>
            <w:tcBorders>
              <w:top w:val="single" w:color="D1D5DB" w:sz="1"/>
              <w:left w:val="single" w:color="D1D5DB" w:sz="1"/>
              <w:bottom w:val="single" w:color="D1D5DB" w:sz="1"/>
              <w:right w:val="single" w:color="D1D5DB"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000"/>
            <w:tcBorders>
              <w:top w:val="single" w:color="D1D5DB" w:sz="1"/>
              <w:left w:val="single" w:color="D1D5DB" w:sz="1"/>
              <w:bottom w:val="single" w:color="D1D5DB" w:sz="1"/>
              <w:right w:val="single" w:color="D1D5DB"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5880"/>
            <w:tcBorders>
              <w:top w:val="single" w:color="D1D5DB" w:sz="1"/>
              <w:left w:val="single" w:color="D1D5DB" w:sz="1"/>
              <w:bottom w:val="single" w:color="D1D5DB" w:sz="1"/>
              <w:right w:val="single" w:color="D1D5DB"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2"/>
                <w:szCs w:val="22"/>
              </w:rPr>
              <w:t xml:space="preserve">1</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2"/>
                <w:szCs w:val="22"/>
              </w:rPr>
              <w:t xml:space="preserve">Customer/Associate selects SKUs</w:t>
            </w:r>
          </w:p>
        </w:tc>
        <w:tc>
          <w:tcPr>
            <w:tcW w:type="dxa" w:w="5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2"/>
                <w:szCs w:val="22"/>
              </w:rPr>
              <w:t xml:space="preserve">A set of SKU IDs (Line=Cover and Line=Insert records from the unified SKU Collection) is assembled through the configurator UI or POS terminal and passed as Context parameters.</w:t>
            </w:r>
          </w:p>
        </w:tc>
      </w:tr>
      <w:tr>
        <w:tc>
          <w:tcPr>
            <w:tcW w:type="dxa" w:w="480"/>
            <w:tcBorders>
              <w:top w:val="single" w:color="D1D5DB" w:sz="1"/>
              <w:left w:val="single" w:color="D1D5DB" w:sz="1"/>
              <w:bottom w:val="single" w:color="D1D5DB" w:sz="1"/>
              <w:right w:val="single" w:color="D1D5DB" w:sz="1"/>
            </w:tcBorders>
            <w:shd w:fill="F2F4F7" w:val="clear"/>
            <w:tcMar>
              <w:top w:type="dxa" w:w="80"/>
              <w:left w:type="dxa" w:w="120"/>
              <w:bottom w:type="dxa" w:w="80"/>
              <w:right w:type="dxa" w:w="120"/>
            </w:tcMar>
          </w:tcPr>
          <w:p>
            <w:r>
              <w:rPr>
                <w:rFonts w:ascii="Arial" w:cs="Arial" w:eastAsia="Arial" w:hAnsi="Arial"/>
                <w:color w:val="1F2937"/>
                <w:sz w:val="22"/>
                <w:szCs w:val="22"/>
              </w:rPr>
              <w:t xml:space="preserve">2</w:t>
            </w:r>
          </w:p>
        </w:tc>
        <w:tc>
          <w:tcPr>
            <w:tcW w:type="dxa" w:w="3000"/>
            <w:tcBorders>
              <w:top w:val="single" w:color="D1D5DB" w:sz="1"/>
              <w:left w:val="single" w:color="D1D5DB" w:sz="1"/>
              <w:bottom w:val="single" w:color="D1D5DB" w:sz="1"/>
              <w:right w:val="single" w:color="D1D5DB" w:sz="1"/>
            </w:tcBorders>
            <w:shd w:fill="F2F4F7" w:val="clear"/>
            <w:tcMar>
              <w:top w:type="dxa" w:w="80"/>
              <w:left w:type="dxa" w:w="120"/>
              <w:bottom w:type="dxa" w:w="80"/>
              <w:right w:type="dxa" w:w="120"/>
            </w:tcMar>
          </w:tcPr>
          <w:p>
            <w:r>
              <w:rPr>
                <w:rFonts w:ascii="Arial" w:cs="Arial" w:eastAsia="Arial" w:hAnsi="Arial"/>
                <w:color w:val="1F2937"/>
                <w:sz w:val="22"/>
                <w:szCs w:val="22"/>
              </w:rPr>
              <w:t xml:space="preserve">Experience API request to DX Engine</w:t>
            </w:r>
          </w:p>
        </w:tc>
        <w:tc>
          <w:tcPr>
            <w:tcW w:type="dxa" w:w="5880"/>
            <w:tcBorders>
              <w:top w:val="single" w:color="D1D5DB" w:sz="1"/>
              <w:left w:val="single" w:color="D1D5DB" w:sz="1"/>
              <w:bottom w:val="single" w:color="D1D5DB" w:sz="1"/>
              <w:right w:val="single" w:color="D1D5DB" w:sz="1"/>
            </w:tcBorders>
            <w:shd w:fill="F2F4F7" w:val="clear"/>
            <w:tcMar>
              <w:top w:type="dxa" w:w="80"/>
              <w:left w:type="dxa" w:w="120"/>
              <w:bottom w:type="dxa" w:w="80"/>
              <w:right w:type="dxa" w:w="120"/>
            </w:tcMar>
          </w:tcPr>
          <w:p>
            <w:r>
              <w:rPr>
                <w:rFonts w:ascii="Arial" w:cs="Arial" w:eastAsia="Arial" w:hAnsi="Arial"/>
                <w:color w:val="1F2937"/>
                <w:sz w:val="22"/>
                <w:szCs w:val="22"/>
              </w:rPr>
              <w:t xml:space="preserve">POST to the Configuration Validation Orchestration Flow with SKU array and Channel identifier in the Context.</w:t>
            </w:r>
          </w:p>
        </w:tc>
      </w:tr>
      <w:tr>
        <w:tc>
          <w:tcPr>
            <w:tcW w:type="dxa" w:w="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2"/>
                <w:szCs w:val="22"/>
              </w:rPr>
              <w:t xml:space="preserve">3</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2"/>
                <w:szCs w:val="22"/>
              </w:rPr>
              <w:t xml:space="preserve">Coarse Experience Rule: series check</w:t>
            </w:r>
          </w:p>
        </w:tc>
        <w:tc>
          <w:tcPr>
            <w:tcW w:type="dxa" w:w="5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2"/>
                <w:szCs w:val="22"/>
              </w:rPr>
              <w:t xml:space="preserve">Compares series Field values across all selected Component Records. Mixed 5/6 Series — fail immediately, no further DX Graph API calls made.</w:t>
            </w:r>
          </w:p>
        </w:tc>
      </w:tr>
      <w:tr>
        <w:tc>
          <w:tcPr>
            <w:tcW w:type="dxa" w:w="480"/>
            <w:tcBorders>
              <w:top w:val="single" w:color="D1D5DB" w:sz="1"/>
              <w:left w:val="single" w:color="D1D5DB" w:sz="1"/>
              <w:bottom w:val="single" w:color="D1D5DB" w:sz="1"/>
              <w:right w:val="single" w:color="D1D5DB" w:sz="1"/>
            </w:tcBorders>
            <w:shd w:fill="F2F4F7" w:val="clear"/>
            <w:tcMar>
              <w:top w:type="dxa" w:w="80"/>
              <w:left w:type="dxa" w:w="120"/>
              <w:bottom w:type="dxa" w:w="80"/>
              <w:right w:type="dxa" w:w="120"/>
            </w:tcMar>
          </w:tcPr>
          <w:p>
            <w:r>
              <w:rPr>
                <w:rFonts w:ascii="Arial" w:cs="Arial" w:eastAsia="Arial" w:hAnsi="Arial"/>
                <w:color w:val="1F2937"/>
                <w:sz w:val="22"/>
                <w:szCs w:val="22"/>
              </w:rPr>
              <w:t xml:space="preserve">4</w:t>
            </w:r>
          </w:p>
        </w:tc>
        <w:tc>
          <w:tcPr>
            <w:tcW w:type="dxa" w:w="3000"/>
            <w:tcBorders>
              <w:top w:val="single" w:color="D1D5DB" w:sz="1"/>
              <w:left w:val="single" w:color="D1D5DB" w:sz="1"/>
              <w:bottom w:val="single" w:color="D1D5DB" w:sz="1"/>
              <w:right w:val="single" w:color="D1D5DB" w:sz="1"/>
            </w:tcBorders>
            <w:shd w:fill="F2F4F7" w:val="clear"/>
            <w:tcMar>
              <w:top w:type="dxa" w:w="80"/>
              <w:left w:type="dxa" w:w="120"/>
              <w:bottom w:type="dxa" w:w="80"/>
              <w:right w:type="dxa" w:w="120"/>
            </w:tcMar>
          </w:tcPr>
          <w:p>
            <w:r>
              <w:rPr>
                <w:rFonts w:ascii="Arial" w:cs="Arial" w:eastAsia="Arial" w:hAnsi="Arial"/>
                <w:color w:val="1F2937"/>
                <w:sz w:val="22"/>
                <w:szCs w:val="22"/>
              </w:rPr>
              <w:t xml:space="preserve">DX Graph Fetch Component: Dynamic compatibility check</w:t>
            </w:r>
          </w:p>
        </w:tc>
        <w:tc>
          <w:tcPr>
            <w:tcW w:type="dxa" w:w="5880"/>
            <w:tcBorders>
              <w:top w:val="single" w:color="D1D5DB" w:sz="1"/>
              <w:left w:val="single" w:color="D1D5DB" w:sz="1"/>
              <w:bottom w:val="single" w:color="D1D5DB" w:sz="1"/>
              <w:right w:val="single" w:color="D1D5DB" w:sz="1"/>
            </w:tcBorders>
            <w:shd w:fill="F2F4F7" w:val="clear"/>
            <w:tcMar>
              <w:top w:type="dxa" w:w="80"/>
              <w:left w:type="dxa" w:w="120"/>
              <w:bottom w:type="dxa" w:w="80"/>
              <w:right w:type="dxa" w:w="120"/>
            </w:tcMar>
          </w:tcPr>
          <w:p>
            <w:r>
              <w:rPr>
                <w:rFonts w:ascii="Arial" w:cs="Arial" w:eastAsia="Arial" w:hAnsi="Arial"/>
                <w:color w:val="1F2937"/>
                <w:sz w:val="22"/>
                <w:szCs w:val="22"/>
              </w:rPr>
              <w:t xml:space="preserve">For configurations passing step 3, the Fetch Component uses the COMPATIBLE_WITH Dynamic Relationship (matching on Product + Sactional Size Fields) to retrieve valid Insert Records for each Cover. Selected Inserts are validated against this result set. An additional Experience Rule enforces the Outdoor Platform restriction.</w:t>
            </w:r>
          </w:p>
        </w:tc>
      </w:tr>
      <w:tr>
        <w:tc>
          <w:tcPr>
            <w:tcW w:type="dxa" w:w="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2"/>
                <w:szCs w:val="22"/>
              </w:rPr>
              <w:t xml:space="preserve">5</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2"/>
                <w:szCs w:val="22"/>
              </w:rPr>
              <w:t xml:space="preserve">Channel Experience Rules evaluated</w:t>
            </w:r>
          </w:p>
        </w:tc>
        <w:tc>
          <w:tcPr>
            <w:tcW w:type="dxa" w:w="5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2"/>
                <w:szCs w:val="22"/>
              </w:rPr>
              <w:t xml:space="preserve">Channel-specific Experience Rules applied (e.g. Quickship-only enforcement for POS Channel).</w:t>
            </w:r>
          </w:p>
        </w:tc>
      </w:tr>
      <w:tr>
        <w:tc>
          <w:tcPr>
            <w:tcW w:type="dxa" w:w="480"/>
            <w:tcBorders>
              <w:top w:val="single" w:color="D1D5DB" w:sz="1"/>
              <w:left w:val="single" w:color="D1D5DB" w:sz="1"/>
              <w:bottom w:val="single" w:color="D1D5DB" w:sz="1"/>
              <w:right w:val="single" w:color="D1D5DB" w:sz="1"/>
            </w:tcBorders>
            <w:shd w:fill="F2F4F7" w:val="clear"/>
            <w:tcMar>
              <w:top w:type="dxa" w:w="80"/>
              <w:left w:type="dxa" w:w="120"/>
              <w:bottom w:type="dxa" w:w="80"/>
              <w:right w:type="dxa" w:w="120"/>
            </w:tcMar>
          </w:tcPr>
          <w:p>
            <w:r>
              <w:rPr>
                <w:rFonts w:ascii="Arial" w:cs="Arial" w:eastAsia="Arial" w:hAnsi="Arial"/>
                <w:color w:val="1F2937"/>
                <w:sz w:val="22"/>
                <w:szCs w:val="22"/>
              </w:rPr>
              <w:t xml:space="preserve">6</w:t>
            </w:r>
          </w:p>
        </w:tc>
        <w:tc>
          <w:tcPr>
            <w:tcW w:type="dxa" w:w="3000"/>
            <w:tcBorders>
              <w:top w:val="single" w:color="D1D5DB" w:sz="1"/>
              <w:left w:val="single" w:color="D1D5DB" w:sz="1"/>
              <w:bottom w:val="single" w:color="D1D5DB" w:sz="1"/>
              <w:right w:val="single" w:color="D1D5DB" w:sz="1"/>
            </w:tcBorders>
            <w:shd w:fill="F2F4F7" w:val="clear"/>
            <w:tcMar>
              <w:top w:type="dxa" w:w="80"/>
              <w:left w:type="dxa" w:w="120"/>
              <w:bottom w:type="dxa" w:w="80"/>
              <w:right w:type="dxa" w:w="120"/>
            </w:tcMar>
          </w:tcPr>
          <w:p>
            <w:r>
              <w:rPr>
                <w:rFonts w:ascii="Arial" w:cs="Arial" w:eastAsia="Arial" w:hAnsi="Arial"/>
                <w:color w:val="1F2937"/>
                <w:sz w:val="22"/>
                <w:szCs w:val="22"/>
              </w:rPr>
              <w:t xml:space="preserve">Response returned</w:t>
            </w:r>
          </w:p>
        </w:tc>
        <w:tc>
          <w:tcPr>
            <w:tcW w:type="dxa" w:w="5880"/>
            <w:tcBorders>
              <w:top w:val="single" w:color="D1D5DB" w:sz="1"/>
              <w:left w:val="single" w:color="D1D5DB" w:sz="1"/>
              <w:bottom w:val="single" w:color="D1D5DB" w:sz="1"/>
              <w:right w:val="single" w:color="D1D5DB" w:sz="1"/>
            </w:tcBorders>
            <w:shd w:fill="F2F4F7" w:val="clear"/>
            <w:tcMar>
              <w:top w:type="dxa" w:w="80"/>
              <w:left w:type="dxa" w:w="120"/>
              <w:bottom w:type="dxa" w:w="80"/>
              <w:right w:type="dxa" w:w="120"/>
            </w:tcMar>
          </w:tcPr>
          <w:p>
            <w:r>
              <w:rPr>
                <w:rFonts w:ascii="Arial" w:cs="Arial" w:eastAsia="Arial" w:hAnsi="Arial"/>
                <w:color w:val="1F2937"/>
                <w:sz w:val="22"/>
                <w:szCs w:val="22"/>
              </w:rPr>
              <w:t xml:space="preserve">Pass: proceed to Config ID Creation Flow. Fail: structured error payload with conflicting SKU Record IDs and human-readable reason.</w:t>
            </w:r>
          </w:p>
        </w:tc>
      </w:tr>
    </w:tbl>
    <w:p>
      <w:pPr>
        <w:spacing w:after="240" w:before="0"/>
      </w:pPr>
    </w:p>
    <w:p>
      <w:pPr>
        <w:pStyle w:val="Heading2"/>
        <w:spacing w:after="60" w:before="260"/>
      </w:pPr>
      <w:r>
        <w:rPr>
          <w:rFonts w:ascii="Arial" w:cs="Arial" w:eastAsia="Arial" w:hAnsi="Arial"/>
          <w:b/>
          <w:bCs/>
          <w:color w:val="2E75B6"/>
          <w:sz w:val="28"/>
          <w:szCs w:val="28"/>
        </w:rPr>
        <w:t xml:space="preserve">5.2  Request Flow: Config ID → BOM Explosion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000"/>
        <w:gridCol w:w="5880"/>
      </w:tblGrid>
      <w:tr>
        <w:trPr>
          <w:tblHeader/>
        </w:trPr>
        <w:tc>
          <w:tcPr>
            <w:tcW w:type="dxa" w:w="480"/>
            <w:tcBorders>
              <w:top w:val="single" w:color="D1D5DB" w:sz="1"/>
              <w:left w:val="single" w:color="D1D5DB" w:sz="1"/>
              <w:bottom w:val="single" w:color="D1D5DB" w:sz="1"/>
              <w:right w:val="single" w:color="D1D5DB"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000"/>
            <w:tcBorders>
              <w:top w:val="single" w:color="D1D5DB" w:sz="1"/>
              <w:left w:val="single" w:color="D1D5DB" w:sz="1"/>
              <w:bottom w:val="single" w:color="D1D5DB" w:sz="1"/>
              <w:right w:val="single" w:color="D1D5DB"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5880"/>
            <w:tcBorders>
              <w:top w:val="single" w:color="D1D5DB" w:sz="1"/>
              <w:left w:val="single" w:color="D1D5DB" w:sz="1"/>
              <w:bottom w:val="single" w:color="D1D5DB" w:sz="1"/>
              <w:right w:val="single" w:color="D1D5DB"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2"/>
                <w:szCs w:val="22"/>
              </w:rPr>
              <w:t xml:space="preserve">1</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2"/>
                <w:szCs w:val="22"/>
              </w:rPr>
              <w:t xml:space="preserve">Config ID provided</w:t>
            </w:r>
          </w:p>
        </w:tc>
        <w:tc>
          <w:tcPr>
            <w:tcW w:type="dxa" w:w="5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2"/>
                <w:szCs w:val="22"/>
              </w:rPr>
              <w:t xml:space="preserve">POS terminal or OMS passes a Config ID as a Context parameter in the Experience API request.</w:t>
            </w:r>
          </w:p>
        </w:tc>
      </w:tr>
      <w:tr>
        <w:tc>
          <w:tcPr>
            <w:tcW w:type="dxa" w:w="480"/>
            <w:tcBorders>
              <w:top w:val="single" w:color="D1D5DB" w:sz="1"/>
              <w:left w:val="single" w:color="D1D5DB" w:sz="1"/>
              <w:bottom w:val="single" w:color="D1D5DB" w:sz="1"/>
              <w:right w:val="single" w:color="D1D5DB" w:sz="1"/>
            </w:tcBorders>
            <w:shd w:fill="F2F4F7" w:val="clear"/>
            <w:tcMar>
              <w:top w:type="dxa" w:w="80"/>
              <w:left w:type="dxa" w:w="120"/>
              <w:bottom w:type="dxa" w:w="80"/>
              <w:right w:type="dxa" w:w="120"/>
            </w:tcMar>
          </w:tcPr>
          <w:p>
            <w:r>
              <w:rPr>
                <w:rFonts w:ascii="Arial" w:cs="Arial" w:eastAsia="Arial" w:hAnsi="Arial"/>
                <w:color w:val="1F2937"/>
                <w:sz w:val="22"/>
                <w:szCs w:val="22"/>
              </w:rPr>
              <w:t xml:space="preserve">2</w:t>
            </w:r>
          </w:p>
        </w:tc>
        <w:tc>
          <w:tcPr>
            <w:tcW w:type="dxa" w:w="3000"/>
            <w:tcBorders>
              <w:top w:val="single" w:color="D1D5DB" w:sz="1"/>
              <w:left w:val="single" w:color="D1D5DB" w:sz="1"/>
              <w:bottom w:val="single" w:color="D1D5DB" w:sz="1"/>
              <w:right w:val="single" w:color="D1D5DB" w:sz="1"/>
            </w:tcBorders>
            <w:shd w:fill="F2F4F7" w:val="clear"/>
            <w:tcMar>
              <w:top w:type="dxa" w:w="80"/>
              <w:left w:type="dxa" w:w="120"/>
              <w:bottom w:type="dxa" w:w="80"/>
              <w:right w:type="dxa" w:w="120"/>
            </w:tcMar>
          </w:tcPr>
          <w:p>
            <w:r>
              <w:rPr>
                <w:rFonts w:ascii="Arial" w:cs="Arial" w:eastAsia="Arial" w:hAnsi="Arial"/>
                <w:color w:val="1F2937"/>
                <w:sz w:val="22"/>
                <w:szCs w:val="22"/>
              </w:rPr>
              <w:t xml:space="preserve">DX Graph Fetch Component retrieves Configuration Record</w:t>
            </w:r>
          </w:p>
        </w:tc>
        <w:tc>
          <w:tcPr>
            <w:tcW w:type="dxa" w:w="5880"/>
            <w:tcBorders>
              <w:top w:val="single" w:color="D1D5DB" w:sz="1"/>
              <w:left w:val="single" w:color="D1D5DB" w:sz="1"/>
              <w:bottom w:val="single" w:color="D1D5DB" w:sz="1"/>
              <w:right w:val="single" w:color="D1D5DB" w:sz="1"/>
            </w:tcBorders>
            <w:shd w:fill="F2F4F7" w:val="clear"/>
            <w:tcMar>
              <w:top w:type="dxa" w:w="80"/>
              <w:left w:type="dxa" w:w="120"/>
              <w:bottom w:type="dxa" w:w="80"/>
              <w:right w:type="dxa" w:w="120"/>
            </w:tcMar>
          </w:tcPr>
          <w:p>
            <w:r>
              <w:rPr>
                <w:rFonts w:ascii="Arial" w:cs="Arial" w:eastAsia="Arial" w:hAnsi="Arial"/>
                <w:color w:val="1F2937"/>
                <w:sz w:val="22"/>
                <w:szCs w:val="22"/>
              </w:rPr>
              <w:t xml:space="preserve">Traverses CONTAINS Relationships to retrieve all Component SKU Records and quantity Fields.</w:t>
            </w:r>
          </w:p>
        </w:tc>
      </w:tr>
      <w:tr>
        <w:tc>
          <w:tcPr>
            <w:tcW w:type="dxa" w:w="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2"/>
                <w:szCs w:val="22"/>
              </w:rPr>
              <w:t xml:space="preserve">3</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2"/>
                <w:szCs w:val="22"/>
              </w:rPr>
              <w:t xml:space="preserve">Enrichment Orchestration Component executes</w:t>
            </w:r>
          </w:p>
        </w:tc>
        <w:tc>
          <w:tcPr>
            <w:tcW w:type="dxa" w:w="5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2"/>
                <w:szCs w:val="22"/>
              </w:rPr>
              <w:t xml:space="preserve">Each line item enriched with fulfilment Fields: SKU description, price, lead time, availability.</w:t>
            </w:r>
          </w:p>
        </w:tc>
      </w:tr>
      <w:tr>
        <w:tc>
          <w:tcPr>
            <w:tcW w:type="dxa" w:w="480"/>
            <w:tcBorders>
              <w:top w:val="single" w:color="D1D5DB" w:sz="1"/>
              <w:left w:val="single" w:color="D1D5DB" w:sz="1"/>
              <w:bottom w:val="single" w:color="D1D5DB" w:sz="1"/>
              <w:right w:val="single" w:color="D1D5DB" w:sz="1"/>
            </w:tcBorders>
            <w:shd w:fill="F2F4F7" w:val="clear"/>
            <w:tcMar>
              <w:top w:type="dxa" w:w="80"/>
              <w:left w:type="dxa" w:w="120"/>
              <w:bottom w:type="dxa" w:w="80"/>
              <w:right w:type="dxa" w:w="120"/>
            </w:tcMar>
          </w:tcPr>
          <w:p>
            <w:r>
              <w:rPr>
                <w:rFonts w:ascii="Arial" w:cs="Arial" w:eastAsia="Arial" w:hAnsi="Arial"/>
                <w:color w:val="1F2937"/>
                <w:sz w:val="22"/>
                <w:szCs w:val="22"/>
              </w:rPr>
              <w:t xml:space="preserve">4</w:t>
            </w:r>
          </w:p>
        </w:tc>
        <w:tc>
          <w:tcPr>
            <w:tcW w:type="dxa" w:w="3000"/>
            <w:tcBorders>
              <w:top w:val="single" w:color="D1D5DB" w:sz="1"/>
              <w:left w:val="single" w:color="D1D5DB" w:sz="1"/>
              <w:bottom w:val="single" w:color="D1D5DB" w:sz="1"/>
              <w:right w:val="single" w:color="D1D5DB" w:sz="1"/>
            </w:tcBorders>
            <w:shd w:fill="F2F4F7" w:val="clear"/>
            <w:tcMar>
              <w:top w:type="dxa" w:w="80"/>
              <w:left w:type="dxa" w:w="120"/>
              <w:bottom w:type="dxa" w:w="80"/>
              <w:right w:type="dxa" w:w="120"/>
            </w:tcMar>
          </w:tcPr>
          <w:p>
            <w:r>
              <w:rPr>
                <w:rFonts w:ascii="Arial" w:cs="Arial" w:eastAsia="Arial" w:hAnsi="Arial"/>
                <w:color w:val="1F2937"/>
                <w:sz w:val="22"/>
                <w:szCs w:val="22"/>
              </w:rPr>
              <w:t xml:space="preserve">Object Mapper Component applies Channel shaping</w:t>
            </w:r>
          </w:p>
        </w:tc>
        <w:tc>
          <w:tcPr>
            <w:tcW w:type="dxa" w:w="5880"/>
            <w:tcBorders>
              <w:top w:val="single" w:color="D1D5DB" w:sz="1"/>
              <w:left w:val="single" w:color="D1D5DB" w:sz="1"/>
              <w:bottom w:val="single" w:color="D1D5DB" w:sz="1"/>
              <w:right w:val="single" w:color="D1D5DB" w:sz="1"/>
            </w:tcBorders>
            <w:shd w:fill="F2F4F7" w:val="clear"/>
            <w:tcMar>
              <w:top w:type="dxa" w:w="80"/>
              <w:left w:type="dxa" w:w="120"/>
              <w:bottom w:type="dxa" w:w="80"/>
              <w:right w:type="dxa" w:w="120"/>
            </w:tcMar>
          </w:tcPr>
          <w:p>
            <w:r>
              <w:rPr>
                <w:rFonts w:ascii="Arial" w:cs="Arial" w:eastAsia="Arial" w:hAnsi="Arial"/>
                <w:color w:val="1F2937"/>
                <w:sz w:val="22"/>
                <w:szCs w:val="22"/>
              </w:rPr>
              <w:t xml:space="preserve">Response shaped for the requesting Channel: ring-up list for POS, fulfilment BOM for OMS, pick list for warehouse.</w:t>
            </w:r>
          </w:p>
        </w:tc>
      </w:tr>
      <w:tr>
        <w:tc>
          <w:tcPr>
            <w:tcW w:type="dxa" w:w="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2"/>
                <w:szCs w:val="22"/>
              </w:rPr>
              <w:t xml:space="preserve">5</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2"/>
                <w:szCs w:val="22"/>
              </w:rPr>
              <w:t xml:space="preserve">Response returned</w:t>
            </w:r>
          </w:p>
        </w:tc>
        <w:tc>
          <w:tcPr>
            <w:tcW w:type="dxa" w:w="5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2"/>
                <w:szCs w:val="22"/>
              </w:rPr>
              <w:t xml:space="preserve">Complete, Channel-appropriate BOM ready for downstream fulfilment processing.</w:t>
            </w:r>
          </w:p>
        </w:tc>
      </w:tr>
    </w:tbl>
    <w:p>
      <w:r>
        <w:br w:type="page"/>
      </w:r>
    </w:p>
    <w:p>
      <w:pPr>
        <w:pStyle w:val="Heading1"/>
        <w:spacing w:after="80" w:before="360"/>
      </w:pPr>
      <w:r>
        <w:rPr>
          <w:rFonts w:ascii="Arial" w:cs="Arial" w:eastAsia="Arial" w:hAnsi="Arial"/>
          <w:b/>
          <w:bCs/>
          <w:color w:val="1B4F8A"/>
          <w:sz w:val="36"/>
          <w:szCs w:val="36"/>
        </w:rPr>
        <w:t xml:space="preserve">6. Implementation Scope</w:t>
      </w:r>
    </w:p>
    <w:p>
      <w:pPr>
        <w:pBdr>
          <w:bottom w:val="single" w:color="2E75B6" w:sz="6" w:space="1"/>
        </w:pBdr>
        <w:spacing w:after="120" w:before="0"/>
      </w:pPr>
    </w:p>
    <w:p>
      <w:pPr>
        <w:pStyle w:val="Heading2"/>
        <w:spacing w:after="60" w:before="260"/>
      </w:pPr>
      <w:r>
        <w:rPr>
          <w:rFonts w:ascii="Arial" w:cs="Arial" w:eastAsia="Arial" w:hAnsi="Arial"/>
          <w:b/>
          <w:bCs/>
          <w:color w:val="2E75B6"/>
          <w:sz w:val="28"/>
          <w:szCs w:val="28"/>
        </w:rPr>
        <w:t xml:space="preserve">6.1  DX Graph Deliverables</w:t>
      </w:r>
    </w:p>
    <w:p>
      <w:pPr>
        <w:pStyle w:val="ListParagraph"/>
        <w:numPr>
          <w:ilvl w:val="0"/>
          <w:numId w:val="2"/>
        </w:numPr>
        <w:spacing w:after="80" w:before="0"/>
      </w:pPr>
      <w:r>
        <w:rPr>
          <w:rFonts w:ascii="Arial" w:cs="Arial" w:eastAsia="Arial" w:hAnsi="Arial"/>
          <w:b/>
          <w:bCs/>
          <w:color w:val="1F2937"/>
          <w:sz w:val="22"/>
          <w:szCs w:val="22"/>
        </w:rPr>
        <w:t xml:space="preserve">Application provisioning. </w:t>
      </w:r>
      <w:r>
        <w:rPr>
          <w:rFonts w:ascii="Arial" w:cs="Arial" w:eastAsia="Arial" w:hAnsi="Arial"/>
          <w:color w:val="1F2937"/>
          <w:sz w:val="22"/>
          <w:szCs w:val="22"/>
        </w:rPr>
        <w:t xml:space="preserve">Provision the Lovesac DX Graph environment and configure Collections.</w:t>
      </w:r>
    </w:p>
    <w:p>
      <w:pPr>
        <w:pStyle w:val="ListParagraph"/>
        <w:numPr>
          <w:ilvl w:val="0"/>
          <w:numId w:val="2"/>
        </w:numPr>
        <w:spacing w:after="80" w:before="0"/>
      </w:pPr>
      <w:r>
        <w:rPr>
          <w:rFonts w:ascii="Arial" w:cs="Arial" w:eastAsia="Arial" w:hAnsi="Arial"/>
          <w:b/>
          <w:bCs/>
          <w:color w:val="1F2937"/>
          <w:sz w:val="22"/>
          <w:szCs w:val="22"/>
        </w:rPr>
        <w:t xml:space="preserve">Collection and Schema build. </w:t>
      </w:r>
      <w:r>
        <w:rPr>
          <w:rFonts w:ascii="Arial" w:cs="Arial" w:eastAsia="Arial" w:hAnsi="Arial"/>
          <w:color w:val="1F2937"/>
          <w:sz w:val="22"/>
          <w:szCs w:val="22"/>
        </w:rPr>
        <w:t xml:space="preserve">Implement the SKU Collection, Configuration Collection, and Taxonomy Collections with Schemas (Fields) and Relationship types defined in Section 3. All SKU Records — across all brands, lines, and roles — load into the single SKU Collection, distinguished by the Line and Brand Fields.</w:t>
      </w:r>
    </w:p>
    <w:p>
      <w:pPr>
        <w:pStyle w:val="ListParagraph"/>
        <w:numPr>
          <w:ilvl w:val="0"/>
          <w:numId w:val="2"/>
        </w:numPr>
        <w:spacing w:after="80" w:before="0"/>
      </w:pPr>
      <w:r>
        <w:rPr>
          <w:rFonts w:ascii="Arial" w:cs="Arial" w:eastAsia="Arial" w:hAnsi="Arial"/>
          <w:b/>
          <w:bCs/>
          <w:color w:val="1F2937"/>
          <w:sz w:val="22"/>
          <w:szCs w:val="22"/>
        </w:rPr>
        <w:t xml:space="preserve">Taxonomy Collection modelling. </w:t>
      </w:r>
      <w:r>
        <w:rPr>
          <w:rFonts w:ascii="Arial" w:cs="Arial" w:eastAsia="Arial" w:hAnsi="Arial"/>
          <w:color w:val="1F2937"/>
          <w:sz w:val="22"/>
          <w:szCs w:val="22"/>
        </w:rPr>
        <w:t xml:space="preserve">Model up to three (3) Taxonomy Collections and map existing SKU Records to each.</w:t>
      </w:r>
    </w:p>
    <w:p>
      <w:pPr>
        <w:pStyle w:val="ListParagraph"/>
        <w:numPr>
          <w:ilvl w:val="0"/>
          <w:numId w:val="2"/>
        </w:numPr>
        <w:spacing w:after="80" w:before="0"/>
      </w:pPr>
      <w:r>
        <w:rPr>
          <w:rFonts w:ascii="Arial" w:cs="Arial" w:eastAsia="Arial" w:hAnsi="Arial"/>
          <w:b/>
          <w:bCs/>
          <w:color w:val="1F2937"/>
          <w:sz w:val="22"/>
          <w:szCs w:val="22"/>
        </w:rPr>
        <w:t xml:space="preserve">Data loading via Jobs. </w:t>
      </w:r>
      <w:r>
        <w:rPr>
          <w:rFonts w:ascii="Arial" w:cs="Arial" w:eastAsia="Arial" w:hAnsi="Arial"/>
          <w:color w:val="1F2937"/>
          <w:sz w:val="22"/>
          <w:szCs w:val="22"/>
        </w:rPr>
        <w:t xml:space="preserve">Configure Jobs to load data from up to three (3) existing source systems via scheduled pulls, Data Bucket file ingestion, or API push, with transformation and normalisation.</w:t>
      </w:r>
    </w:p>
    <w:p>
      <w:pPr>
        <w:pStyle w:val="ListParagraph"/>
        <w:numPr>
          <w:ilvl w:val="0"/>
          <w:numId w:val="2"/>
        </w:numPr>
        <w:spacing w:after="80" w:before="0"/>
      </w:pPr>
      <w:r>
        <w:rPr>
          <w:rFonts w:ascii="Arial" w:cs="Arial" w:eastAsia="Arial" w:hAnsi="Arial"/>
          <w:b/>
          <w:bCs/>
          <w:color w:val="1F2937"/>
          <w:sz w:val="22"/>
          <w:szCs w:val="22"/>
        </w:rPr>
        <w:t xml:space="preserve">Marketplace feed updates. </w:t>
      </w:r>
      <w:r>
        <w:rPr>
          <w:rFonts w:ascii="Arial" w:cs="Arial" w:eastAsia="Arial" w:hAnsi="Arial"/>
          <w:color w:val="1F2937"/>
          <w:sz w:val="22"/>
          <w:szCs w:val="22"/>
        </w:rPr>
        <w:t xml:space="preserve">Update up to two (2) existing marketplace feeds to draw from DX Graph Collections.</w:t>
      </w:r>
    </w:p>
    <w:p>
      <w:pPr>
        <w:pStyle w:val="ListParagraph"/>
        <w:numPr>
          <w:ilvl w:val="0"/>
          <w:numId w:val="2"/>
        </w:numPr>
        <w:spacing w:after="80" w:before="0"/>
      </w:pPr>
      <w:r>
        <w:rPr>
          <w:rFonts w:ascii="Arial" w:cs="Arial" w:eastAsia="Arial" w:hAnsi="Arial"/>
          <w:b/>
          <w:bCs/>
          <w:color w:val="1F2937"/>
          <w:sz w:val="22"/>
          <w:szCs w:val="22"/>
        </w:rPr>
        <w:t xml:space="preserve">Compatibility Relationships. </w:t>
      </w:r>
      <w:r>
        <w:rPr>
          <w:rFonts w:ascii="Arial" w:cs="Arial" w:eastAsia="Arial" w:hAnsi="Arial"/>
          <w:color w:val="1F2937"/>
          <w:sz w:val="22"/>
          <w:szCs w:val="22"/>
        </w:rPr>
        <w:t xml:space="preserve">Configure the COMPATIBLE_WITH same-collection Dynamic Relationship within the SKU Collection (scoped Line=Cover → Line=Insert, matching on Product and Sactional_Size Fields). Because this is Dynamic, no per-Record tagging job is required. The second COMPATIBLE_WITH 1:M Lookup for physical adjacency rules will be configured once Lovesac confirms which product types can be placed next to each other (see Open Question 7).</w:t>
      </w:r>
    </w:p>
    <w:p>
      <w:pPr>
        <w:spacing w:after="160" w:before="0"/>
      </w:pPr>
    </w:p>
    <w:p>
      <w:pPr>
        <w:pStyle w:val="Heading2"/>
        <w:spacing w:after="60" w:before="260"/>
      </w:pPr>
      <w:r>
        <w:rPr>
          <w:rFonts w:ascii="Arial" w:cs="Arial" w:eastAsia="Arial" w:hAnsi="Arial"/>
          <w:b/>
          <w:bCs/>
          <w:color w:val="2E75B6"/>
          <w:sz w:val="28"/>
          <w:szCs w:val="28"/>
        </w:rPr>
        <w:t xml:space="preserve">6.2  DX Engine POC Deliverables</w:t>
      </w:r>
    </w:p>
    <w:p>
      <w:pPr>
        <w:pStyle w:val="ListParagraph"/>
        <w:numPr>
          <w:ilvl w:val="0"/>
          <w:numId w:val="2"/>
        </w:numPr>
        <w:spacing w:after="80" w:before="0"/>
      </w:pPr>
      <w:r>
        <w:rPr>
          <w:rFonts w:ascii="Arial" w:cs="Arial" w:eastAsia="Arial" w:hAnsi="Arial"/>
          <w:b/>
          <w:bCs/>
          <w:color w:val="1F2937"/>
          <w:sz w:val="22"/>
          <w:szCs w:val="22"/>
        </w:rPr>
        <w:t xml:space="preserve">Experience Rules. </w:t>
      </w:r>
      <w:r>
        <w:rPr>
          <w:rFonts w:ascii="Arial" w:cs="Arial" w:eastAsia="Arial" w:hAnsi="Arial"/>
          <w:color w:val="1F2937"/>
          <w:sz w:val="22"/>
          <w:szCs w:val="22"/>
        </w:rPr>
        <w:t xml:space="preserve">Build Experience Rules in DX Engine that verify configuration feasibility, including series boundary enforcement and Channel-specific availability rules.</w:t>
      </w:r>
    </w:p>
    <w:p>
      <w:pPr>
        <w:pStyle w:val="ListParagraph"/>
        <w:numPr>
          <w:ilvl w:val="0"/>
          <w:numId w:val="2"/>
        </w:numPr>
        <w:spacing w:after="80" w:before="0"/>
      </w:pPr>
      <w:r>
        <w:rPr>
          <w:rFonts w:ascii="Arial" w:cs="Arial" w:eastAsia="Arial" w:hAnsi="Arial"/>
          <w:b/>
          <w:bCs/>
          <w:color w:val="1F2937"/>
          <w:sz w:val="22"/>
          <w:szCs w:val="22"/>
        </w:rPr>
        <w:t xml:space="preserve">Configuration Validation Orchestration Flow. </w:t>
      </w:r>
      <w:r>
        <w:rPr>
          <w:rFonts w:ascii="Arial" w:cs="Arial" w:eastAsia="Arial" w:hAnsi="Arial"/>
          <w:color w:val="1F2937"/>
          <w:sz w:val="22"/>
          <w:szCs w:val="22"/>
        </w:rPr>
        <w:t xml:space="preserve">Experience API Flow accepting SKU Record IDs as Context; returns pass/fail with structured error detail.</w:t>
      </w:r>
    </w:p>
    <w:p>
      <w:pPr>
        <w:pStyle w:val="ListParagraph"/>
        <w:numPr>
          <w:ilvl w:val="0"/>
          <w:numId w:val="2"/>
        </w:numPr>
        <w:spacing w:after="80" w:before="0"/>
      </w:pPr>
      <w:r>
        <w:rPr>
          <w:rFonts w:ascii="Arial" w:cs="Arial" w:eastAsia="Arial" w:hAnsi="Arial"/>
          <w:b/>
          <w:bCs/>
          <w:color w:val="1F2937"/>
          <w:sz w:val="22"/>
          <w:szCs w:val="22"/>
        </w:rPr>
        <w:t xml:space="preserve">Wizard Step Options Orchestration Flow. </w:t>
      </w:r>
      <w:r>
        <w:rPr>
          <w:rFonts w:ascii="Arial" w:cs="Arial" w:eastAsia="Arial" w:hAnsi="Arial"/>
          <w:color w:val="1F2937"/>
          <w:sz w:val="22"/>
          <w:szCs w:val="22"/>
        </w:rPr>
        <w:t xml:space="preserve">Experience API Flow returning valid next-step options for the visual configurator, filtered via Experience Rules against current Context selections.</w:t>
      </w:r>
    </w:p>
    <w:p>
      <w:pPr>
        <w:pStyle w:val="ListParagraph"/>
        <w:numPr>
          <w:ilvl w:val="0"/>
          <w:numId w:val="2"/>
        </w:numPr>
        <w:spacing w:after="80" w:before="0"/>
      </w:pPr>
      <w:r>
        <w:rPr>
          <w:rFonts w:ascii="Arial" w:cs="Arial" w:eastAsia="Arial" w:hAnsi="Arial"/>
          <w:b/>
          <w:bCs/>
          <w:color w:val="1F2937"/>
          <w:sz w:val="22"/>
          <w:szCs w:val="22"/>
        </w:rPr>
        <w:t xml:space="preserve">Config ID Creation Orchestration Flow. </w:t>
      </w:r>
      <w:r>
        <w:rPr>
          <w:rFonts w:ascii="Arial" w:cs="Arial" w:eastAsia="Arial" w:hAnsi="Arial"/>
          <w:color w:val="1F2937"/>
          <w:sz w:val="22"/>
          <w:szCs w:val="22"/>
        </w:rPr>
        <w:t xml:space="preserve">Experience API Flow that validates and writes a Configuration Record to DX Graph, returning a durable Config ID.</w:t>
      </w:r>
    </w:p>
    <w:p>
      <w:pPr>
        <w:pStyle w:val="ListParagraph"/>
        <w:numPr>
          <w:ilvl w:val="0"/>
          <w:numId w:val="2"/>
        </w:numPr>
        <w:spacing w:after="80" w:before="0"/>
      </w:pPr>
      <w:r>
        <w:rPr>
          <w:rFonts w:ascii="Arial" w:cs="Arial" w:eastAsia="Arial" w:hAnsi="Arial"/>
          <w:b/>
          <w:bCs/>
          <w:color w:val="1F2937"/>
          <w:sz w:val="22"/>
          <w:szCs w:val="22"/>
        </w:rPr>
        <w:t xml:space="preserve">BOM Explosion Orchestration Flow. </w:t>
      </w:r>
      <w:r>
        <w:rPr>
          <w:rFonts w:ascii="Arial" w:cs="Arial" w:eastAsia="Arial" w:hAnsi="Arial"/>
          <w:color w:val="1F2937"/>
          <w:sz w:val="22"/>
          <w:szCs w:val="22"/>
        </w:rPr>
        <w:t xml:space="preserve">Experience API Flow that resolves a Config ID to a full, Channel-shaped Bill of Materials via CONTAINS Relationship traversal.</w:t>
      </w:r>
    </w:p>
    <w:p>
      <w:pPr>
        <w:spacing w:after="160" w:before="0"/>
      </w:pPr>
    </w:p>
    <w:p>
      <w:pPr>
        <w:pStyle w:val="Heading2"/>
        <w:spacing w:after="60" w:before="260"/>
      </w:pPr>
      <w:r>
        <w:rPr>
          <w:rFonts w:ascii="Arial" w:cs="Arial" w:eastAsia="Arial" w:hAnsi="Arial"/>
          <w:b/>
          <w:bCs/>
          <w:color w:val="2E75B6"/>
          <w:sz w:val="28"/>
          <w:szCs w:val="28"/>
        </w:rPr>
        <w:t xml:space="preserve">6.3  Out of Scope (Phase 1)</w:t>
      </w:r>
    </w:p>
    <w:p>
      <w:pPr>
        <w:pStyle w:val="ListParagraph"/>
        <w:numPr>
          <w:ilvl w:val="0"/>
          <w:numId w:val="2"/>
        </w:numPr>
        <w:spacing w:after="80" w:before="0"/>
      </w:pPr>
      <w:r>
        <w:rPr>
          <w:rFonts w:ascii="Arial" w:cs="Arial" w:eastAsia="Arial" w:hAnsi="Arial"/>
          <w:color w:val="1F2937"/>
          <w:sz w:val="22"/>
          <w:szCs w:val="22"/>
        </w:rPr>
        <w:t xml:space="preserve">Direct integration with Lovesac.com frontend (Orchestration Flows will be available via Experience API; frontend integration is a separate workstream).</w:t>
      </w:r>
    </w:p>
    <w:p>
      <w:pPr>
        <w:pStyle w:val="ListParagraph"/>
        <w:numPr>
          <w:ilvl w:val="0"/>
          <w:numId w:val="2"/>
        </w:numPr>
        <w:spacing w:after="80" w:before="0"/>
      </w:pPr>
      <w:r>
        <w:rPr>
          <w:rFonts w:ascii="Arial" w:cs="Arial" w:eastAsia="Arial" w:hAnsi="Arial"/>
          <w:color w:val="1F2937"/>
          <w:sz w:val="22"/>
          <w:szCs w:val="22"/>
        </w:rPr>
        <w:t xml:space="preserve">Real-time inventory availability checks (compatibility validation only via Relationships; live inventory is a future phase).</w:t>
      </w:r>
    </w:p>
    <w:p>
      <w:pPr>
        <w:pStyle w:val="ListParagraph"/>
        <w:numPr>
          <w:ilvl w:val="0"/>
          <w:numId w:val="2"/>
        </w:numPr>
        <w:spacing w:after="80" w:before="0"/>
      </w:pPr>
      <w:r>
        <w:rPr>
          <w:rFonts w:ascii="Arial" w:cs="Arial" w:eastAsia="Arial" w:hAnsi="Arial"/>
          <w:color w:val="1F2937"/>
          <w:sz w:val="22"/>
          <w:szCs w:val="22"/>
        </w:rPr>
        <w:t xml:space="preserve">Full agentic Channel deployment (MCP tooling will be structured for this; production deployment is post-POC).</w:t>
      </w:r>
    </w:p>
    <w:p>
      <w:pPr>
        <w:pStyle w:val="ListParagraph"/>
        <w:numPr>
          <w:ilvl w:val="0"/>
          <w:numId w:val="2"/>
        </w:numPr>
        <w:spacing w:after="80" w:before="0"/>
      </w:pPr>
      <w:r>
        <w:rPr>
          <w:rFonts w:ascii="Arial" w:cs="Arial" w:eastAsia="Arial" w:hAnsi="Arial"/>
          <w:color w:val="1F2937"/>
          <w:sz w:val="22"/>
          <w:szCs w:val="22"/>
        </w:rPr>
        <w:t xml:space="preserve">Pricing engine integration (pricing Fields will be modelled in Collections but live pricing calculation is out of scope).</w:t>
      </w:r>
    </w:p>
    <w:p>
      <w:r>
        <w:br w:type="page"/>
      </w:r>
    </w:p>
    <w:p>
      <w:pPr>
        <w:pStyle w:val="Heading1"/>
        <w:spacing w:after="80" w:before="360"/>
      </w:pPr>
      <w:r>
        <w:rPr>
          <w:rFonts w:ascii="Arial" w:cs="Arial" w:eastAsia="Arial" w:hAnsi="Arial"/>
          <w:b/>
          <w:bCs/>
          <w:color w:val="1B4F8A"/>
          <w:sz w:val="36"/>
          <w:szCs w:val="36"/>
        </w:rPr>
        <w:t xml:space="preserve">7. Open Questions &amp; Assumptions</w:t>
      </w:r>
    </w:p>
    <w:p>
      <w:pPr>
        <w:pBdr>
          <w:bottom w:val="single" w:color="2E75B6" w:sz="6" w:space="1"/>
        </w:pBd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200"/>
        <w:gridCol w:w="4760"/>
      </w:tblGrid>
      <w:tr>
        <w:trPr>
          <w:tblHeader/>
        </w:trPr>
        <w:tc>
          <w:tcPr>
            <w:tcW w:type="dxa" w:w="400"/>
            <w:tcBorders>
              <w:top w:val="single" w:color="D1D5DB" w:sz="1"/>
              <w:left w:val="single" w:color="D1D5DB" w:sz="1"/>
              <w:bottom w:val="single" w:color="D1D5DB" w:sz="1"/>
              <w:right w:val="single" w:color="D1D5DB"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200"/>
            <w:tcBorders>
              <w:top w:val="single" w:color="D1D5DB" w:sz="1"/>
              <w:left w:val="single" w:color="D1D5DB" w:sz="1"/>
              <w:bottom w:val="single" w:color="D1D5DB" w:sz="1"/>
              <w:right w:val="single" w:color="D1D5DB"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Question / Assumption</w:t>
            </w:r>
          </w:p>
        </w:tc>
        <w:tc>
          <w:tcPr>
            <w:tcW w:type="dxa" w:w="4760"/>
            <w:tcBorders>
              <w:top w:val="single" w:color="D1D5DB" w:sz="1"/>
              <w:left w:val="single" w:color="D1D5DB" w:sz="1"/>
              <w:bottom w:val="single" w:color="D1D5DB" w:sz="1"/>
              <w:right w:val="single" w:color="D1D5DB"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2"/>
                <w:szCs w:val="22"/>
              </w:rPr>
              <w:t xml:space="preserve">1</w:t>
            </w:r>
          </w:p>
        </w:tc>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2"/>
                <w:szCs w:val="22"/>
              </w:rPr>
              <w:t xml:space="preserve">What is the format and completeness of existing compatibility rules?</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2"/>
                <w:szCs w:val="22"/>
              </w:rPr>
              <w:t xml:space="preserve">Cover ↔ Insert compatibility has been resolved: a Dynamic Relationship derived from catalog analysis (Product + Sactional Size field match) covers all 15,506 Cover SKUs automatically. Outstanding: Component → Component physical adjacency rules (which Sides are valid next to which Seats, etc.) — see Open Question 7.</w:t>
            </w:r>
          </w:p>
        </w:tc>
      </w:tr>
      <w:tr>
        <w:tc>
          <w:tcPr>
            <w:tcW w:type="dxa" w:w="400"/>
            <w:tcBorders>
              <w:top w:val="single" w:color="D1D5DB" w:sz="1"/>
              <w:left w:val="single" w:color="D1D5DB" w:sz="1"/>
              <w:bottom w:val="single" w:color="D1D5DB" w:sz="1"/>
              <w:right w:val="single" w:color="D1D5DB" w:sz="1"/>
            </w:tcBorders>
            <w:shd w:fill="F2F4F7" w:val="clear"/>
            <w:tcMar>
              <w:top w:type="dxa" w:w="80"/>
              <w:left w:type="dxa" w:w="120"/>
              <w:bottom w:type="dxa" w:w="80"/>
              <w:right w:type="dxa" w:w="120"/>
            </w:tcMar>
          </w:tcPr>
          <w:p>
            <w:r>
              <w:rPr>
                <w:rFonts w:ascii="Arial" w:cs="Arial" w:eastAsia="Arial" w:hAnsi="Arial"/>
                <w:color w:val="1F2937"/>
                <w:sz w:val="22"/>
                <w:szCs w:val="22"/>
              </w:rPr>
              <w:t xml:space="preserve">2</w:t>
            </w:r>
          </w:p>
        </w:tc>
        <w:tc>
          <w:tcPr>
            <w:tcW w:type="dxa" w:w="4200"/>
            <w:tcBorders>
              <w:top w:val="single" w:color="D1D5DB" w:sz="1"/>
              <w:left w:val="single" w:color="D1D5DB" w:sz="1"/>
              <w:bottom w:val="single" w:color="D1D5DB" w:sz="1"/>
              <w:right w:val="single" w:color="D1D5DB" w:sz="1"/>
            </w:tcBorders>
            <w:shd w:fill="F2F4F7" w:val="clear"/>
            <w:tcMar>
              <w:top w:type="dxa" w:w="80"/>
              <w:left w:type="dxa" w:w="120"/>
              <w:bottom w:type="dxa" w:w="80"/>
              <w:right w:type="dxa" w:w="120"/>
            </w:tcMar>
          </w:tcPr>
          <w:p>
            <w:r>
              <w:rPr>
                <w:rFonts w:ascii="Arial" w:cs="Arial" w:eastAsia="Arial" w:hAnsi="Arial"/>
                <w:color w:val="1F2937"/>
                <w:sz w:val="22"/>
                <w:szCs w:val="22"/>
              </w:rPr>
              <w:t xml:space="preserve">Which three backends will be ingested?</w:t>
            </w:r>
          </w:p>
        </w:tc>
        <w:tc>
          <w:tcPr>
            <w:tcW w:type="dxa" w:w="4760"/>
            <w:tcBorders>
              <w:top w:val="single" w:color="D1D5DB" w:sz="1"/>
              <w:left w:val="single" w:color="D1D5DB" w:sz="1"/>
              <w:bottom w:val="single" w:color="D1D5DB" w:sz="1"/>
              <w:right w:val="single" w:color="D1D5DB" w:sz="1"/>
            </w:tcBorders>
            <w:shd w:fill="F2F4F7" w:val="clear"/>
            <w:tcMar>
              <w:top w:type="dxa" w:w="80"/>
              <w:left w:type="dxa" w:w="120"/>
              <w:bottom w:type="dxa" w:w="80"/>
              <w:right w:type="dxa" w:w="120"/>
            </w:tcMar>
          </w:tcPr>
          <w:p>
            <w:r>
              <w:rPr>
                <w:rFonts w:ascii="Arial" w:cs="Arial" w:eastAsia="Arial" w:hAnsi="Arial"/>
                <w:color w:val="1F2937"/>
                <w:sz w:val="22"/>
                <w:szCs w:val="22"/>
              </w:rPr>
              <w:t xml:space="preserve">Needs confirmation from Lovesac. The transformation approach differs significantly depending on whether sources are APIs or file-based feeds.</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2"/>
                <w:szCs w:val="22"/>
              </w:rPr>
              <w:t xml:space="preserve">3</w:t>
            </w:r>
          </w:p>
        </w:tc>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2"/>
                <w:szCs w:val="22"/>
              </w:rPr>
              <w:t xml:space="preserve">What are the three taxonomy versions required?</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2"/>
                <w:szCs w:val="22"/>
              </w:rPr>
              <w:t xml:space="preserve">Internal taxonomy is known. Marketplace taxonomy structure (Google Shopping, ChatGPT) needs to be confirmed, as these have specific category schema requirements.</w:t>
            </w:r>
          </w:p>
        </w:tc>
      </w:tr>
      <w:tr>
        <w:tc>
          <w:tcPr>
            <w:tcW w:type="dxa" w:w="400"/>
            <w:tcBorders>
              <w:top w:val="single" w:color="D1D5DB" w:sz="1"/>
              <w:left w:val="single" w:color="D1D5DB" w:sz="1"/>
              <w:bottom w:val="single" w:color="D1D5DB" w:sz="1"/>
              <w:right w:val="single" w:color="D1D5DB" w:sz="1"/>
            </w:tcBorders>
            <w:shd w:fill="F2F4F7" w:val="clear"/>
            <w:tcMar>
              <w:top w:type="dxa" w:w="80"/>
              <w:left w:type="dxa" w:w="120"/>
              <w:bottom w:type="dxa" w:w="80"/>
              <w:right w:type="dxa" w:w="120"/>
            </w:tcMar>
          </w:tcPr>
          <w:p>
            <w:r>
              <w:rPr>
                <w:rFonts w:ascii="Arial" w:cs="Arial" w:eastAsia="Arial" w:hAnsi="Arial"/>
                <w:color w:val="1F2937"/>
                <w:sz w:val="22"/>
                <w:szCs w:val="22"/>
              </w:rPr>
              <w:t xml:space="preserve">4</w:t>
            </w:r>
          </w:p>
        </w:tc>
        <w:tc>
          <w:tcPr>
            <w:tcW w:type="dxa" w:w="4200"/>
            <w:tcBorders>
              <w:top w:val="single" w:color="D1D5DB" w:sz="1"/>
              <w:left w:val="single" w:color="D1D5DB" w:sz="1"/>
              <w:bottom w:val="single" w:color="D1D5DB" w:sz="1"/>
              <w:right w:val="single" w:color="D1D5DB" w:sz="1"/>
            </w:tcBorders>
            <w:shd w:fill="F2F4F7" w:val="clear"/>
            <w:tcMar>
              <w:top w:type="dxa" w:w="80"/>
              <w:left w:type="dxa" w:w="120"/>
              <w:bottom w:type="dxa" w:w="80"/>
              <w:right w:type="dxa" w:w="120"/>
            </w:tcMar>
          </w:tcPr>
          <w:p>
            <w:r>
              <w:rPr>
                <w:rFonts w:ascii="Arial" w:cs="Arial" w:eastAsia="Arial" w:hAnsi="Arial"/>
                <w:color w:val="1F2937"/>
                <w:sz w:val="22"/>
                <w:szCs w:val="22"/>
              </w:rPr>
              <w:t xml:space="preserve">Which two marketplace feeds will be updated?</w:t>
            </w:r>
          </w:p>
        </w:tc>
        <w:tc>
          <w:tcPr>
            <w:tcW w:type="dxa" w:w="4760"/>
            <w:tcBorders>
              <w:top w:val="single" w:color="D1D5DB" w:sz="1"/>
              <w:left w:val="single" w:color="D1D5DB" w:sz="1"/>
              <w:bottom w:val="single" w:color="D1D5DB" w:sz="1"/>
              <w:right w:val="single" w:color="D1D5DB" w:sz="1"/>
            </w:tcBorders>
            <w:shd w:fill="F2F4F7" w:val="clear"/>
            <w:tcMar>
              <w:top w:type="dxa" w:w="80"/>
              <w:left w:type="dxa" w:w="120"/>
              <w:bottom w:type="dxa" w:w="80"/>
              <w:right w:type="dxa" w:w="120"/>
            </w:tcMar>
          </w:tcPr>
          <w:p>
            <w:r>
              <w:rPr>
                <w:rFonts w:ascii="Arial" w:cs="Arial" w:eastAsia="Arial" w:hAnsi="Arial"/>
                <w:color w:val="1F2937"/>
                <w:sz w:val="22"/>
                <w:szCs w:val="22"/>
              </w:rPr>
              <w:t xml:space="preserve">To be confirmed. Feed format, update frequency, and whether current feeds are file-based or API-based will affect implementation approach.</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2"/>
                <w:szCs w:val="22"/>
              </w:rPr>
              <w:t xml:space="preserve">5</w:t>
            </w:r>
          </w:p>
        </w:tc>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2"/>
                <w:szCs w:val="22"/>
              </w:rPr>
              <w:t xml:space="preserve">What is the Config ID format requirement?</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2"/>
                <w:szCs w:val="22"/>
              </w:rPr>
              <w:t xml:space="preserve">Assumption: Conscia generates the Config ID. If Lovesac requires a specific ID format or integration with an existing order management system, this needs to be defined before the Config ID Creation endpoint is built.</w:t>
            </w:r>
          </w:p>
        </w:tc>
      </w:tr>
      <w:tr>
        <w:tc>
          <w:tcPr>
            <w:tcW w:type="dxa" w:w="400"/>
            <w:tcBorders>
              <w:top w:val="single" w:color="D1D5DB" w:sz="1"/>
              <w:left w:val="single" w:color="D1D5DB" w:sz="1"/>
              <w:bottom w:val="single" w:color="D1D5DB" w:sz="1"/>
              <w:right w:val="single" w:color="D1D5DB" w:sz="1"/>
            </w:tcBorders>
            <w:shd w:fill="F2F4F7" w:val="clear"/>
            <w:tcMar>
              <w:top w:type="dxa" w:w="80"/>
              <w:left w:type="dxa" w:w="120"/>
              <w:bottom w:type="dxa" w:w="80"/>
              <w:right w:type="dxa" w:w="120"/>
            </w:tcMar>
          </w:tcPr>
          <w:p>
            <w:r>
              <w:rPr>
                <w:rFonts w:ascii="Arial" w:cs="Arial" w:eastAsia="Arial" w:hAnsi="Arial"/>
                <w:color w:val="1F2937"/>
                <w:sz w:val="22"/>
                <w:szCs w:val="22"/>
              </w:rPr>
              <w:t xml:space="preserve">6</w:t>
            </w:r>
          </w:p>
        </w:tc>
        <w:tc>
          <w:tcPr>
            <w:tcW w:type="dxa" w:w="4200"/>
            <w:tcBorders>
              <w:top w:val="single" w:color="D1D5DB" w:sz="1"/>
              <w:left w:val="single" w:color="D1D5DB" w:sz="1"/>
              <w:bottom w:val="single" w:color="D1D5DB" w:sz="1"/>
              <w:right w:val="single" w:color="D1D5DB" w:sz="1"/>
            </w:tcBorders>
            <w:shd w:fill="F2F4F7" w:val="clear"/>
            <w:tcMar>
              <w:top w:type="dxa" w:w="80"/>
              <w:left w:type="dxa" w:w="120"/>
              <w:bottom w:type="dxa" w:w="80"/>
              <w:right w:type="dxa" w:w="120"/>
            </w:tcMar>
          </w:tcPr>
          <w:p>
            <w:r>
              <w:rPr>
                <w:rFonts w:ascii="Arial" w:cs="Arial" w:eastAsia="Arial" w:hAnsi="Arial"/>
                <w:color w:val="1F2937"/>
                <w:sz w:val="22"/>
                <w:szCs w:val="22"/>
              </w:rPr>
              <w:t xml:space="preserve">Is Quickship a real-time inventory status or a product type flag?</w:t>
            </w:r>
          </w:p>
        </w:tc>
        <w:tc>
          <w:tcPr>
            <w:tcW w:type="dxa" w:w="4760"/>
            <w:tcBorders>
              <w:top w:val="single" w:color="D1D5DB" w:sz="1"/>
              <w:left w:val="single" w:color="D1D5DB" w:sz="1"/>
              <w:bottom w:val="single" w:color="D1D5DB" w:sz="1"/>
              <w:right w:val="single" w:color="D1D5DB" w:sz="1"/>
            </w:tcBorders>
            <w:shd w:fill="F2F4F7" w:val="clear"/>
            <w:tcMar>
              <w:top w:type="dxa" w:w="80"/>
              <w:left w:type="dxa" w:w="120"/>
              <w:bottom w:type="dxa" w:w="80"/>
              <w:right w:type="dxa" w:w="120"/>
            </w:tcMar>
          </w:tcPr>
          <w:p>
            <w:r>
              <w:rPr>
                <w:rFonts w:ascii="Arial" w:cs="Arial" w:eastAsia="Arial" w:hAnsi="Arial"/>
                <w:color w:val="1F2937"/>
                <w:sz w:val="22"/>
                <w:szCs w:val="22"/>
              </w:rPr>
              <w:t xml:space="preserve">Currently modelled as a Type attribute (product classification). If Quickship reflects live inventory status, a different integration pattern is required.</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2"/>
                <w:szCs w:val="22"/>
              </w:rPr>
              <w:t xml:space="preserve">7</w:t>
            </w:r>
          </w:p>
        </w:tc>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2"/>
                <w:szCs w:val="22"/>
              </w:rPr>
              <w:t xml:space="preserve">What are the physical adjacency rules between Sactionals component types?</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2"/>
                <w:szCs w:val="22"/>
              </w:rPr>
              <w:t xml:space="preserve">The solution design includes a Component → Component COMPATIBLE_WITH same-collection 1:M Lookup Relationship to encode which component types can be placed next to each other in a configuration (e.g. which Side types are valid adjacent to which Seat types, whether Deep pieces can mix with standard pieces, orientation constraints on Angled Sides and Wedge Seats). These rules are not derivable from the SKU attribute catalog alone. Lovesac’s product team should provide either: (a) a component adjacency matrix, or (b) confirmation that within-series all component types connect freely (in which case only the series Field check is required and the Component → Component Relationship is not needed).</w:t>
            </w:r>
          </w:p>
        </w:tc>
      </w:tr>
    </w:tbl>
    <w:p>
      <w:pPr>
        <w:spacing w:after="240" w:before="0"/>
      </w:pP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1"/>
      </w:pBdr>
      <w:tabs>
        <w:tab w:val="right" w:pos="9360"/>
      </w:tabs>
    </w:pPr>
    <w:r>
      <w:rPr>
        <w:rFonts w:ascii="Arial" w:cs="Arial" w:eastAsia="Arial" w:hAnsi="Arial"/>
        <w:color w:val="D1D5DB"/>
        <w:sz w:val="18"/>
        <w:szCs w:val="18"/>
      </w:rPr>
      <w:t xml:space="preserve">March 2026</w:t>
    </w:r>
    <w:r>
      <w:rPr>
        <w:rFonts w:ascii="Arial" w:cs="Arial" w:eastAsia="Arial" w:hAnsi="Arial"/>
        <w:color w:val="D1D5DB"/>
        <w:sz w:val="18"/>
        <w:szCs w:val="18"/>
      </w:rPr>
      <w:t xml:space="preserve">	Page </w:t>
    </w:r>
    <w:r>
      <w:rPr>
        <w:rFonts w:ascii="Arial" w:cs="Arial" w:eastAsia="Arial" w:hAnsi="Arial"/>
        <w:color w:val="D1D5D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4" w:space="1"/>
      </w:pBdr>
      <w:tabs>
        <w:tab w:val="right" w:pos="9360"/>
      </w:tabs>
    </w:pPr>
    <w:r>
      <w:rPr>
        <w:rFonts w:ascii="Arial" w:cs="Arial" w:eastAsia="Arial" w:hAnsi="Arial"/>
        <w:color w:val="D1D5DB"/>
        <w:sz w:val="18"/>
        <w:szCs w:val="18"/>
      </w:rPr>
      <w:t xml:space="preserve">Lovesac  |  DX Graph &amp; DX Engine  |  Solution Design</w:t>
    </w:r>
    <w:r>
      <w:rPr>
        <w:rFonts w:ascii="Arial" w:cs="Arial" w:eastAsia="Arial" w:hAnsi="Arial"/>
        <w:color w:val="D1D5DB"/>
        <w:sz w:val="18"/>
        <w:szCs w:val="18"/>
      </w:rPr>
      <w:t xml:space="preserve">	Conscia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360"/>
      <w:outlineLvl w:val="0"/>
    </w:pPr>
    <w:rPr>
      <w:rFonts w:ascii="Arial" w:cs="Arial" w:eastAsia="Arial" w:hAnsi="Arial"/>
      <w:b/>
      <w:bCs/>
      <w:color w:val="1B4F8A"/>
      <w:sz w:val="36"/>
      <w:szCs w:val="36"/>
    </w:rPr>
  </w:style>
  <w:style w:type="paragraph" w:styleId="Heading2">
    <w:name w:val="Heading 2"/>
    <w:basedOn w:val="Normal"/>
    <w:next w:val="Normal"/>
    <w:qFormat/>
    <w:pPr>
      <w:spacing w:after="60" w:before="260"/>
      <w:outlineLvl w:val="1"/>
    </w:pPr>
    <w:rPr>
      <w:rFonts w:ascii="Arial" w:cs="Arial" w:eastAsia="Arial" w:hAnsi="Arial"/>
      <w:b/>
      <w:bCs/>
      <w:color w:val="2E75B6"/>
      <w:sz w:val="28"/>
      <w:szCs w:val="28"/>
    </w:rPr>
  </w:style>
  <w:style w:type="paragraph" w:styleId="Heading3">
    <w:name w:val="Heading 3"/>
    <w:basedOn w:val="Normal"/>
    <w:next w:val="Normal"/>
    <w:qFormat/>
    <w:pPr>
      <w:spacing w:after="60" w:before="200"/>
      <w:outlineLvl w:val="2"/>
    </w:pPr>
    <w:rPr>
      <w:rFonts w:ascii="Arial" w:cs="Arial" w:eastAsia="Arial" w:hAnsi="Arial"/>
      <w:b/>
      <w:bCs/>
      <w:color w:val="1F293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2026-03-27T04:50:32.438Z</dcterms:created>
  <dcterms:modified xsi:type="dcterms:W3CDTF">2026-03-27T04:50:32.439Z</dcterms:modified>
</cp:coreProperties>
</file>

<file path=docProps/custom.xml><?xml version="1.0" encoding="utf-8"?>
<Properties xmlns="http://schemas.openxmlformats.org/officeDocument/2006/custom-properties" xmlns:vt="http://schemas.openxmlformats.org/officeDocument/2006/docPropsVTypes"/>
</file>