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multi-Cancer</w:t>
      </w:r>
      <w:r>
        <w:t xml:space="preserve"> </w:t>
      </w:r>
      <w:r>
        <w:t xml:space="preserve">Early</w:t>
      </w:r>
      <w:r>
        <w:t xml:space="preserve"> </w:t>
      </w:r>
      <w:r>
        <w:t xml:space="preserve">Detection</w:t>
      </w:r>
      <w:r>
        <w:t xml:space="preserve"> </w:t>
      </w:r>
      <w:r>
        <w:t xml:space="preserve">screening</w:t>
      </w:r>
      <w:r>
        <w:t xml:space="preserve"> </w:t>
      </w:r>
      <w:r>
        <w:t xml:space="preserve">programme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 </w:t>
      </w:r>
      <w:r>
        <w:t xml:space="preserve">on</w:t>
      </w:r>
      <w:r>
        <w:t xml:space="preserve"> </w:t>
      </w:r>
      <w:r>
        <w:t xml:space="preserve">diagnostic</w:t>
      </w:r>
      <w:r>
        <w:t xml:space="preserve"> </w:t>
      </w:r>
      <w:r>
        <w:t xml:space="preserve">demand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modelling</w:t>
      </w:r>
      <w:r>
        <w:t xml:space="preserve"> </w:t>
      </w:r>
      <w:r>
        <w:t xml:space="preserve">study: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70%,</w:t>
      </w:r>
      <w:r>
        <w:t xml:space="preserve"> </w:t>
      </w:r>
      <w:r>
        <w:t xml:space="preserve">CSO</w:t>
      </w:r>
      <w:r>
        <w:t xml:space="preserve"> </w:t>
      </w:r>
      <w:r>
        <w:t xml:space="preserve">accuracy</w:t>
      </w:r>
      <w:r>
        <w:t xml:space="preserve"> </w:t>
      </w:r>
      <w:r>
        <w:t xml:space="preserve">0.85</w:t>
      </w:r>
    </w:p>
    <w:bookmarkStart w:id="20" w:name="X16e78d755492352b56ff624d9bb50b7153aa92c"/>
    <w:p>
      <w:pPr>
        <w:pStyle w:val="Heading2"/>
      </w:pPr>
      <w:r>
        <w:t xml:space="preserve">Results table 1: Increase in annual diagnostic modality usage in relation to English total usage for the period May 2023 to April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2.726 (3.659)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0.206 (0.277)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0.892 (1.194)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0.068 (0.09)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178800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0.446 (1.729)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0.034 (0.131)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63980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0.159 (0.62)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 (0.047)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0.507 (0.653)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0.038 (0.049)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0.166 (0.215)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 (0.016)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0.251 (0.323)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 (0.024)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0.102 (0.132)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 (0.01)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1.601 (2.081)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0.121 (0.158)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0.559 (0.728)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 (0.055)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0.051 (0.065)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 (0.032)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 (0.002)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0.201 (0.261)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0.074 (0.097)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 (0.007)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No. microscopically verified invasive cancers 2022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4.292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1.863 (2.429)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0.141 (0.184)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0.682 (0.892)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 (0.068)</w:t>
            </w:r>
          </w:p>
        </w:tc>
      </w:tr>
    </w:tbl>
    <w:bookmarkEnd w:id="20"/>
    <w:bookmarkStart w:id="24" w:name="Xe31f0f763537563dc1f0c9184d48de12830ef78"/>
    <w:p>
      <w:pPr>
        <w:pStyle w:val="Heading2"/>
      </w:pPr>
      <w:r>
        <w:t xml:space="preserve">Figure 1: NOT USED Monlthy time series of English diagnostic modality usage from April 2018 to April 2024</w:t>
      </w:r>
    </w:p>
    <w:p>
      <w:pPr>
        <w:pStyle w:val="FirstParagraph"/>
      </w:pPr>
      <w:r>
        <w:drawing>
          <wp:inline>
            <wp:extent cx="5334000" cy="74676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2_1CSOanalysis_Quarto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a multi-Cancer Early Detection screening programme in England on diagnostic demand - a modelling study: Uptake scenario 70%, CSO accuracy 0.85</dc:title>
  <dc:creator/>
  <cp:keywords/>
  <dcterms:created xsi:type="dcterms:W3CDTF">2025-01-22T09:59:05Z</dcterms:created>
  <dcterms:modified xsi:type="dcterms:W3CDTF">2025-01-22T09:59:05Z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ormat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