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</w:t>
      </w:r>
    </w:p>
    <w:bookmarkStart w:id="23" w:name="X693e756aba829147b96a67475dd621b0803f977"/>
    <w:p>
      <w:pPr>
        <w:pStyle w:val="Heading2"/>
      </w:pPr>
      <w:r>
        <w:t xml:space="preserve">Figure 1: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CSOanalysis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928c4317f6ca82b7aaaa1e0da636a9b20e9640b"/>
    <w:p>
      <w:pPr>
        <w:pStyle w:val="Heading2"/>
      </w:pPr>
      <w:r>
        <w:t xml:space="preserve">Results table 1: Increase in annual diagnostic modality usage in relation to English total usage for the period May 2023 to Aprial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19793.3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7267.1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38761.1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141613.3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50487.5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9074.9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37265.9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</w:tbl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</dc:title>
  <dc:creator/>
  <cp:keywords/>
  <dcterms:created xsi:type="dcterms:W3CDTF">2024-10-03T12:48:27Z</dcterms:created>
  <dcterms:modified xsi:type="dcterms:W3CDTF">2024-10-03T12:48:27Z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