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7ABB4BC" w:rsidRDefault="006A72ED" w14:paraId="25CCD8BB" w14:textId="7460E852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Pr="006A72ED" w:rsidR="006A72ED">
        <w:rPr>
          <w:lang w:val="en-US"/>
        </w:rPr>
        <w:t xml:space="preserve"> 1. </w:t>
      </w:r>
      <w:r w:rsidRPr="006A72ED" w:rsidR="3FBC899E">
        <w:rPr>
          <w:lang w:val="en-US"/>
        </w:rPr>
        <w:t xml:space="preserve">Graph Coloring Algorithm</w:t>
      </w:r>
    </w:p>
    <w:p w:rsidRPr="00F542A7" w:rsidR="0082110D" w:rsidP="07ABB4BC" w:rsidRDefault="006A72ED" w14:paraId="48E22BE0" w14:textId="6D9CE4FE">
      <w:pPr>
        <w:pStyle w:val="Prrafodelista"/>
        <w:numPr>
          <w:ilvl w:val="0"/>
          <w:numId w:val="46"/>
        </w:numPr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</w:pPr>
      <w:r w:rsidRPr="07ABB4BC" w:rsidR="3FBC899E"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  <w:t>Implement the module graph_colouring.py, so that we can calculate a solution and visualize it with the provided Python module.</w:t>
      </w:r>
    </w:p>
    <w:p w:rsidRPr="00F542A7" w:rsidR="0082110D" w:rsidP="07ABB4BC" w:rsidRDefault="006A72ED" w14:paraId="3D682A28" w14:textId="54F54A7F">
      <w:pPr>
        <w:pStyle w:val="Prrafodelista"/>
        <w:ind w:left="720"/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</w:pPr>
      <w:r w:rsidRPr="7D07071B" w:rsidR="3FBC899E"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  <w:t>Explain the time complexity of the implemented algorithm.</w:t>
      </w:r>
    </w:p>
    <w:p w:rsidR="7D07071B" w:rsidP="7D07071B" w:rsidRDefault="7D07071B" w14:paraId="7DA59112" w14:textId="57CD99D4">
      <w:pPr>
        <w:pStyle w:val="Normal"/>
        <w:ind w:left="0"/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</w:pPr>
    </w:p>
    <w:p w:rsidRPr="00F542A7" w:rsidR="0082110D" w:rsidP="07ABB4BC" w:rsidRDefault="006A72ED" w14:paraId="632BD315" w14:textId="272606BF">
      <w:pPr>
        <w:pStyle w:val="Normal"/>
        <w:ind w:left="0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  <w:r w:rsidRPr="7D07071B" w:rsidR="3FBC899E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It’s</w:t>
      </w:r>
      <w:r w:rsidRPr="7D07071B" w:rsidR="195CB6B3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 linear, </w:t>
      </w:r>
      <w:r w:rsidRPr="7D07071B" w:rsidR="195CB6B3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roughly O</w:t>
      </w:r>
      <w:r w:rsidRPr="7D07071B" w:rsidR="195CB6B3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(8n</w:t>
      </w:r>
      <w:r w:rsidRPr="7D07071B" w:rsidR="0730D160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). It first sets every node’s color to red, </w:t>
      </w:r>
      <w:r w:rsidRPr="7D07071B" w:rsidR="5A7B7C19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and then it loops through them, </w:t>
      </w:r>
      <w:r w:rsidRPr="7D07071B" w:rsidR="34A653E0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removing the colors of their neighbors from a list of </w:t>
      </w:r>
      <w:r w:rsidRPr="7D07071B" w:rsidR="34A653E0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possible colors</w:t>
      </w:r>
      <w:r w:rsidRPr="7D07071B" w:rsidR="34A653E0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, and then setting their own as the first r</w:t>
      </w:r>
      <w:r w:rsidRPr="7D07071B" w:rsidR="0A43A5E4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emaining</w:t>
      </w:r>
      <w:r w:rsidRPr="7D07071B" w:rsidR="34A653E0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 entry in that list.</w:t>
      </w:r>
    </w:p>
    <w:p w:rsidR="7D07071B" w:rsidP="7D07071B" w:rsidRDefault="7D07071B" w14:paraId="6E5C09C7" w14:textId="39849B37">
      <w:pPr>
        <w:pStyle w:val="Normal"/>
        <w:ind w:left="0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195CB6B3" w:rsidP="7D07071B" w:rsidRDefault="195CB6B3" w14:paraId="7A62CBA8" w14:textId="2A86CEC7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  <w:r w:rsidR="195CB6B3">
        <w:drawing>
          <wp:inline wp14:editId="3EC61A4D" wp14:anchorId="423F198E">
            <wp:extent cx="5581648" cy="2076450"/>
            <wp:effectExtent l="0" t="0" r="0" b="0"/>
            <wp:docPr id="4712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4c17ea0a6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7071B" w:rsidP="7D07071B" w:rsidRDefault="7D07071B" w14:paraId="5F3CE9CF" w14:textId="1B978C11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7D07071B" w:rsidP="7D07071B" w:rsidRDefault="7D07071B" w14:paraId="4133AD3A" w14:textId="63BD01D4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7D07071B" w:rsidP="7D07071B" w:rsidRDefault="7D07071B" w14:paraId="3014EAF5" w14:textId="4D9EBDD2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7D07071B" w:rsidP="7D07071B" w:rsidRDefault="7D07071B" w14:paraId="260B7758" w14:textId="1FD6B366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7D07071B" w:rsidP="7D07071B" w:rsidRDefault="7D07071B" w14:paraId="1D506643" w14:textId="0C5BBFE2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7D07071B" w:rsidP="7D07071B" w:rsidRDefault="7D07071B" w14:paraId="77E9CD51" w14:textId="2FF8E659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7D07071B" w:rsidP="7D07071B" w:rsidRDefault="7D07071B" w14:paraId="4042510D" w14:textId="71AE8CD2">
      <w:pPr>
        <w:ind w:left="0"/>
        <w:jc w:val="center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="3FBC899E" w:rsidP="7D07071B" w:rsidRDefault="3FBC899E" w14:paraId="240936C1" w14:textId="72690E34">
      <w:pPr>
        <w:pStyle w:val="Prrafodelista"/>
        <w:numPr>
          <w:ilvl w:val="0"/>
          <w:numId w:val="48"/>
        </w:numPr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</w:pPr>
      <w:r w:rsidRPr="7D07071B" w:rsidR="3FBC899E"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  <w:t xml:space="preserve">Implement a module greedy_times.py, using the graphs contained in sols and calculating the time it takes for the algorithm done in the </w:t>
      </w:r>
      <w:r w:rsidRPr="7D07071B" w:rsidR="3FBC899E"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  <w:t>previous</w:t>
      </w:r>
      <w:r w:rsidRPr="7D07071B" w:rsidR="3FBC899E"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  <w:t xml:space="preserve"> section to solve the problem, so that the following table can be filled in.</w:t>
      </w:r>
    </w:p>
    <w:p w:rsidR="7D07071B" w:rsidP="7D07071B" w:rsidRDefault="7D07071B" w14:paraId="2CFD1734" w14:textId="5C78EC1D">
      <w:pPr>
        <w:pStyle w:val="Normal"/>
        <w:ind w:left="0"/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</w:pPr>
    </w:p>
    <w:p w:rsidRPr="00F542A7" w:rsidR="0082110D" w:rsidP="07ABB4BC" w:rsidRDefault="006A72ED" w14:paraId="7E02C025" w14:textId="3F395362">
      <w:pPr>
        <w:ind w:left="0"/>
        <w:jc w:val="center"/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</w:pPr>
      <w:r w:rsidR="6F7AEE7E">
        <w:drawing>
          <wp:inline wp14:editId="48FC5233" wp14:anchorId="642003C0">
            <wp:extent cx="2590933" cy="4299171"/>
            <wp:effectExtent l="0" t="0" r="0" b="0"/>
            <wp:docPr id="850939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6ff437413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42A7" w:rsidR="0082110D" w:rsidP="7D07071B" w:rsidRDefault="006A72ED" w14:paraId="15458574" w14:textId="6CF99E45">
      <w:pPr>
        <w:pStyle w:val="Prrafodelista"/>
        <w:numPr>
          <w:ilvl w:val="0"/>
          <w:numId w:val="49"/>
        </w:numPr>
        <w:ind/>
        <w:rPr>
          <w:rFonts w:ascii="Calibri" w:hAnsi="Calibri" w:eastAsia="Times New Roman" w:cs="Times New Roman"/>
          <w:noProof w:val="0"/>
          <w:color w:val="333333"/>
          <w:sz w:val="24"/>
          <w:szCs w:val="24"/>
          <w:lang w:val="en-US"/>
        </w:rPr>
      </w:pPr>
      <w:r w:rsidRPr="7D07071B" w:rsidR="3FBC899E">
        <w:rPr>
          <w:rFonts w:ascii="Calibri" w:hAnsi="Calibri" w:eastAsia="Times New Roman" w:cs="Times New Roman"/>
          <w:noProof w:val="0"/>
          <w:color w:val="FF0000"/>
          <w:sz w:val="24"/>
          <w:szCs w:val="24"/>
          <w:lang w:val="en-US"/>
        </w:rPr>
        <w:t>Does the previously calculated complexity follow the times in the table?</w:t>
      </w:r>
    </w:p>
    <w:p w:rsidR="7D07071B" w:rsidP="7D07071B" w:rsidRDefault="7D07071B" w14:paraId="6095B89F" w14:textId="744AFD92">
      <w:pPr>
        <w:pStyle w:val="Normal"/>
        <w:ind w:left="0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</w:p>
    <w:p w:rsidRPr="0082110D" w:rsidR="006A72ED" w:rsidP="7D07071B" w:rsidRDefault="006A72ED" w14:paraId="7C6065FB" w14:textId="7545D190">
      <w:pPr>
        <w:pStyle w:val="Normal"/>
        <w:ind w:left="0"/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</w:pPr>
      <w:r w:rsidRPr="7D07071B" w:rsidR="53C1C96E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It does; the times </w:t>
      </w:r>
      <w:r w:rsidRPr="7D07071B" w:rsidR="53C1C96E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exhibit</w:t>
      </w:r>
      <w:r w:rsidRPr="7D07071B" w:rsidR="53C1C96E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7D07071B" w:rsidR="4DD3E388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>linear growth.</w:t>
      </w:r>
      <w:r w:rsidRPr="7D07071B" w:rsidR="6C397274">
        <w:rPr>
          <w:rFonts w:ascii="Calibri" w:hAnsi="Calibri" w:eastAsia="Times New Roman" w:cs="Times New Roman"/>
          <w:noProof w:val="0"/>
          <w:color w:val="auto"/>
          <w:sz w:val="24"/>
          <w:szCs w:val="24"/>
          <w:lang w:val="en-US"/>
        </w:rPr>
        <w:t xml:space="preserve"> Each time the number of nodes (n) doubles, the time doubles with it.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679A176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6EEE3B9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69C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6EEE3B9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669C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0A0B386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79CD0BAA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413"/>
      <w:gridCol w:w="1843"/>
    </w:tblGrid>
    <w:tr w:rsidRPr="00472B27" w:rsidR="006A72ED" w:rsidTr="07ABB4BC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006758C8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Pr="00472B27" w:rsidR="006A72ED" w:rsidTr="07ABB4BC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E4E83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7ABB4BC" w:rsidRDefault="007669CC" w14:paraId="6A7A5CFC" w14:textId="693D16C2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r w:rsidRPr="07ABB4BC" w:rsidR="07ABB4BC">
            <w:rPr>
              <w:rFonts w:ascii="Calibri" w:hAnsi="Calibri" w:asciiTheme="minorAscii" w:hAnsiTheme="minorAscii"/>
            </w:rPr>
            <w:t>13</w:t>
          </w:r>
          <w:r w:rsidRPr="07ABB4BC" w:rsidR="07ABB4BC">
            <w:rPr>
              <w:rFonts w:ascii="Calibri" w:hAnsi="Calibri" w:asciiTheme="minorAscii" w:hAnsiTheme="minorAscii"/>
            </w:rPr>
            <w:t>-</w:t>
          </w:r>
          <w:r w:rsidRPr="07ABB4BC" w:rsidR="07ABB4BC">
            <w:rPr>
              <w:rFonts w:ascii="Calibri" w:hAnsi="Calibri" w:asciiTheme="minorAscii" w:hAnsiTheme="minorAscii"/>
            </w:rPr>
            <w:t>03</w:t>
          </w:r>
          <w:r w:rsidRPr="07ABB4BC" w:rsidR="07ABB4BC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07ABB4BC" w:rsidRDefault="007669CC" w14:paraId="6BF4C0A9" w14:textId="7284AEB2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  <w:bookmarkStart w:name="_GoBack" w:id="1"/>
          <w:bookmarkEnd w:id="1"/>
          <w:r w:rsidRPr="07ABB4BC" w:rsidR="07ABB4BC">
            <w:rPr>
              <w:rFonts w:ascii="Calibri" w:hAnsi="Calibri" w:asciiTheme="minorAscii" w:hAnsiTheme="minorAscii"/>
            </w:rPr>
            <w:t>4</w:t>
          </w:r>
        </w:p>
      </w:tc>
    </w:tr>
    <w:tr w:rsidRPr="00472B27" w:rsidR="006A72ED" w:rsidTr="07ABB4BC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E4E83">
            <w:rPr>
              <w:sz w:val="22"/>
              <w:szCs w:val="22"/>
            </w:rPr>
            <w:t>Cabo 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009C1CA9" w:rsidRDefault="006A72ED" w14:paraId="43F29D40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009C1CA9" w:rsidRDefault="006A72ED" w14:paraId="5D1BC89A" w14:textId="77777777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Tr="07ABB4BC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E4E83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>
          <w:pPr>
            <w:pStyle w:val="Encabezado"/>
          </w:pPr>
        </w:p>
      </w:tc>
    </w:tr>
  </w:tbl>
  <w:p w:rsidR="00A90972" w:rsidRDefault="00A90972" w14:paraId="42958F62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9CC" w:rsidRDefault="007669CC" w14:paraId="59DCB0F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7">
    <w:nsid w:val="18740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adeb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a1e6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7543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9d0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0dcf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b63d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2BFC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1D564C8"/>
    <w:rsid w:val="0730D160"/>
    <w:rsid w:val="07ABB4BC"/>
    <w:rsid w:val="09156F6D"/>
    <w:rsid w:val="0A43A5E4"/>
    <w:rsid w:val="0B14DC93"/>
    <w:rsid w:val="0C1B809E"/>
    <w:rsid w:val="0D001BA1"/>
    <w:rsid w:val="0EF0E9D3"/>
    <w:rsid w:val="11C8503A"/>
    <w:rsid w:val="1836BD63"/>
    <w:rsid w:val="195CB6B3"/>
    <w:rsid w:val="27DB321E"/>
    <w:rsid w:val="34A653E0"/>
    <w:rsid w:val="379C2423"/>
    <w:rsid w:val="3B8CD4AF"/>
    <w:rsid w:val="3FBC899E"/>
    <w:rsid w:val="42109A9F"/>
    <w:rsid w:val="46CE8973"/>
    <w:rsid w:val="4ABD1305"/>
    <w:rsid w:val="4BC3B59F"/>
    <w:rsid w:val="4DD3E388"/>
    <w:rsid w:val="53C1C96E"/>
    <w:rsid w:val="5A7B7C19"/>
    <w:rsid w:val="5A869883"/>
    <w:rsid w:val="5B51A168"/>
    <w:rsid w:val="5DB5339E"/>
    <w:rsid w:val="63081277"/>
    <w:rsid w:val="684D3F3D"/>
    <w:rsid w:val="6C397274"/>
    <w:rsid w:val="6F7AEE7E"/>
    <w:rsid w:val="7D0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1">
    <w:name w:val="Nota al pie"/>
    <w:basedOn w:val="Normal"/>
    <w:uiPriority w:val="21"/>
    <w:qFormat/>
    <w:rsid w:val="00002FE1"/>
    <w:rPr>
      <w:sz w:val="16"/>
      <w:szCs w:val="14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1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color="0098CD" w:sz="4" w:space="4"/>
        <w:bottom w:val="single" w:color="0098CD" w:sz="4" w:space="0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1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openxmlformats.org/officeDocument/2006/relationships/image" Target="/media/image2.png" Id="Rd696ff4374134dc2" /><Relationship Type="http://schemas.openxmlformats.org/officeDocument/2006/relationships/image" Target="/media/image3.png" Id="R70c4c17ea0a6465e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E41A-7C67-46F2-9CC1-C3CA8EECB0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15</revision>
  <lastPrinted>2017-09-08T09:41:00.0000000Z</lastPrinted>
  <dcterms:created xsi:type="dcterms:W3CDTF">2018-10-11T18:09:00.0000000Z</dcterms:created>
  <dcterms:modified xsi:type="dcterms:W3CDTF">2025-03-19T09:14:10.6828110Z</dcterms:modified>
</coreProperties>
</file>