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NEXUS</w:t>
      </w:r>
    </w:p>
    <w:p>
      <w:pPr>
        <w:jc w:val="center"/>
      </w:pPr>
      <w:r>
        <w:rPr>
          <w:b/>
          <w:sz w:val="28"/>
        </w:rPr>
        <w:t>Neural Executive Xperiment for Unified Software Automation</w:t>
      </w:r>
    </w:p>
    <w:p>
      <w:pPr>
        <w:jc w:val="center"/>
      </w:pPr>
      <w:r>
        <w:t>ITSC 4681 — Project 2 Report</w:t>
      </w:r>
    </w:p>
    <w:p>
      <w:r>
        <w:br w:type="page"/>
      </w:r>
    </w:p>
    <w:p>
      <w:pPr>
        <w:pStyle w:val="Heading1"/>
      </w:pPr>
      <w:r>
        <w:t>1. System Specification &amp; Architecture</w:t>
      </w:r>
    </w:p>
    <w:p>
      <w:pPr>
        <w:pStyle w:val="Heading2"/>
      </w:pPr>
      <w:r>
        <w:t>Goal</w:t>
      </w:r>
    </w:p>
    <w:p>
      <w:r>
        <w:t>NEXUS is a command-line coding assistant that behaves like an autonomous agent rather than a chatbot. The user provides a task once, and the system keeps reasoning, invoking tools, observing results, and continuing until it finishes or reaches a safe stopping condition.</w:t>
      </w:r>
    </w:p>
    <w:p>
      <w:r>
        <w:t xml:space="preserve">The PNG above (generated by </w:t>
      </w:r>
      <w:r>
        <w:rPr>
          <w:rFonts w:ascii="Courier New" w:hAnsi="Courier New"/>
          <w:color w:val="C0392B"/>
          <w:sz w:val="20"/>
        </w:rPr>
        <w:t>scripts/generate_diagrams.py</w:t>
      </w:r>
      <w:r>
        <w:t>) shows the final implementation architecture. The Mermaid flowcharts below are the canonical planning and implementation records.</w:t>
      </w:r>
    </w:p>
    <w:p>
      <w:pPr>
        <w:pStyle w:val="Heading2"/>
      </w:pPr>
      <w:r>
        <w:t>Original Planning Architecture</w:t>
      </w:r>
    </w:p>
    <w:p>
      <w:pPr>
        <w:spacing w:before="20" w:after="20"/>
        <w:ind w:left="432"/>
      </w:pPr>
      <w:r>
        <w:rPr>
          <w:rFonts w:ascii="Courier New" w:hAnsi="Courier New"/>
          <w:color w:val="333333"/>
          <w:sz w:val="18"/>
        </w:rPr>
        <w:t>flowchart LR</w:t>
      </w:r>
    </w:p>
    <w:p>
      <w:pPr>
        <w:spacing w:before="20" w:after="20"/>
        <w:ind w:left="432"/>
      </w:pPr>
      <w:r>
        <w:rPr>
          <w:rFonts w:ascii="Courier New" w:hAnsi="Courier New"/>
          <w:color w:val="333333"/>
          <w:sz w:val="18"/>
        </w:rPr>
        <w:t xml:space="preserve">    User["User"] --&gt; CLI["CLI REPL"]</w:t>
      </w:r>
    </w:p>
    <w:p>
      <w:pPr>
        <w:spacing w:before="20" w:after="20"/>
        <w:ind w:left="432"/>
      </w:pPr>
      <w:r>
        <w:rPr>
          <w:rFonts w:ascii="Courier New" w:hAnsi="Courier New"/>
          <w:color w:val="333333"/>
          <w:sz w:val="18"/>
        </w:rPr>
        <w:t xml:space="preserve">    CLI --&gt; Agent["Agentic Loop"]</w:t>
      </w:r>
    </w:p>
    <w:p>
      <w:pPr>
        <w:spacing w:before="20" w:after="20"/>
        <w:ind w:left="432"/>
      </w:pPr>
      <w:r>
        <w:rPr>
          <w:rFonts w:ascii="Courier New" w:hAnsi="Courier New"/>
          <w:color w:val="333333"/>
          <w:sz w:val="18"/>
        </w:rPr>
        <w:t xml:space="preserve">    Agent --&gt; Provider["LLM Provider Layer"]</w:t>
      </w:r>
    </w:p>
    <w:p>
      <w:pPr>
        <w:spacing w:before="20" w:after="20"/>
        <w:ind w:left="432"/>
      </w:pPr>
      <w:r>
        <w:rPr>
          <w:rFonts w:ascii="Courier New" w:hAnsi="Courier New"/>
          <w:color w:val="333333"/>
          <w:sz w:val="18"/>
        </w:rPr>
        <w:t xml:space="preserve">    Provider --&gt; Groq["Groq / Cloud Model"]</w:t>
      </w:r>
    </w:p>
    <w:p>
      <w:pPr>
        <w:spacing w:before="20" w:after="20"/>
        <w:ind w:left="432"/>
      </w:pPr>
      <w:r>
        <w:rPr>
          <w:rFonts w:ascii="Courier New" w:hAnsi="Courier New"/>
          <w:color w:val="333333"/>
          <w:sz w:val="18"/>
        </w:rPr>
        <w:t xml:space="preserve">    Provider --&gt; Ollama["Ollama / Local Model"]</w:t>
      </w:r>
    </w:p>
    <w:p>
      <w:pPr>
        <w:spacing w:before="20" w:after="20"/>
        <w:ind w:left="432"/>
      </w:pPr>
      <w:r>
        <w:rPr>
          <w:rFonts w:ascii="Courier New" w:hAnsi="Courier New"/>
          <w:color w:val="333333"/>
          <w:sz w:val="18"/>
        </w:rPr>
        <w:t xml:space="preserve">    Agent --&gt; MCP["MCP Client"]</w:t>
      </w:r>
    </w:p>
    <w:p>
      <w:pPr>
        <w:spacing w:before="20" w:after="20"/>
        <w:ind w:left="432"/>
      </w:pPr>
      <w:r>
        <w:rPr>
          <w:rFonts w:ascii="Courier New" w:hAnsi="Courier New"/>
          <w:color w:val="333333"/>
          <w:sz w:val="18"/>
        </w:rPr>
        <w:t xml:space="preserve">    MCP --&gt; FS["Filesystem MCP Server"]</w:t>
      </w:r>
    </w:p>
    <w:p>
      <w:pPr>
        <w:spacing w:before="20" w:after="20"/>
        <w:ind w:left="432"/>
      </w:pPr>
      <w:r>
        <w:rPr>
          <w:rFonts w:ascii="Courier New" w:hAnsi="Courier New"/>
          <w:color w:val="333333"/>
          <w:sz w:val="18"/>
        </w:rPr>
        <w:t xml:space="preserve">    MCP --&gt; Search["External Search MCP Server"]</w:t>
      </w:r>
    </w:p>
    <w:p>
      <w:pPr>
        <w:spacing w:before="20" w:after="20"/>
        <w:ind w:left="432"/>
      </w:pPr>
      <w:r>
        <w:rPr>
          <w:rFonts w:ascii="Courier New" w:hAnsi="Courier New"/>
          <w:color w:val="333333"/>
          <w:sz w:val="18"/>
        </w:rPr>
        <w:t xml:space="preserve">    MCP --&gt; RAG["Local RAG MCP Server"]</w:t>
      </w:r>
    </w:p>
    <w:p>
      <w:pPr>
        <w:spacing w:before="20" w:after="20"/>
        <w:ind w:left="432"/>
      </w:pPr>
      <w:r>
        <w:rPr>
          <w:rFonts w:ascii="Courier New" w:hAnsi="Courier New"/>
          <w:color w:val="333333"/>
          <w:sz w:val="18"/>
        </w:rPr>
        <w:t xml:space="preserve">    Agent --&gt; Session["Session Store"]</w:t>
      </w:r>
    </w:p>
    <w:p>
      <w:pPr>
        <w:pStyle w:val="Heading2"/>
      </w:pPr>
      <w:r>
        <w:t>Updated Implementation Architecture</w:t>
      </w:r>
    </w:p>
    <w:p>
      <w:pPr>
        <w:spacing w:before="20" w:after="20"/>
        <w:ind w:left="432"/>
      </w:pPr>
      <w:r>
        <w:rPr>
          <w:rFonts w:ascii="Courier New" w:hAnsi="Courier New"/>
          <w:color w:val="333333"/>
          <w:sz w:val="18"/>
        </w:rPr>
        <w:t>flowchart LR</w:t>
      </w:r>
    </w:p>
    <w:p>
      <w:pPr>
        <w:spacing w:before="20" w:after="20"/>
        <w:ind w:left="432"/>
      </w:pPr>
      <w:r>
        <w:rPr>
          <w:rFonts w:ascii="Courier New" w:hAnsi="Courier New"/>
          <w:color w:val="333333"/>
          <w:sz w:val="18"/>
        </w:rPr>
        <w:t xml:space="preserve">    User["User"] --&gt; REPL["REPLInterface"]</w:t>
      </w:r>
    </w:p>
    <w:p>
      <w:pPr>
        <w:spacing w:before="20" w:after="20"/>
        <w:ind w:left="432"/>
      </w:pPr>
      <w:r>
        <w:rPr>
          <w:rFonts w:ascii="Courier New" w:hAnsi="Courier New"/>
          <w:color w:val="333333"/>
          <w:sz w:val="18"/>
        </w:rPr>
        <w:t xml:space="preserve">    REPL --&gt; Agent["Agent.execute()"]</w:t>
      </w:r>
    </w:p>
    <w:p>
      <w:pPr>
        <w:spacing w:before="20" w:after="20"/>
        <w:ind w:left="432"/>
      </w:pPr>
      <w:r>
        <w:rPr>
          <w:rFonts w:ascii="Courier New" w:hAnsi="Courier New"/>
          <w:color w:val="333333"/>
          <w:sz w:val="18"/>
        </w:rPr>
        <w:t xml:space="preserve">    REPL --&gt; Store["SessionStore"]</w:t>
      </w:r>
    </w:p>
    <w:p>
      <w:pPr>
        <w:spacing w:before="20" w:after="20"/>
        <w:ind w:left="432"/>
      </w:pPr>
      <w:r>
        <w:rPr>
          <w:rFonts w:ascii="Courier New" w:hAnsi="Courier New"/>
          <w:color w:val="333333"/>
          <w:sz w:val="18"/>
        </w:rPr>
        <w:t xml:space="preserve">    Store --&gt; Disk["JSON session files"]</w:t>
      </w:r>
    </w:p>
    <w:p>
      <w:pPr>
        <w:spacing w:before="20" w:after="20"/>
        <w:ind w:left="432"/>
      </w:pPr>
      <w:r>
        <w:rPr>
          <w:rFonts w:ascii="Courier New" w:hAnsi="Courier New"/>
          <w:color w:val="333333"/>
          <w:sz w:val="18"/>
        </w:rPr>
        <w:t xml:space="preserve"> </w:t>
      </w:r>
    </w:p>
    <w:p>
      <w:pPr>
        <w:spacing w:before="20" w:after="20"/>
        <w:ind w:left="432"/>
      </w:pPr>
      <w:r>
        <w:rPr>
          <w:rFonts w:ascii="Courier New" w:hAnsi="Courier New"/>
          <w:color w:val="333333"/>
          <w:sz w:val="18"/>
        </w:rPr>
        <w:t xml:space="preserve">    Agent --&gt; Session["SessionContext"]</w:t>
      </w:r>
    </w:p>
    <w:p>
      <w:pPr>
        <w:spacing w:before="20" w:after="20"/>
        <w:ind w:left="432"/>
      </w:pPr>
      <w:r>
        <w:rPr>
          <w:rFonts w:ascii="Courier New" w:hAnsi="Courier New"/>
          <w:color w:val="333333"/>
          <w:sz w:val="18"/>
        </w:rPr>
        <w:t xml:space="preserve">    Agent --&gt; Provider["LLMProvider"]</w:t>
      </w:r>
    </w:p>
    <w:p>
      <w:pPr>
        <w:spacing w:before="20" w:after="20"/>
        <w:ind w:left="432"/>
      </w:pPr>
      <w:r>
        <w:rPr>
          <w:rFonts w:ascii="Courier New" w:hAnsi="Courier New"/>
          <w:color w:val="333333"/>
          <w:sz w:val="18"/>
        </w:rPr>
        <w:t xml:space="preserve">    Agent --&gt; Executor["MCPToolExecutor"]</w:t>
      </w:r>
    </w:p>
    <w:p>
      <w:pPr>
        <w:spacing w:before="20" w:after="20"/>
        <w:ind w:left="432"/>
      </w:pPr>
      <w:r>
        <w:rPr>
          <w:rFonts w:ascii="Courier New" w:hAnsi="Courier New"/>
          <w:color w:val="333333"/>
          <w:sz w:val="18"/>
        </w:rPr>
        <w:t xml:space="preserve">    Agent --&gt; Retry["RetryManager / CircuitBreaker"]</w:t>
      </w:r>
    </w:p>
    <w:p>
      <w:pPr>
        <w:spacing w:before="20" w:after="20"/>
        <w:ind w:left="432"/>
      </w:pPr>
      <w:r>
        <w:rPr>
          <w:rFonts w:ascii="Courier New" w:hAnsi="Courier New"/>
          <w:color w:val="333333"/>
          <w:sz w:val="18"/>
        </w:rPr>
        <w:t xml:space="preserve"> </w:t>
      </w:r>
    </w:p>
    <w:p>
      <w:pPr>
        <w:spacing w:before="20" w:after="20"/>
        <w:ind w:left="432"/>
      </w:pPr>
      <w:r>
        <w:rPr>
          <w:rFonts w:ascii="Courier New" w:hAnsi="Courier New"/>
          <w:color w:val="333333"/>
          <w:sz w:val="18"/>
        </w:rPr>
        <w:t xml:space="preserve">    Provider --&gt; Groq["GroqProvider"]</w:t>
      </w:r>
    </w:p>
    <w:p>
      <w:pPr>
        <w:spacing w:before="20" w:after="20"/>
        <w:ind w:left="432"/>
      </w:pPr>
      <w:r>
        <w:rPr>
          <w:rFonts w:ascii="Courier New" w:hAnsi="Courier New"/>
          <w:color w:val="333333"/>
          <w:sz w:val="18"/>
        </w:rPr>
        <w:t xml:space="preserve">    Provider --&gt; Ollama["OllamaProvider"]</w:t>
      </w:r>
    </w:p>
    <w:p>
      <w:pPr>
        <w:spacing w:before="20" w:after="20"/>
        <w:ind w:left="432"/>
      </w:pPr>
      <w:r>
        <w:rPr>
          <w:rFonts w:ascii="Courier New" w:hAnsi="Courier New"/>
          <w:color w:val="333333"/>
          <w:sz w:val="18"/>
        </w:rPr>
        <w:t xml:space="preserve"> </w:t>
      </w:r>
    </w:p>
    <w:p>
      <w:pPr>
        <w:spacing w:before="20" w:after="20"/>
        <w:ind w:left="432"/>
      </w:pPr>
      <w:r>
        <w:rPr>
          <w:rFonts w:ascii="Courier New" w:hAnsi="Courier New"/>
          <w:color w:val="333333"/>
          <w:sz w:val="18"/>
        </w:rPr>
        <w:t xml:space="preserve">    Executor --&gt; MCP["MCPClientManager"]</w:t>
      </w:r>
    </w:p>
    <w:p>
      <w:pPr>
        <w:spacing w:before="20" w:after="20"/>
        <w:ind w:left="432"/>
      </w:pPr>
      <w:r>
        <w:rPr>
          <w:rFonts w:ascii="Courier New" w:hAnsi="Courier New"/>
          <w:color w:val="333333"/>
          <w:sz w:val="18"/>
        </w:rPr>
        <w:t xml:space="preserve">    MCP --&gt; FS["Official Filesystem MCP"]</w:t>
      </w:r>
    </w:p>
    <w:p>
      <w:pPr>
        <w:spacing w:before="20" w:after="20"/>
        <w:ind w:left="432"/>
      </w:pPr>
      <w:r>
        <w:rPr>
          <w:rFonts w:ascii="Courier New" w:hAnsi="Courier New"/>
          <w:color w:val="333333"/>
          <w:sz w:val="18"/>
        </w:rPr>
        <w:t xml:space="preserve">    MCP --&gt; Search["Tavily Remote MCP"]</w:t>
      </w:r>
    </w:p>
    <w:p>
      <w:pPr>
        <w:spacing w:before="20" w:after="20"/>
        <w:ind w:left="432"/>
      </w:pPr>
      <w:r>
        <w:rPr>
          <w:rFonts w:ascii="Courier New" w:hAnsi="Courier New"/>
          <w:color w:val="333333"/>
          <w:sz w:val="18"/>
        </w:rPr>
        <w:t xml:space="preserve">    MCP --&gt; RAG["Local RAG stdio MCP"]</w:t>
      </w:r>
    </w:p>
    <w:p>
      <w:pPr>
        <w:spacing w:before="20" w:after="20"/>
        <w:ind w:left="432"/>
      </w:pPr>
      <w:r>
        <w:rPr>
          <w:rFonts w:ascii="Courier New" w:hAnsi="Courier New"/>
          <w:color w:val="333333"/>
          <w:sz w:val="18"/>
        </w:rPr>
        <w:t xml:space="preserve"> </w:t>
      </w:r>
    </w:p>
    <w:p>
      <w:pPr>
        <w:spacing w:before="20" w:after="20"/>
        <w:ind w:left="432"/>
      </w:pPr>
      <w:r>
        <w:rPr>
          <w:rFonts w:ascii="Courier New" w:hAnsi="Courier New"/>
          <w:color w:val="333333"/>
          <w:sz w:val="18"/>
        </w:rPr>
        <w:t xml:space="preserve">    RAG --&gt; Service["RAGService"]</w:t>
      </w:r>
    </w:p>
    <w:p>
      <w:pPr>
        <w:spacing w:before="20" w:after="20"/>
        <w:ind w:left="432"/>
      </w:pPr>
      <w:r>
        <w:rPr>
          <w:rFonts w:ascii="Courier New" w:hAnsi="Courier New"/>
          <w:color w:val="333333"/>
          <w:sz w:val="18"/>
        </w:rPr>
        <w:t xml:space="preserve">    Service --&gt; Chunker["MarkdownChunker"]</w:t>
      </w:r>
    </w:p>
    <w:p>
      <w:pPr>
        <w:spacing w:before="20" w:after="20"/>
        <w:ind w:left="432"/>
      </w:pPr>
      <w:r>
        <w:rPr>
          <w:rFonts w:ascii="Courier New" w:hAnsi="Courier New"/>
          <w:color w:val="333333"/>
          <w:sz w:val="18"/>
        </w:rPr>
        <w:t xml:space="preserve">    Service --&gt; Embedder["HashEmbeddingModel"]</w:t>
      </w:r>
    </w:p>
    <w:p>
      <w:pPr>
        <w:spacing w:before="20" w:after="20"/>
        <w:ind w:left="432"/>
      </w:pPr>
      <w:r>
        <w:rPr>
          <w:rFonts w:ascii="Courier New" w:hAnsi="Courier New"/>
          <w:color w:val="333333"/>
          <w:sz w:val="18"/>
        </w:rPr>
        <w:t xml:space="preserve">    Service --&gt; Fusion["Fusion Retrieval"]</w:t>
      </w:r>
    </w:p>
    <w:p>
      <w:pPr>
        <w:spacing w:before="20" w:after="20"/>
        <w:ind w:left="432"/>
      </w:pPr>
      <w:r>
        <w:rPr>
          <w:rFonts w:ascii="Courier New" w:hAnsi="Courier New"/>
          <w:color w:val="333333"/>
          <w:sz w:val="18"/>
        </w:rPr>
        <w:t xml:space="preserve">    Service --&gt; Chroma["Persistent ChromaDB"]</w:t>
      </w:r>
    </w:p>
    <w:p>
      <w:pPr>
        <w:pStyle w:val="Heading2"/>
      </w:pPr>
      <w:r>
        <w:t>What Changed</w:t>
      </w:r>
    </w:p>
    <w:p>
      <w:pPr>
        <w:pStyle w:val="ListBullet"/>
      </w:pPr>
      <w:r>
        <w:t xml:space="preserve">The MCP layer was split into </w:t>
      </w:r>
      <w:r>
        <w:rPr>
          <w:rFonts w:ascii="Courier New" w:hAnsi="Courier New"/>
          <w:color w:val="C0392B"/>
          <w:sz w:val="20"/>
        </w:rPr>
        <w:t>MCPClientManager</w:t>
      </w:r>
      <w:r>
        <w:t xml:space="preserve"> and </w:t>
      </w:r>
      <w:r>
        <w:rPr>
          <w:rFonts w:ascii="Courier New" w:hAnsi="Courier New"/>
          <w:color w:val="C0392B"/>
          <w:sz w:val="20"/>
        </w:rPr>
        <w:t>MCPToolExecutor</w:t>
      </w:r>
      <w:r>
        <w:t xml:space="preserve"> so discovery and execution are isolated and testable.</w:t>
      </w:r>
    </w:p>
    <w:p>
      <w:pPr>
        <w:pStyle w:val="ListBullet"/>
      </w:pPr>
      <w:r>
        <w:t xml:space="preserve">The filesystem integration now uses the official </w:t>
      </w:r>
      <w:r>
        <w:rPr>
          <w:rFonts w:ascii="Courier New" w:hAnsi="Courier New"/>
          <w:color w:val="C0392B"/>
          <w:sz w:val="20"/>
        </w:rPr>
        <w:t>@modelcontextprotocol/server-filesystem</w:t>
      </w:r>
      <w:r>
        <w:t xml:space="preserve"> package instead of only a local placeholder server.</w:t>
      </w:r>
    </w:p>
    <w:p>
      <w:pPr>
        <w:pStyle w:val="ListBullet"/>
      </w:pPr>
      <w:r>
        <w:t>The custom local RAG MCP server is now implemented and loaded dynamically alongside the other MCP servers.</w:t>
      </w:r>
    </w:p>
    <w:p>
      <w:pPr>
        <w:pStyle w:val="ListBullet"/>
      </w:pPr>
      <w:r>
        <w:t>The local RAG subsystem persists an index to disk so documentation only needs to be ingested once.</w:t>
      </w:r>
    </w:p>
    <w:p>
      <w:pPr>
        <w:pStyle w:val="ListBullet"/>
      </w:pPr>
      <w:r>
        <w:t>The REPL acts as the interaction handler for tool visibility and confirmation prompts.</w:t>
      </w:r>
    </w:p>
    <w:p>
      <w:pPr>
        <w:pStyle w:val="Heading2"/>
      </w:pPr>
      <w:r>
        <w:t>Runtime Rules</w:t>
      </w:r>
    </w:p>
    <w:p>
      <w:pPr>
        <w:pStyle w:val="ListBullet"/>
      </w:pPr>
      <w:r>
        <w:t>The LLM provider decides whether to answer directly or request tools.</w:t>
      </w:r>
    </w:p>
    <w:p>
      <w:pPr>
        <w:pStyle w:val="ListBullet"/>
      </w:pPr>
      <w:r>
        <w:t>The session stores user turns, assistant turns, tool calls, and tool results.</w:t>
      </w:r>
    </w:p>
    <w:p>
      <w:pPr>
        <w:pStyle w:val="ListBullet"/>
      </w:pPr>
      <w:r>
        <w:t>The agent loop continues until the model returns a final answer or the iteration cap is reached.</w:t>
      </w:r>
    </w:p>
    <w:p>
      <w:pPr>
        <w:pStyle w:val="ListBullet"/>
      </w:pPr>
      <w:r>
        <w:t>Execution mode controls confirmations:</w:t>
      </w:r>
    </w:p>
    <w:p>
      <w:r>
        <w:t xml:space="preserve">  - </w:t>
      </w:r>
      <w:r>
        <w:rPr>
          <w:rFonts w:ascii="Courier New" w:hAnsi="Courier New"/>
          <w:color w:val="C0392B"/>
          <w:sz w:val="20"/>
        </w:rPr>
        <w:t>auto</w:t>
      </w:r>
      <w:r>
        <w:t>: execute every tool automatically</w:t>
      </w:r>
    </w:p>
    <w:p>
      <w:r>
        <w:t xml:space="preserve">  - </w:t>
      </w:r>
      <w:r>
        <w:rPr>
          <w:rFonts w:ascii="Courier New" w:hAnsi="Courier New"/>
          <w:color w:val="C0392B"/>
          <w:sz w:val="20"/>
        </w:rPr>
        <w:t>manual</w:t>
      </w:r>
      <w:r>
        <w:t>: confirm every tool</w:t>
      </w:r>
    </w:p>
    <w:p>
      <w:r>
        <w:t xml:space="preserve">  - </w:t>
      </w:r>
      <w:r>
        <w:rPr>
          <w:rFonts w:ascii="Courier New" w:hAnsi="Courier New"/>
          <w:color w:val="C0392B"/>
          <w:sz w:val="20"/>
        </w:rPr>
        <w:t>confirmation</w:t>
      </w:r>
      <w:r>
        <w:t>: confirm only higher-risk tools</w:t>
      </w:r>
    </w:p>
    <w:p>
      <w:pPr>
        <w:pStyle w:val="ListBullet"/>
      </w:pPr>
      <w:r>
        <w:t>The local RAG server uses:</w:t>
      </w:r>
    </w:p>
    <w:p>
      <w:r>
        <w:t xml:space="preserve">  - markdown-aware chunking</w:t>
      </w:r>
    </w:p>
    <w:p>
      <w:r>
        <w:t xml:space="preserve">  - deterministic local embeddings</w:t>
      </w:r>
    </w:p>
    <w:p>
      <w:r>
        <w:t xml:space="preserve">  - query rewrites</w:t>
      </w:r>
    </w:p>
    <w:p>
      <w:r>
        <w:t xml:space="preserve">  - reciprocal rank fusion</w:t>
      </w:r>
    </w:p>
    <w:p>
      <w:r>
        <w:t xml:space="preserve">  - persistent ChromaDB storage</w:t>
      </w:r>
    </w:p>
    <w:p>
      <w:pPr>
        <w:pStyle w:val="Heading2"/>
      </w:pPr>
      <w:r>
        <w:t>Assignment Checklist</w:t>
      </w:r>
    </w:p>
    <w:p>
      <w:r>
        <w:t>Implemented in this repo:</w:t>
      </w:r>
    </w:p>
    <w:p>
      <w:pPr>
        <w:pStyle w:val="ListBullet"/>
      </w:pPr>
      <w:r>
        <w:t>Agentic loop</w:t>
      </w:r>
    </w:p>
    <w:p>
      <w:pPr>
        <w:pStyle w:val="ListBullet"/>
      </w:pPr>
      <w:r>
        <w:t>Provider abstraction for Ollama and a cloud provider</w:t>
      </w:r>
    </w:p>
    <w:p>
      <w:pPr>
        <w:pStyle w:val="ListBullet"/>
      </w:pPr>
      <w:r>
        <w:t>CLI REPL with visible tool activity and confirmation modes</w:t>
      </w:r>
    </w:p>
    <w:p>
      <w:pPr>
        <w:pStyle w:val="ListBullet"/>
      </w:pPr>
      <w:r>
        <w:t>Dynamic MCP tool discovery</w:t>
      </w:r>
    </w:p>
    <w:p>
      <w:pPr>
        <w:pStyle w:val="ListBullet"/>
      </w:pPr>
      <w:r>
        <w:t>Official filesystem MCP server</w:t>
      </w:r>
    </w:p>
    <w:p>
      <w:pPr>
        <w:pStyle w:val="ListBullet"/>
      </w:pPr>
      <w:r>
        <w:t>External resource MCP server</w:t>
      </w:r>
    </w:p>
    <w:p>
      <w:pPr>
        <w:pStyle w:val="ListBullet"/>
      </w:pPr>
      <w:r>
        <w:t>Custom local RAG MCP server</w:t>
      </w:r>
    </w:p>
    <w:p>
      <w:pPr>
        <w:pStyle w:val="ListBullet"/>
      </w:pPr>
      <w:r>
        <w:t>Advanced RAG technique in code</w:t>
      </w:r>
    </w:p>
    <w:p>
      <w:pPr>
        <w:pStyle w:val="ListBullet"/>
      </w:pPr>
      <w:r>
        <w:t>Persistent sessions</w:t>
      </w:r>
    </w:p>
    <w:p>
      <w:pPr>
        <w:pStyle w:val="ListBullet"/>
      </w:pPr>
      <w:r>
        <w:t>Planning and deliverable docs</w:t>
      </w:r>
    </w:p>
    <w:p>
      <w:r>
        <w:t>Operational note:</w:t>
      </w:r>
    </w:p>
    <w:p>
      <w:pPr>
        <w:pStyle w:val="ListBullet"/>
      </w:pPr>
      <w:r>
        <w:t xml:space="preserve">The live external MCP demo path requires a valid </w:t>
      </w:r>
      <w:r>
        <w:rPr>
          <w:rFonts w:ascii="Courier New" w:hAnsi="Courier New"/>
          <w:color w:val="C0392B"/>
          <w:sz w:val="20"/>
        </w:rPr>
        <w:t>TAVILY_API_KEY</w:t>
      </w:r>
      <w:r>
        <w:t>.</w:t>
      </w:r>
    </w:p>
    <w:p/>
    <w:p>
      <w:pPr>
        <w:jc w:val="center"/>
      </w:pPr>
      <w:r>
        <w:drawing>
          <wp:inline xmlns:a="http://schemas.openxmlformats.org/drawingml/2006/main" xmlns:pic="http://schemas.openxmlformats.org/drawingml/2006/picture">
            <wp:extent cx="5029200" cy="1798783"/>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029200" cy="1798783"/>
                    </a:xfrm>
                    <a:prstGeom prst="rect"/>
                  </pic:spPr>
                </pic:pic>
              </a:graphicData>
            </a:graphic>
          </wp:inline>
        </w:drawing>
      </w:r>
    </w:p>
    <w:p>
      <w:pPr>
        <w:jc w:val="center"/>
      </w:pPr>
      <w:r>
        <w:rPr>
          <w:i/>
          <w:color w:val="555555"/>
          <w:sz w:val="20"/>
        </w:rPr>
        <w:t>Figure 1 — NEXUS Component Architecture (final implementation)</w:t>
      </w:r>
    </w:p>
    <w:p>
      <w:pPr>
        <w:spacing w:before="120" w:after="120"/>
        <w:pBdr>
          <w:bottom w:val="single" w:sz="6" w:space="1" w:color="AAAAAA"/>
        </w:pBdr>
      </w:pPr>
    </w:p>
    <w:p>
      <w:pPr>
        <w:pStyle w:val="Heading1"/>
      </w:pPr>
      <w:r>
        <w:t>2. State Diagram</w:t>
      </w:r>
    </w:p>
    <w:p>
      <w:r>
        <w:t>The state machine below captures the runtime behavior of the CLI assistant from a single user turn through completion.</w:t>
      </w:r>
    </w:p>
    <w:p>
      <w:r>
        <w:t xml:space="preserve">The rendered PNG above is generated by </w:t>
      </w:r>
      <w:r>
        <w:rPr>
          <w:rFonts w:ascii="Courier New" w:hAnsi="Courier New"/>
          <w:color w:val="C0392B"/>
          <w:sz w:val="20"/>
        </w:rPr>
        <w:t>scripts/generate_diagrams.py</w:t>
      </w:r>
      <w:r>
        <w:t>. The Mermaid source below is the canonical reference and renders directly on GitHub.</w:t>
      </w:r>
    </w:p>
    <w:p>
      <w:pPr>
        <w:spacing w:before="20" w:after="20"/>
        <w:ind w:left="432"/>
      </w:pPr>
      <w:r>
        <w:rPr>
          <w:rFonts w:ascii="Courier New" w:hAnsi="Courier New"/>
          <w:color w:val="333333"/>
          <w:sz w:val="18"/>
        </w:rPr>
        <w:t>stateDiagram-v2</w:t>
      </w:r>
    </w:p>
    <w:p>
      <w:pPr>
        <w:spacing w:before="20" w:after="20"/>
        <w:ind w:left="432"/>
      </w:pPr>
      <w:r>
        <w:rPr>
          <w:rFonts w:ascii="Courier New" w:hAnsi="Courier New"/>
          <w:color w:val="333333"/>
          <w:sz w:val="18"/>
        </w:rPr>
        <w:t xml:space="preserve">    [*] --&gt; Idle</w:t>
      </w:r>
    </w:p>
    <w:p>
      <w:pPr>
        <w:spacing w:before="20" w:after="20"/>
        <w:ind w:left="432"/>
      </w:pPr>
      <w:r>
        <w:rPr>
          <w:rFonts w:ascii="Courier New" w:hAnsi="Courier New"/>
          <w:color w:val="333333"/>
          <w:sz w:val="18"/>
        </w:rPr>
        <w:t xml:space="preserve">    Idle --&gt; AcceptingInput: user enters task</w:t>
      </w:r>
    </w:p>
    <w:p>
      <w:pPr>
        <w:spacing w:before="20" w:after="20"/>
        <w:ind w:left="432"/>
      </w:pPr>
      <w:r>
        <w:rPr>
          <w:rFonts w:ascii="Courier New" w:hAnsi="Courier New"/>
          <w:color w:val="333333"/>
          <w:sz w:val="18"/>
        </w:rPr>
        <w:t xml:space="preserve">    AcceptingInput --&gt; Reasoning: agent invokes LLM</w:t>
      </w:r>
    </w:p>
    <w:p>
      <w:pPr>
        <w:spacing w:before="20" w:after="20"/>
        <w:ind w:left="432"/>
      </w:pPr>
      <w:r>
        <w:rPr>
          <w:rFonts w:ascii="Courier New" w:hAnsi="Courier New"/>
          <w:color w:val="333333"/>
          <w:sz w:val="18"/>
        </w:rPr>
        <w:t xml:space="preserve">    Reasoning --&gt; Completed: model returns final answer</w:t>
      </w:r>
    </w:p>
    <w:p>
      <w:pPr>
        <w:spacing w:before="20" w:after="20"/>
        <w:ind w:left="432"/>
      </w:pPr>
      <w:r>
        <w:rPr>
          <w:rFonts w:ascii="Courier New" w:hAnsi="Courier New"/>
          <w:color w:val="333333"/>
          <w:sz w:val="18"/>
        </w:rPr>
        <w:t xml:space="preserve">    Reasoning --&gt; ToolSelection: model emits tool call(s)</w:t>
      </w:r>
    </w:p>
    <w:p>
      <w:pPr>
        <w:spacing w:before="20" w:after="20"/>
        <w:ind w:left="432"/>
      </w:pPr>
      <w:r>
        <w:rPr>
          <w:rFonts w:ascii="Courier New" w:hAnsi="Courier New"/>
          <w:color w:val="333333"/>
          <w:sz w:val="18"/>
        </w:rPr>
        <w:t xml:space="preserve">    ToolSelection --&gt; AwaitingConfirmation: manual or high-risk mode</w:t>
      </w:r>
    </w:p>
    <w:p>
      <w:pPr>
        <w:spacing w:before="20" w:after="20"/>
        <w:ind w:left="432"/>
      </w:pPr>
      <w:r>
        <w:rPr>
          <w:rFonts w:ascii="Courier New" w:hAnsi="Courier New"/>
          <w:color w:val="333333"/>
          <w:sz w:val="18"/>
        </w:rPr>
        <w:t xml:space="preserve">    ToolSelection --&gt; ExecutingTools: auto-approved tool call</w:t>
      </w:r>
    </w:p>
    <w:p>
      <w:pPr>
        <w:spacing w:before="20" w:after="20"/>
        <w:ind w:left="432"/>
      </w:pPr>
      <w:r>
        <w:rPr>
          <w:rFonts w:ascii="Courier New" w:hAnsi="Courier New"/>
          <w:color w:val="333333"/>
          <w:sz w:val="18"/>
        </w:rPr>
        <w:t xml:space="preserve">    AwaitingConfirmation --&gt; ExecutingTools: user approves</w:t>
      </w:r>
    </w:p>
    <w:p>
      <w:pPr>
        <w:spacing w:before="20" w:after="20"/>
        <w:ind w:left="432"/>
      </w:pPr>
      <w:r>
        <w:rPr>
          <w:rFonts w:ascii="Courier New" w:hAnsi="Courier New"/>
          <w:color w:val="333333"/>
          <w:sz w:val="18"/>
        </w:rPr>
        <w:t xml:space="preserve">    AwaitingConfirmation --&gt; ObservingResults: user declines</w:t>
      </w:r>
    </w:p>
    <w:p>
      <w:pPr>
        <w:spacing w:before="20" w:after="20"/>
        <w:ind w:left="432"/>
      </w:pPr>
      <w:r>
        <w:rPr>
          <w:rFonts w:ascii="Courier New" w:hAnsi="Courier New"/>
          <w:color w:val="333333"/>
          <w:sz w:val="18"/>
        </w:rPr>
        <w:t xml:space="preserve">    ExecutingTools --&gt; ObservingResults: MCP tool returns result</w:t>
      </w:r>
    </w:p>
    <w:p>
      <w:pPr>
        <w:spacing w:before="20" w:after="20"/>
        <w:ind w:left="432"/>
      </w:pPr>
      <w:r>
        <w:rPr>
          <w:rFonts w:ascii="Courier New" w:hAnsi="Courier New"/>
          <w:color w:val="333333"/>
          <w:sz w:val="18"/>
        </w:rPr>
        <w:t xml:space="preserve">    ObservingResults --&gt; Reasoning: tool result added to context</w:t>
      </w:r>
    </w:p>
    <w:p>
      <w:pPr>
        <w:spacing w:before="20" w:after="20"/>
        <w:ind w:left="432"/>
      </w:pPr>
      <w:r>
        <w:rPr>
          <w:rFonts w:ascii="Courier New" w:hAnsi="Courier New"/>
          <w:color w:val="333333"/>
          <w:sz w:val="18"/>
        </w:rPr>
        <w:t xml:space="preserve">    Reasoning --&gt; Failed: provider or tool error exceeds recovery limits</w:t>
      </w:r>
    </w:p>
    <w:p>
      <w:pPr>
        <w:spacing w:before="20" w:after="20"/>
        <w:ind w:left="432"/>
      </w:pPr>
      <w:r>
        <w:rPr>
          <w:rFonts w:ascii="Courier New" w:hAnsi="Courier New"/>
          <w:color w:val="333333"/>
          <w:sz w:val="18"/>
        </w:rPr>
        <w:t xml:space="preserve">    Completed --&gt; PersistingSession: save session to disk</w:t>
      </w:r>
    </w:p>
    <w:p>
      <w:pPr>
        <w:spacing w:before="20" w:after="20"/>
        <w:ind w:left="432"/>
      </w:pPr>
      <w:r>
        <w:rPr>
          <w:rFonts w:ascii="Courier New" w:hAnsi="Courier New"/>
          <w:color w:val="333333"/>
          <w:sz w:val="18"/>
        </w:rPr>
        <w:t xml:space="preserve">    Failed --&gt; PersistingSession: save session to disk</w:t>
      </w:r>
    </w:p>
    <w:p>
      <w:pPr>
        <w:spacing w:before="20" w:after="20"/>
        <w:ind w:left="432"/>
      </w:pPr>
      <w:r>
        <w:rPr>
          <w:rFonts w:ascii="Courier New" w:hAnsi="Courier New"/>
          <w:color w:val="333333"/>
          <w:sz w:val="18"/>
        </w:rPr>
        <w:t xml:space="preserve">    PersistingSession --&gt; Idle: ready for next task</w:t>
      </w:r>
    </w:p>
    <w:p>
      <w:pPr>
        <w:spacing w:before="20" w:after="20"/>
        <w:ind w:left="432"/>
      </w:pPr>
      <w:r>
        <w:rPr>
          <w:rFonts w:ascii="Courier New" w:hAnsi="Courier New"/>
          <w:color w:val="333333"/>
          <w:sz w:val="18"/>
        </w:rPr>
        <w:t xml:space="preserve">    Idle --&gt; [*]: /exit</w:t>
      </w:r>
    </w:p>
    <w:p>
      <w:pPr>
        <w:pStyle w:val="Heading2"/>
      </w:pPr>
      <w:r>
        <w:t>Notes</w:t>
      </w:r>
    </w:p>
    <w:p>
      <w:pPr>
        <w:pStyle w:val="ListBullet"/>
      </w:pPr>
      <w:r>
        <w:t xml:space="preserve">The </w:t>
      </w:r>
      <w:r>
        <w:rPr>
          <w:rFonts w:ascii="Courier New" w:hAnsi="Courier New"/>
          <w:color w:val="C0392B"/>
          <w:sz w:val="20"/>
        </w:rPr>
        <w:t>ObservingResults</w:t>
      </w:r>
      <w:r>
        <w:t xml:space="preserve"> state covers both success and failure. Tool failures still become model context so the agent can recover or explain what happened.</w:t>
      </w:r>
    </w:p>
    <w:p>
      <w:pPr>
        <w:pStyle w:val="ListBullet"/>
      </w:pPr>
      <w:r>
        <w:t>Confirmation is only a distinct state when the current execution mode demands it.</w:t>
      </w:r>
    </w:p>
    <w:p>
      <w:pPr>
        <w:pStyle w:val="ListBullet"/>
      </w:pPr>
      <w:r>
        <w:t xml:space="preserve">Persistence happens on shutdown so work can be resumed with </w:t>
      </w:r>
      <w:r>
        <w:rPr>
          <w:rFonts w:ascii="Courier New" w:hAnsi="Courier New"/>
          <w:color w:val="C0392B"/>
          <w:sz w:val="20"/>
        </w:rPr>
        <w:t>--session</w:t>
      </w:r>
      <w:r>
        <w:t>.</w:t>
      </w:r>
    </w:p>
    <w:p/>
    <w:p>
      <w:pPr>
        <w:jc w:val="center"/>
      </w:pPr>
      <w:r>
        <w:drawing>
          <wp:inline xmlns:a="http://schemas.openxmlformats.org/drawingml/2006/main" xmlns:pic="http://schemas.openxmlformats.org/drawingml/2006/picture">
            <wp:extent cx="5029200" cy="4310743"/>
            <wp:docPr id="2" name="Picture 2"/>
            <wp:cNvGraphicFramePr>
              <a:graphicFrameLocks noChangeAspect="1"/>
            </wp:cNvGraphicFramePr>
            <a:graphic>
              <a:graphicData uri="http://schemas.openxmlformats.org/drawingml/2006/picture">
                <pic:pic>
                  <pic:nvPicPr>
                    <pic:cNvPr id="0" name="state-diagram.png"/>
                    <pic:cNvPicPr/>
                  </pic:nvPicPr>
                  <pic:blipFill>
                    <a:blip r:embed="rId10"/>
                    <a:stretch>
                      <a:fillRect/>
                    </a:stretch>
                  </pic:blipFill>
                  <pic:spPr>
                    <a:xfrm>
                      <a:off x="0" y="0"/>
                      <a:ext cx="5029200" cy="4310743"/>
                    </a:xfrm>
                    <a:prstGeom prst="rect"/>
                  </pic:spPr>
                </pic:pic>
              </a:graphicData>
            </a:graphic>
          </wp:inline>
        </w:drawing>
      </w:r>
    </w:p>
    <w:p>
      <w:pPr>
        <w:jc w:val="center"/>
      </w:pPr>
      <w:r>
        <w:rPr>
          <w:i/>
          <w:color w:val="555555"/>
          <w:sz w:val="20"/>
        </w:rPr>
        <w:t>Figure 2 — NEXUS Runtime State Machine</w:t>
      </w:r>
    </w:p>
    <w:p>
      <w:pPr>
        <w:spacing w:before="120" w:after="120"/>
        <w:pBdr>
          <w:bottom w:val="single" w:sz="6" w:space="1" w:color="AAAAAA"/>
        </w:pBdr>
      </w:pPr>
    </w:p>
    <w:p>
      <w:pPr>
        <w:pStyle w:val="Heading1"/>
      </w:pPr>
      <w:r>
        <w:t>3. Sequence Diagrams</w:t>
      </w:r>
    </w:p>
    <w:p>
      <w:r>
        <w:t>These diagrams show the interactions the assignment asks us to document between the user, CLI, agent loop, LLM, MCP client, and MCP servers.</w:t>
      </w:r>
    </w:p>
    <w:p>
      <w:r>
        <w:t xml:space="preserve">Pre-rendered PNGs (generated by </w:t>
      </w:r>
      <w:r>
        <w:rPr>
          <w:rFonts w:ascii="Courier New" w:hAnsi="Courier New"/>
          <w:color w:val="C0392B"/>
          <w:sz w:val="20"/>
        </w:rPr>
        <w:t>scripts/generate_diagrams.py</w:t>
      </w:r>
      <w:r>
        <w:t>):</w:t>
      </w:r>
    </w:p>
    <w:p>
      <w:r>
        <w:t>The Mermaid sources below are the canonical reference and render on GitHub.</w:t>
      </w:r>
    </w:p>
    <w:p>
      <w:pPr>
        <w:pStyle w:val="Heading2"/>
      </w:pPr>
      <w:r>
        <w:t>Scenario 1: Read and Edit a File</w:t>
      </w:r>
    </w:p>
    <w:p/>
    <w:p>
      <w:pPr>
        <w:jc w:val="center"/>
      </w:pPr>
      <w:r>
        <w:drawing>
          <wp:inline xmlns:a="http://schemas.openxmlformats.org/drawingml/2006/main" xmlns:pic="http://schemas.openxmlformats.org/drawingml/2006/picture">
            <wp:extent cx="3657600" cy="2383971"/>
            <wp:docPr id="3" name="Picture 3"/>
            <wp:cNvGraphicFramePr>
              <a:graphicFrameLocks noChangeAspect="1"/>
            </wp:cNvGraphicFramePr>
            <a:graphic>
              <a:graphicData uri="http://schemas.openxmlformats.org/drawingml/2006/picture">
                <pic:pic>
                  <pic:nvPicPr>
                    <pic:cNvPr id="0" name="seq-read-edit-file.png"/>
                    <pic:cNvPicPr/>
                  </pic:nvPicPr>
                  <pic:blipFill>
                    <a:blip r:embed="rId11"/>
                    <a:stretch>
                      <a:fillRect/>
                    </a:stretch>
                  </pic:blipFill>
                  <pic:spPr>
                    <a:xfrm>
                      <a:off x="0" y="0"/>
                      <a:ext cx="3657600" cy="2383971"/>
                    </a:xfrm>
                    <a:prstGeom prst="rect"/>
                  </pic:spPr>
                </pic:pic>
              </a:graphicData>
            </a:graphic>
          </wp:inline>
        </w:drawing>
      </w:r>
    </w:p>
    <w:p>
      <w:pPr>
        <w:jc w:val="center"/>
      </w:pPr>
      <w:r>
        <w:rPr>
          <w:i/>
          <w:color w:val="555555"/>
          <w:sz w:val="20"/>
        </w:rPr>
        <w:t>Figure 3 — Scenario 1: Read and Edit a File</w:t>
      </w:r>
    </w:p>
    <w:p>
      <w:pPr>
        <w:pStyle w:val="Heading2"/>
      </w:pPr>
      <w:r>
        <w:t>Scenario 2: Search the Web and Produce a Plan</w:t>
      </w:r>
    </w:p>
    <w:p/>
    <w:p>
      <w:pPr>
        <w:jc w:val="center"/>
      </w:pPr>
      <w:r>
        <w:drawing>
          <wp:inline xmlns:a="http://schemas.openxmlformats.org/drawingml/2006/main" xmlns:pic="http://schemas.openxmlformats.org/drawingml/2006/picture">
            <wp:extent cx="3657600" cy="1791478"/>
            <wp:docPr id="4" name="Picture 4"/>
            <wp:cNvGraphicFramePr>
              <a:graphicFrameLocks noChangeAspect="1"/>
            </wp:cNvGraphicFramePr>
            <a:graphic>
              <a:graphicData uri="http://schemas.openxmlformats.org/drawingml/2006/picture">
                <pic:pic>
                  <pic:nvPicPr>
                    <pic:cNvPr id="0" name="seq-web-research.png"/>
                    <pic:cNvPicPr/>
                  </pic:nvPicPr>
                  <pic:blipFill>
                    <a:blip r:embed="rId12"/>
                    <a:stretch>
                      <a:fillRect/>
                    </a:stretch>
                  </pic:blipFill>
                  <pic:spPr>
                    <a:xfrm>
                      <a:off x="0" y="0"/>
                      <a:ext cx="3657600" cy="1791478"/>
                    </a:xfrm>
                    <a:prstGeom prst="rect"/>
                  </pic:spPr>
                </pic:pic>
              </a:graphicData>
            </a:graphic>
          </wp:inline>
        </w:drawing>
      </w:r>
    </w:p>
    <w:p>
      <w:pPr>
        <w:jc w:val="center"/>
      </w:pPr>
      <w:r>
        <w:rPr>
          <w:i/>
          <w:color w:val="555555"/>
          <w:sz w:val="20"/>
        </w:rPr>
        <w:t>Figure 4 — Scenario 2: Web Research via Tavily MCP</w:t>
      </w:r>
    </w:p>
    <w:p>
      <w:pPr>
        <w:pStyle w:val="Heading2"/>
      </w:pPr>
      <w:r>
        <w:t>Scenario 3: Build and Use the Local Documentation Index</w:t>
      </w:r>
    </w:p>
    <w:p/>
    <w:p>
      <w:pPr>
        <w:jc w:val="center"/>
      </w:pPr>
      <w:r>
        <w:drawing>
          <wp:inline xmlns:a="http://schemas.openxmlformats.org/drawingml/2006/main" xmlns:pic="http://schemas.openxmlformats.org/drawingml/2006/picture">
            <wp:extent cx="3657600" cy="1628192"/>
            <wp:docPr id="5" name="Picture 5"/>
            <wp:cNvGraphicFramePr>
              <a:graphicFrameLocks noChangeAspect="1"/>
            </wp:cNvGraphicFramePr>
            <a:graphic>
              <a:graphicData uri="http://schemas.openxmlformats.org/drawingml/2006/picture">
                <pic:pic>
                  <pic:nvPicPr>
                    <pic:cNvPr id="0" name="seq-rag-query.png"/>
                    <pic:cNvPicPr/>
                  </pic:nvPicPr>
                  <pic:blipFill>
                    <a:blip r:embed="rId13"/>
                    <a:stretch>
                      <a:fillRect/>
                    </a:stretch>
                  </pic:blipFill>
                  <pic:spPr>
                    <a:xfrm>
                      <a:off x="0" y="0"/>
                      <a:ext cx="3657600" cy="1628192"/>
                    </a:xfrm>
                    <a:prstGeom prst="rect"/>
                  </pic:spPr>
                </pic:pic>
              </a:graphicData>
            </a:graphic>
          </wp:inline>
        </w:drawing>
      </w:r>
    </w:p>
    <w:p>
      <w:pPr>
        <w:jc w:val="center"/>
      </w:pPr>
      <w:r>
        <w:rPr>
          <w:i/>
          <w:color w:val="555555"/>
          <w:sz w:val="20"/>
        </w:rPr>
        <w:t>Figure 5 — Scenario 3: Local RAG Documentation Query</w:t>
      </w:r>
    </w:p>
    <w:p>
      <w:pPr>
        <w:pStyle w:val="Heading2"/>
      </w:pPr>
      <w:r>
        <w:t>Scenario 4: Initial RAG Index Build</w:t>
      </w:r>
    </w:p>
    <w:p/>
    <w:p>
      <w:pPr>
        <w:jc w:val="center"/>
      </w:pPr>
      <w:r>
        <w:drawing>
          <wp:inline xmlns:a="http://schemas.openxmlformats.org/drawingml/2006/main" xmlns:pic="http://schemas.openxmlformats.org/drawingml/2006/picture">
            <wp:extent cx="3657600" cy="1623527"/>
            <wp:docPr id="6" name="Picture 6"/>
            <wp:cNvGraphicFramePr>
              <a:graphicFrameLocks noChangeAspect="1"/>
            </wp:cNvGraphicFramePr>
            <a:graphic>
              <a:graphicData uri="http://schemas.openxmlformats.org/drawingml/2006/picture">
                <pic:pic>
                  <pic:nvPicPr>
                    <pic:cNvPr id="0" name="seq-rag-index-build.png"/>
                    <pic:cNvPicPr/>
                  </pic:nvPicPr>
                  <pic:blipFill>
                    <a:blip r:embed="rId14"/>
                    <a:stretch>
                      <a:fillRect/>
                    </a:stretch>
                  </pic:blipFill>
                  <pic:spPr>
                    <a:xfrm>
                      <a:off x="0" y="0"/>
                      <a:ext cx="3657600" cy="1623527"/>
                    </a:xfrm>
                    <a:prstGeom prst="rect"/>
                  </pic:spPr>
                </pic:pic>
              </a:graphicData>
            </a:graphic>
          </wp:inline>
        </w:drawing>
      </w:r>
    </w:p>
    <w:p>
      <w:pPr>
        <w:jc w:val="center"/>
      </w:pPr>
      <w:r>
        <w:rPr>
          <w:i/>
          <w:color w:val="555555"/>
          <w:sz w:val="20"/>
        </w:rPr>
        <w:t>Figure 6 — Scenario 4: Initial RAG Index Build</w:t>
      </w:r>
    </w:p>
    <w:p>
      <w:pPr>
        <w:spacing w:before="120" w:after="120"/>
        <w:pBdr>
          <w:bottom w:val="single" w:sz="6" w:space="1" w:color="AAAAAA"/>
        </w:pBdr>
      </w:pPr>
    </w:p>
    <w:p>
      <w:pPr>
        <w:pStyle w:val="Heading1"/>
      </w:pPr>
      <w:r>
        <w:t>4. Reflection</w:t>
      </w:r>
    </w:p>
    <w:p>
      <w:pPr>
        <w:pStyle w:val="Heading2"/>
      </w:pPr>
      <w:r>
        <w:t>Design Decisions</w:t>
      </w:r>
    </w:p>
    <w:p>
      <w:r>
        <w:t>The project is organized around clear subsystem boundaries:</w:t>
      </w:r>
    </w:p>
    <w:p>
      <w:pPr>
        <w:pStyle w:val="ListBullet"/>
      </w:pPr>
      <w:r/>
      <w:r>
        <w:rPr>
          <w:rFonts w:ascii="Courier New" w:hAnsi="Courier New"/>
          <w:color w:val="C0392B"/>
          <w:sz w:val="20"/>
        </w:rPr>
        <w:t>core/</w:t>
      </w:r>
      <w:r>
        <w:t xml:space="preserve"> owns the agent loop, retries, error handling, and session state.</w:t>
      </w:r>
    </w:p>
    <w:p>
      <w:pPr>
        <w:pStyle w:val="ListBullet"/>
      </w:pPr>
      <w:r/>
      <w:r>
        <w:rPr>
          <w:rFonts w:ascii="Courier New" w:hAnsi="Courier New"/>
          <w:color w:val="C0392B"/>
          <w:sz w:val="20"/>
        </w:rPr>
        <w:t>llm/</w:t>
      </w:r>
      <w:r>
        <w:t xml:space="preserve"> hides provider-specific logic behind one shared interface.</w:t>
      </w:r>
    </w:p>
    <w:p>
      <w:pPr>
        <w:pStyle w:val="ListBullet"/>
      </w:pPr>
      <w:r/>
      <w:r>
        <w:rPr>
          <w:rFonts w:ascii="Courier New" w:hAnsi="Courier New"/>
          <w:color w:val="C0392B"/>
          <w:sz w:val="20"/>
        </w:rPr>
        <w:t>mcp/</w:t>
      </w:r>
      <w:r>
        <w:t xml:space="preserve"> handles server registration, tool discovery, and tool routing.</w:t>
      </w:r>
    </w:p>
    <w:p>
      <w:pPr>
        <w:pStyle w:val="ListBullet"/>
      </w:pPr>
      <w:r/>
      <w:r>
        <w:rPr>
          <w:rFonts w:ascii="Courier New" w:hAnsi="Courier New"/>
          <w:color w:val="C0392B"/>
          <w:sz w:val="20"/>
        </w:rPr>
        <w:t>rag/</w:t>
      </w:r>
      <w:r>
        <w:t xml:space="preserve"> isolates indexing and retrieval logic from the rest of the assistant.</w:t>
      </w:r>
    </w:p>
    <w:p>
      <w:pPr>
        <w:pStyle w:val="ListBullet"/>
      </w:pPr>
      <w:r/>
      <w:r>
        <w:rPr>
          <w:rFonts w:ascii="Courier New" w:hAnsi="Courier New"/>
          <w:color w:val="C0392B"/>
          <w:sz w:val="20"/>
        </w:rPr>
        <w:t>cli/</w:t>
      </w:r>
      <w:r>
        <w:t xml:space="preserve"> focuses on user experience, tool visibility, and confirmation prompts.</w:t>
      </w:r>
    </w:p>
    <w:p>
      <w:r>
        <w:t>That separation made the later phases much easier to complete. The phase 4 local RAG server was added without rewriting the agent loop, and the CLI improvements were made by attaching the REPL as an interaction handler instead of mixing terminal code into the core reasoning path.</w:t>
      </w:r>
    </w:p>
    <w:p>
      <w:pPr>
        <w:pStyle w:val="Heading2"/>
      </w:pPr>
      <w:r>
        <w:t>LLM Comparison</w:t>
      </w:r>
    </w:p>
    <w:p>
      <w:r>
        <w:t>We compared Groq and Ollama on the same style of coding task: read a file, reason about it, and then make a code change.</w:t>
      </w:r>
    </w:p>
    <w:p>
      <w:pPr>
        <w:pStyle w:val="ListBullet"/>
      </w:pPr>
      <w:r>
        <w:t>Groq was the stronger fit for autonomous coding because the provider adapter supports tool schemas and returns tool calls.</w:t>
      </w:r>
    </w:p>
    <w:p>
      <w:pPr>
        <w:pStyle w:val="ListBullet"/>
      </w:pPr>
      <w:r>
        <w:t>Ollama works as a local fallback, but the current adapter is still text-only, so it cannot drive autonomous tool use in the same way.</w:t>
      </w:r>
    </w:p>
    <w:p>
      <w:r>
        <w:t>The main insight is that provider abstraction is not only about swapping API endpoints. It also needs to account for capability differences. Two providers can fit the same interface while still producing very different agent behavior.</w:t>
      </w:r>
    </w:p>
    <w:p>
      <w:pPr>
        <w:pStyle w:val="Heading2"/>
      </w:pPr>
      <w:r>
        <w:t>Advanced RAG Technique</w:t>
      </w:r>
    </w:p>
    <w:p>
      <w:r>
        <w:t>The implemented advanced RAG technique is fusion retrieval.</w:t>
      </w:r>
    </w:p>
    <w:p>
      <w:r>
        <w:t>Pipeline:</w:t>
      </w:r>
    </w:p>
    <w:p>
      <w:pPr>
        <w:pStyle w:val="ListNumber"/>
      </w:pPr>
      <w:r>
        <w:t>Load local documentation files.</w:t>
      </w:r>
    </w:p>
    <w:p>
      <w:pPr>
        <w:pStyle w:val="ListNumber"/>
      </w:pPr>
      <w:r>
        <w:t>Chunk them with markdown-aware boundaries and overlap.</w:t>
      </w:r>
    </w:p>
    <w:p>
      <w:pPr>
        <w:pStyle w:val="ListNumber"/>
      </w:pPr>
      <w:r>
        <w:t>Embed chunks into a persistent ChromaDB collection.</w:t>
      </w:r>
    </w:p>
    <w:p>
      <w:pPr>
        <w:pStyle w:val="ListNumber"/>
      </w:pPr>
      <w:r>
        <w:t>Rewrite each query into several lightweight variants.</w:t>
      </w:r>
    </w:p>
    <w:p>
      <w:pPr>
        <w:pStyle w:val="ListNumber"/>
      </w:pPr>
      <w:r>
        <w:t>Retrieve ranked results for each variant.</w:t>
      </w:r>
    </w:p>
    <w:p>
      <w:pPr>
        <w:pStyle w:val="ListNumber"/>
      </w:pPr>
      <w:r>
        <w:t>Merge the rankings with reciprocal rank fusion before returning the best chunks.</w:t>
      </w:r>
    </w:p>
    <w:p>
      <w:r>
        <w:t>Why this helped:</w:t>
      </w:r>
    </w:p>
    <w:p>
      <w:pPr>
        <w:pStyle w:val="ListBullet"/>
      </w:pPr>
      <w:r>
        <w:t>Documentation questions are often underspecified, so one phrasing of the query can miss the right section heading or terminology.</w:t>
      </w:r>
    </w:p>
    <w:p>
      <w:pPr>
        <w:pStyle w:val="ListBullet"/>
      </w:pPr>
      <w:r>
        <w:t>Query rewrites improved recall on the local docs corpus.</w:t>
      </w:r>
    </w:p>
    <w:p>
      <w:pPr>
        <w:pStyle w:val="ListBullet"/>
      </w:pPr>
      <w:r>
        <w:t>Reciprocal rank fusion gave more stable results than trusting a single nearest-neighbor query.</w:t>
      </w:r>
    </w:p>
    <w:p>
      <w:pPr>
        <w:pStyle w:val="Heading2"/>
      </w:pPr>
      <w:r>
        <w:t>Safety and UX Lessons</w:t>
      </w:r>
    </w:p>
    <w:p>
      <w:r>
        <w:t>The assistant became much more believable once tool calls were surfaced clearly in the terminal and confirmation mode actually enforced user approval for riskier actions. That transparency matters because an autonomous coding assistant is making real file-system changes, not just chatting.</w:t>
      </w:r>
    </w:p>
    <w:p>
      <w:pPr>
        <w:pStyle w:val="Heading2"/>
      </w:pPr>
      <w:r>
        <w:t>What I Would Do Differently</w:t>
      </w:r>
    </w:p>
    <w:p>
      <w:pPr>
        <w:pStyle w:val="ListBullet"/>
      </w:pPr>
      <w:r>
        <w:t>Add true token-level provider streaming instead of only turn-level response rendering.</w:t>
      </w:r>
    </w:p>
    <w:p>
      <w:pPr>
        <w:pStyle w:val="ListBullet"/>
      </w:pPr>
      <w:r>
        <w:t>Extend the Ollama adapter with tool-calling support once the local model stack supports it reliably.</w:t>
      </w:r>
    </w:p>
    <w:p>
      <w:pPr>
        <w:pStyle w:val="ListBullet"/>
      </w:pPr>
      <w:r>
        <w:t>Add an edit review mode so users can preview or reject diffs before file writes.</w:t>
      </w:r>
    </w:p>
    <w:p>
      <w:pPr>
        <w:pStyle w:val="ListBullet"/>
      </w:pPr>
      <w:r>
        <w:t>Benchmark several documentation corpora to compare fusion retrieval against HyDE or semantic chunking in a more formal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