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hd w:fill="1A1A1A" w:val="clear"/>
        <w:spacing w:after="0" w:before="400"/>
        <w:jc w:val="center"/>
      </w:pPr>
      <w:r>
        <w:rPr>
          <w:b/>
          <w:bCs/>
          <w:color w:val="FFFFFF"/>
          <w:sz w:val="40"/>
          <w:szCs w:val="40"/>
        </w:rPr>
        <w:t xml:space="preserve">RELATÓRIO DE VISITA TÉCNICA</w:t>
      </w:r>
    </w:p>
    <w:p>
      <w:pPr>
        <w:shd w:fill="00ADA9" w:val="clear"/>
        <w:spacing w:after="300" w:before="0"/>
        <w:jc w:val="center"/>
      </w:pPr>
      <w:r>
        <w:rPr>
          <w:color w:val="FFFFFF"/>
          <w:sz w:val="26"/>
          <w:szCs w:val="26"/>
        </w:rPr>
        <w:t xml:space="preserve">Espaço XP Brasília – Climatização &amp; Vistoria Geral</w:t>
      </w:r>
    </w:p>
    <w:p>
      <w:pPr>
        <w:spacing w:after="100"/>
        <w:jc w:val="center"/>
      </w:pPr>
      <w:r>
        <w:rPr>
          <w:i/>
          <w:iCs/>
          <w:sz w:val="18"/>
          <w:szCs w:val="18"/>
        </w:rPr>
        <w:t xml:space="preserve">Espaço XP Brasília | SGCV Shopping CasaPark, Piso Superior – Guará/DF</w:t>
      </w:r>
    </w:p>
    <w:p>
      <w:pPr>
        <w:spacing w:after="200"/>
      </w:pP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2200"/>
        <w:gridCol w:w="2475"/>
        <w:gridCol w:w="2200"/>
        <w:gridCol w:w="2475"/>
      </w:tblGrid>
      <w:tr>
        <w:tc>
          <w:tcPr>
            <w:tcW w:type="dxa" w:w="2200"/>
            <w:shd w:fill="1A1A1A" w:val="clear"/>
            <w:vAlign w:val="center"/>
          </w:tcPr>
          <w:p>
            <w:r>
              <w:rPr>
                <w:b/>
                <w:bCs/>
                <w:color w:val="FFFFFF"/>
                <w:sz w:val="17"/>
                <w:szCs w:val="17"/>
              </w:rPr>
              <w:t xml:space="preserve">CLIENTE</w:t>
            </w:r>
          </w:p>
        </w:tc>
        <w:tc>
          <w:tcPr>
            <w:tcW w:type="dxa" w:w="2475"/>
            <w:shd w:fill="F2F2F2" w:val="clear"/>
            <w:vAlign w:val="center"/>
          </w:tcPr>
          <w:p>
            <w:r>
              <w:rPr>
                <w:sz w:val="18"/>
                <w:szCs w:val="18"/>
              </w:rPr>
              <w:t xml:space="preserve">XP Inc.</w:t>
            </w:r>
          </w:p>
        </w:tc>
        <w:tc>
          <w:tcPr>
            <w:tcW w:type="dxa" w:w="2200"/>
            <w:shd w:fill="1A1A1A" w:val="clear"/>
            <w:vAlign w:val="center"/>
          </w:tcPr>
          <w:p>
            <w:r>
              <w:rPr>
                <w:b/>
                <w:bCs/>
                <w:color w:val="FFFFFF"/>
                <w:sz w:val="17"/>
                <w:szCs w:val="17"/>
              </w:rPr>
              <w:t xml:space="preserve">DATA DA VISITA</w:t>
            </w:r>
          </w:p>
        </w:tc>
        <w:tc>
          <w:tcPr>
            <w:tcW w:type="dxa" w:w="2475"/>
            <w:shd w:fill="F2F2F2" w:val="clear"/>
            <w:vAlign w:val="center"/>
          </w:tcPr>
          <w:p>
            <w:r>
              <w:rPr>
                <w:sz w:val="18"/>
                <w:szCs w:val="18"/>
              </w:rPr>
              <w:t xml:space="preserve">09 a 11 de julho de 2026</w:t>
            </w:r>
          </w:p>
        </w:tc>
      </w:tr>
      <w:tr>
        <w:tc>
          <w:tcPr>
            <w:tcW w:type="dxa" w:w="2200"/>
            <w:shd w:fill="1A1A1A" w:val="clear"/>
            <w:vAlign w:val="center"/>
          </w:tcPr>
          <w:p>
            <w:r>
              <w:rPr>
                <w:b/>
                <w:bCs/>
                <w:color w:val="FFFFFF"/>
                <w:sz w:val="17"/>
                <w:szCs w:val="17"/>
              </w:rPr>
              <w:t xml:space="preserve">LOCAL</w:t>
            </w:r>
          </w:p>
        </w:tc>
        <w:tc>
          <w:tcPr>
            <w:tcW w:type="dxa" w:w="2475"/>
            <w:shd w:fill="F2F2F2" w:val="clear"/>
            <w:vAlign w:val="center"/>
          </w:tcPr>
          <w:p>
            <w:r>
              <w:rPr>
                <w:sz w:val="18"/>
                <w:szCs w:val="18"/>
              </w:rPr>
              <w:t xml:space="preserve">Espaço XP Brasília – Guará/DF</w:t>
            </w:r>
          </w:p>
        </w:tc>
        <w:tc>
          <w:tcPr>
            <w:tcW w:type="dxa" w:w="2200"/>
            <w:shd w:fill="1A1A1A" w:val="clear"/>
            <w:vAlign w:val="center"/>
          </w:tcPr>
          <w:p>
            <w:r>
              <w:rPr>
                <w:b/>
                <w:bCs/>
                <w:color w:val="FFFFFF"/>
                <w:sz w:val="17"/>
                <w:szCs w:val="17"/>
              </w:rPr>
              <w:t xml:space="preserve">CHAMADO</w:t>
            </w:r>
          </w:p>
        </w:tc>
        <w:tc>
          <w:tcPr>
            <w:tcW w:type="dxa" w:w="2475"/>
            <w:shd w:fill="F2F2F2" w:val="clear"/>
            <w:vAlign w:val="center"/>
          </w:tcPr>
          <w:p>
            <w:r>
              <w:rPr>
                <w:sz w:val="18"/>
                <w:szCs w:val="18"/>
              </w:rPr>
              <w:t xml:space="preserve">#PMP.4518327.198641536 (Infraspeak)</w:t>
            </w:r>
          </w:p>
        </w:tc>
      </w:tr>
      <w:tr>
        <w:tc>
          <w:tcPr>
            <w:tcW w:type="dxa" w:w="2200"/>
            <w:shd w:fill="1A1A1A" w:val="clear"/>
            <w:vAlign w:val="center"/>
          </w:tcPr>
          <w:p>
            <w:r>
              <w:rPr>
                <w:b/>
                <w:bCs/>
                <w:color w:val="FFFFFF"/>
                <w:sz w:val="17"/>
                <w:szCs w:val="17"/>
              </w:rPr>
              <w:t xml:space="preserve">ENDEREÇO</w:t>
            </w:r>
          </w:p>
        </w:tc>
        <w:tc>
          <w:tcPr>
            <w:tcW w:type="dxa" w:w="2475"/>
            <w:shd w:fill="F2F2F2" w:val="clear"/>
            <w:vAlign w:val="center"/>
          </w:tcPr>
          <w:p>
            <w:r>
              <w:rPr>
                <w:sz w:val="18"/>
                <w:szCs w:val="18"/>
              </w:rPr>
              <w:t xml:space="preserve">SGCV Shopping CasaPark, Piso Superior – CEP 71215-100</w:t>
            </w:r>
          </w:p>
        </w:tc>
        <w:tc>
          <w:tcPr>
            <w:tcW w:type="dxa" w:w="2200"/>
            <w:shd w:fill="1A1A1A" w:val="clear"/>
            <w:vAlign w:val="center"/>
          </w:tcPr>
          <w:p>
            <w:r>
              <w:rPr>
                <w:b/>
                <w:bCs/>
                <w:color w:val="FFFFFF"/>
                <w:sz w:val="17"/>
                <w:szCs w:val="17"/>
              </w:rPr>
              <w:t xml:space="preserve">SISTEMA</w:t>
            </w:r>
          </w:p>
        </w:tc>
        <w:tc>
          <w:tcPr>
            <w:tcW w:type="dxa" w:w="2475"/>
            <w:shd w:fill="F2F2F2" w:val="clear"/>
            <w:vAlign w:val="center"/>
          </w:tcPr>
          <w:p>
            <w:r>
              <w:rPr>
                <w:sz w:val="18"/>
                <w:szCs w:val="18"/>
              </w:rPr>
              <w:t xml:space="preserve">HVAC / Climatização</w:t>
            </w:r>
          </w:p>
        </w:tc>
      </w:tr>
      <w:tr>
        <w:tc>
          <w:tcPr>
            <w:tcW w:type="dxa" w:w="2200"/>
            <w:shd w:fill="1A1A1A" w:val="clear"/>
            <w:vAlign w:val="center"/>
          </w:tcPr>
          <w:p>
            <w:r>
              <w:rPr>
                <w:b/>
                <w:bCs/>
                <w:color w:val="FFFFFF"/>
                <w:sz w:val="17"/>
                <w:szCs w:val="17"/>
              </w:rPr>
              <w:t xml:space="preserve">RESPONSÁVEL</w:t>
            </w:r>
          </w:p>
        </w:tc>
        <w:tc>
          <w:tcPr>
            <w:tcW w:type="dxa" w:w="2475"/>
            <w:shd w:fill="F2F2F2" w:val="clear"/>
            <w:vAlign w:val="center"/>
          </w:tcPr>
          <w:p>
            <w:r>
              <w:rPr>
                <w:sz w:val="18"/>
                <w:szCs w:val="18"/>
              </w:rPr>
              <w:t xml:space="preserve">David M. Santos – Hard Services Facilities</w:t>
            </w:r>
          </w:p>
        </w:tc>
        <w:tc>
          <w:tcPr>
            <w:tcW w:type="dxa" w:w="2200"/>
            <w:shd w:fill="1A1A1A" w:val="clear"/>
            <w:vAlign w:val="center"/>
          </w:tcPr>
          <w:p>
            <w:r>
              <w:rPr>
                <w:b/>
                <w:bCs/>
                <w:color w:val="FFFFFF"/>
                <w:sz w:val="17"/>
                <w:szCs w:val="17"/>
              </w:rPr>
              <w:t xml:space="preserve">ÁREA</w:t>
            </w:r>
          </w:p>
        </w:tc>
        <w:tc>
          <w:tcPr>
            <w:tcW w:type="dxa" w:w="2475"/>
            <w:shd w:fill="F2F2F2" w:val="clear"/>
            <w:vAlign w:val="center"/>
          </w:tcPr>
          <w:p>
            <w:r>
              <w:rPr>
                <w:sz w:val="18"/>
                <w:szCs w:val="18"/>
              </w:rPr>
              <w:t xml:space="preserve">Facilities Hard Services</w:t>
            </w:r>
          </w:p>
        </w:tc>
      </w:tr>
    </w:tbl>
    <w:p>
      <w:pPr>
        <w:spacing w:before="300"/>
        <w:jc w:val="center"/>
      </w:pPr>
      <w:r>
        <w:rPr>
          <w:i/>
          <w:iCs/>
          <w:color w:val="555555"/>
          <w:sz w:val="16"/>
          <w:szCs w:val="16"/>
        </w:rPr>
        <w:t xml:space="preserve">Documento preparado por Hard Services Facilities – Grupo Facilities XP Inc. | Confidencial</w:t>
      </w:r>
    </w:p>
    <w:p>
      <w:r>
        <w:br w:type="page"/>
      </w:r>
    </w:p>
    <w:p>
      <w:pPr>
        <w:pStyle w:val="Heading1"/>
        <w:shd w:fill="00ADA9" w:val="clear"/>
        <w:spacing w:after="200" w:before="300"/>
        <w:ind w:left="80"/>
      </w:pPr>
      <w:r>
        <w:rPr>
          <w:b/>
          <w:bCs/>
          <w:color w:val="FFFFFF"/>
          <w:sz w:val="24"/>
          <w:szCs w:val="24"/>
        </w:rPr>
        <w:t xml:space="preserve">1. OBJETIVO E ESCOPO DA VISITA</w:t>
      </w:r>
    </w:p>
    <w:p>
      <w:pPr>
        <w:spacing w:after="100"/>
      </w:pPr>
      <w:r>
        <w:rPr>
          <w:sz w:val="21"/>
          <w:szCs w:val="21"/>
        </w:rPr>
        <w:t xml:space="preserve">Visita técnica realizada de 09 a 11 de julho de 2026 ao Espaço XP Brasília, com os seguintes objetivos:</w:t>
      </w:r>
    </w:p>
    <w:p>
      <w:pPr>
        <w:spacing w:after="60"/>
      </w:pPr>
      <w:r>
        <w:rPr>
          <w:b/>
          <w:bCs/>
          <w:sz w:val="21"/>
          <w:szCs w:val="21"/>
        </w:rPr>
        <w:t xml:space="preserve">• </w:t>
      </w:r>
      <w:r>
        <w:rPr>
          <w:sz w:val="21"/>
          <w:szCs w:val="21"/>
        </w:rPr>
        <w:t xml:space="preserve">Inspecionar o Fancoil Imperium (FC-01) que atende o espaço, incluindo leituras de pressão e temperatura da água gelada e balanceamento do equipamento.</w:t>
      </w:r>
    </w:p>
    <w:p>
      <w:pPr>
        <w:spacing w:after="60"/>
      </w:pPr>
      <w:r>
        <w:rPr>
          <w:b/>
          <w:bCs/>
          <w:sz w:val="21"/>
          <w:szCs w:val="21"/>
        </w:rPr>
        <w:t xml:space="preserve">• </w:t>
      </w:r>
      <w:r>
        <w:rPr>
          <w:sz w:val="21"/>
          <w:szCs w:val="21"/>
        </w:rPr>
        <w:t xml:space="preserve">Verificar o estado de conservação das evaporadoras Carrier tipo cassete instaladas nas salas e ambientes comuns.</w:t>
      </w:r>
    </w:p>
    <w:p>
      <w:pPr>
        <w:spacing w:after="60"/>
      </w:pPr>
      <w:r>
        <w:rPr>
          <w:b/>
          <w:bCs/>
          <w:sz w:val="21"/>
          <w:szCs w:val="21"/>
        </w:rPr>
        <w:t xml:space="preserve">• </w:t>
      </w:r>
      <w:r>
        <w:rPr>
          <w:sz w:val="21"/>
          <w:szCs w:val="21"/>
        </w:rPr>
        <w:t xml:space="preserve">Avaliar o modo de operação das evaporadoras do CPD e corrigir configuração encontrada em desacordo com a demanda do ambiente.</w:t>
      </w:r>
    </w:p>
    <w:p>
      <w:pPr>
        <w:spacing w:after="60"/>
      </w:pPr>
      <w:r>
        <w:rPr>
          <w:b/>
          <w:bCs/>
          <w:sz w:val="21"/>
          <w:szCs w:val="21"/>
        </w:rPr>
        <w:t xml:space="preserve">• </w:t>
      </w:r>
      <w:r>
        <w:rPr>
          <w:sz w:val="21"/>
          <w:szCs w:val="21"/>
        </w:rPr>
        <w:t xml:space="preserve">Verificar a Central de Alarme de Incêndio Digital (Ilumac / JumperFour).</w:t>
      </w:r>
    </w:p>
    <w:p>
      <w:pPr>
        <w:spacing w:after="60"/>
      </w:pPr>
      <w:r>
        <w:rPr>
          <w:b/>
          <w:bCs/>
          <w:sz w:val="21"/>
          <w:szCs w:val="21"/>
        </w:rPr>
        <w:t xml:space="preserve">• </w:t>
      </w:r>
      <w:r>
        <w:rPr>
          <w:sz w:val="21"/>
          <w:szCs w:val="21"/>
        </w:rPr>
        <w:t xml:space="preserve">Realizar vistoria geral do espaço, registrar ocorrências e gerar plano de ação.</w:t>
      </w:r>
    </w:p>
    <w:p>
      <w:pPr>
        <w:spacing w:after="60"/>
      </w:pPr>
      <w:r>
        <w:rPr>
          <w:b/>
          <w:bCs/>
          <w:sz w:val="21"/>
          <w:szCs w:val="21"/>
        </w:rPr>
        <w:t xml:space="preserve">• </w:t>
      </w:r>
      <w:r>
        <w:rPr>
          <w:sz w:val="21"/>
          <w:szCs w:val="21"/>
        </w:rPr>
        <w:t xml:space="preserve">Comparar a situação atual com o registro do relatório de visita técnica anterior.</w:t>
      </w:r>
    </w:p>
    <w:p>
      <w:pPr>
        <w:spacing w:after="100"/>
      </w:pPr>
      <w:r>
        <w:rPr>
          <w:i/>
          <w:iCs/>
          <w:sz w:val="21"/>
          <w:szCs w:val="21"/>
        </w:rPr>
        <w:t xml:space="preserve">O Espaço XP Brasília não possui sistemas VRF LG — a climatização é feita por Fancoil Imperium (água gelada fornecida pelo shopping) associado a evaporadoras Carrier tipo cassete, além de duas evaporadoras dedicadas ao CPD.</w:t>
      </w:r>
    </w:p>
    <w:p>
      <w:pPr>
        <w:pStyle w:val="Heading1"/>
        <w:shd w:fill="00ADA9" w:val="clear"/>
        <w:spacing w:after="200" w:before="300"/>
        <w:ind w:left="80"/>
      </w:pPr>
      <w:r>
        <w:rPr>
          <w:b/>
          <w:bCs/>
          <w:color w:val="FFFFFF"/>
          <w:sz w:val="24"/>
          <w:szCs w:val="24"/>
        </w:rPr>
        <w:t xml:space="preserve">2. INVENTÁRIO DE SISTEMAS DE CLIMATIZAÇÃO</w:t>
      </w:r>
    </w:p>
    <w:p>
      <w:pPr>
        <w:spacing w:after="100"/>
      </w:pPr>
      <w:r>
        <w:rPr>
          <w:sz w:val="21"/>
          <w:szCs w:val="21"/>
        </w:rPr>
        <w:t xml:space="preserve">O Espaço XP Brasília utiliza sistema de climatização por água gelada (fornecida pelo shopping CasaPark) associado a um Fancoil Imperium e evaporadoras Carrier tipo cassete, além de duas evaporadoras dedicadas ao CPD (climatização independente).</w:t>
      </w: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1700"/>
        <w:gridCol w:w="2500"/>
        <w:gridCol w:w="1900"/>
        <w:gridCol w:w="1650"/>
        <w:gridCol w:w="1600"/>
      </w:tblGrid>
      <w:tr>
        <w:tc>
          <w:tcPr>
            <w:tcW w:type="dxa" w:w="1700"/>
            <w:shd w:fill="1A1A1A" w:val="clear"/>
            <w:vAlign w:val="center"/>
          </w:tcPr>
          <w:p>
            <w:r>
              <w:rPr>
                <w:b/>
                <w:bCs/>
                <w:color w:val="FFFFFF"/>
                <w:sz w:val="18"/>
                <w:szCs w:val="18"/>
              </w:rPr>
              <w:t xml:space="preserve">Equipamento</w:t>
            </w:r>
          </w:p>
        </w:tc>
        <w:tc>
          <w:tcPr>
            <w:tcW w:type="dxa" w:w="2500"/>
            <w:shd w:fill="1A1A1A" w:val="clear"/>
            <w:vAlign w:val="center"/>
          </w:tcPr>
          <w:p>
            <w:r>
              <w:rPr>
                <w:b/>
                <w:bCs/>
                <w:color w:val="FFFFFF"/>
                <w:sz w:val="18"/>
                <w:szCs w:val="18"/>
              </w:rPr>
              <w:t xml:space="preserve">Modelo / Tipo</w:t>
            </w:r>
          </w:p>
        </w:tc>
        <w:tc>
          <w:tcPr>
            <w:tcW w:type="dxa" w:w="1900"/>
            <w:shd w:fill="1A1A1A" w:val="clear"/>
            <w:vAlign w:val="center"/>
          </w:tcPr>
          <w:p>
            <w:r>
              <w:rPr>
                <w:b/>
                <w:bCs/>
                <w:color w:val="FFFFFF"/>
                <w:sz w:val="18"/>
                <w:szCs w:val="18"/>
              </w:rPr>
              <w:t xml:space="preserve">Patrimônio XP</w:t>
            </w:r>
          </w:p>
        </w:tc>
        <w:tc>
          <w:tcPr>
            <w:tcW w:type="dxa" w:w="1650"/>
            <w:shd w:fill="1A1A1A" w:val="clear"/>
            <w:vAlign w:val="center"/>
          </w:tcPr>
          <w:p>
            <w:r>
              <w:rPr>
                <w:b/>
                <w:bCs/>
                <w:color w:val="FFFFFF"/>
                <w:sz w:val="18"/>
                <w:szCs w:val="18"/>
              </w:rPr>
              <w:t xml:space="preserve">Sistema</w:t>
            </w:r>
          </w:p>
        </w:tc>
        <w:tc>
          <w:tcPr>
            <w:tcW w:type="dxa" w:w="1600"/>
            <w:shd w:fill="1A1A1A" w:val="clear"/>
            <w:vAlign w:val="center"/>
          </w:tcPr>
          <w:p>
            <w:r>
              <w:rPr>
                <w:b/>
                <w:bCs/>
                <w:color w:val="FFFFFF"/>
                <w:sz w:val="18"/>
                <w:szCs w:val="18"/>
              </w:rPr>
              <w:t xml:space="preserve">Status</w:t>
            </w:r>
          </w:p>
        </w:tc>
      </w:tr>
      <w:tr>
        <w:tc>
          <w:tcPr>
            <w:tcW w:type="dxa" w:w="1700"/>
            <w:shd w:fill="FFFFFF" w:val="clear"/>
            <w:vAlign w:val="center"/>
          </w:tcPr>
          <w:p>
            <w:r>
              <w:rPr>
                <w:b w:val="false"/>
                <w:bCs w:val="false"/>
                <w:sz w:val="18"/>
                <w:szCs w:val="18"/>
              </w:rPr>
              <w:t xml:space="preserve">FC-01</w:t>
            </w:r>
          </w:p>
        </w:tc>
        <w:tc>
          <w:tcPr>
            <w:tcW w:type="dxa" w:w="2500"/>
            <w:shd w:fill="FFFFFF" w:val="clear"/>
            <w:vAlign w:val="center"/>
          </w:tcPr>
          <w:p>
            <w:r>
              <w:rPr>
                <w:b w:val="false"/>
                <w:bCs w:val="false"/>
                <w:sz w:val="18"/>
                <w:szCs w:val="18"/>
              </w:rPr>
              <w:t xml:space="preserve">Fancoil Imperium ICI 10TR</w:t>
            </w:r>
          </w:p>
        </w:tc>
        <w:tc>
          <w:tcPr>
            <w:tcW w:type="dxa" w:w="1900"/>
            <w:shd w:fill="FFFFFF" w:val="clear"/>
            <w:vAlign w:val="center"/>
          </w:tcPr>
          <w:p>
            <w:r>
              <w:rPr>
                <w:b w:val="false"/>
                <w:bCs w:val="false"/>
                <w:sz w:val="18"/>
                <w:szCs w:val="18"/>
              </w:rPr>
              <w:t xml:space="preserve">100066160</w:t>
            </w:r>
          </w:p>
        </w:tc>
        <w:tc>
          <w:tcPr>
            <w:tcW w:type="dxa" w:w="1650"/>
            <w:shd w:fill="FFFFFF" w:val="clear"/>
            <w:vAlign w:val="center"/>
          </w:tcPr>
          <w:p>
            <w:r>
              <w:rPr>
                <w:b w:val="false"/>
                <w:bCs w:val="false"/>
                <w:sz w:val="18"/>
                <w:szCs w:val="18"/>
              </w:rPr>
              <w:t xml:space="preserve">Água gelada (shopping)</w:t>
            </w:r>
          </w:p>
        </w:tc>
        <w:tc>
          <w:tcPr>
            <w:tcW w:type="dxa" w:w="1600"/>
            <w:shd w:fill="FCEBD5" w:val="clear"/>
            <w:vAlign w:val="center"/>
          </w:tcPr>
          <w:p>
            <w:pPr>
              <w:jc w:val="center"/>
            </w:pPr>
            <w:r>
              <w:rPr>
                <w:b/>
                <w:bCs/>
                <w:color w:val="E07B00"/>
                <w:sz w:val="18"/>
                <w:szCs w:val="18"/>
              </w:rPr>
              <w:t xml:space="preserve">ATENÇÃO</w:t>
            </w:r>
          </w:p>
        </w:tc>
      </w:tr>
      <w:tr>
        <w:tc>
          <w:tcPr>
            <w:tcW w:type="dxa" w:w="1700"/>
            <w:shd w:fill="FFFFFF" w:val="clear"/>
            <w:vAlign w:val="center"/>
          </w:tcPr>
          <w:p>
            <w:r>
              <w:rPr>
                <w:b w:val="false"/>
                <w:bCs w:val="false"/>
                <w:sz w:val="18"/>
                <w:szCs w:val="18"/>
              </w:rPr>
              <w:t xml:space="preserve">Evaporadoras</w:t>
            </w:r>
          </w:p>
        </w:tc>
        <w:tc>
          <w:tcPr>
            <w:tcW w:type="dxa" w:w="2500"/>
            <w:shd w:fill="FFFFFF" w:val="clear"/>
            <w:vAlign w:val="center"/>
          </w:tcPr>
          <w:p>
            <w:r>
              <w:rPr>
                <w:b w:val="false"/>
                <w:bCs w:val="false"/>
                <w:sz w:val="18"/>
                <w:szCs w:val="18"/>
              </w:rPr>
              <w:t xml:space="preserve">Carrier cassete</w:t>
            </w:r>
          </w:p>
        </w:tc>
        <w:tc>
          <w:tcPr>
            <w:tcW w:type="dxa" w:w="1900"/>
            <w:shd w:fill="FFFFFF" w:val="clear"/>
            <w:vAlign w:val="center"/>
          </w:tcPr>
          <w:p>
            <w:r>
              <w:rPr>
                <w:b w:val="false"/>
                <w:bCs w:val="false"/>
                <w:sz w:val="18"/>
                <w:szCs w:val="18"/>
              </w:rPr>
              <w:t xml:space="preserve">100066100 e outras</w:t>
            </w:r>
          </w:p>
        </w:tc>
        <w:tc>
          <w:tcPr>
            <w:tcW w:type="dxa" w:w="1650"/>
            <w:shd w:fill="FFFFFF" w:val="clear"/>
            <w:vAlign w:val="center"/>
          </w:tcPr>
          <w:p>
            <w:r>
              <w:rPr>
                <w:b w:val="false"/>
                <w:bCs w:val="false"/>
                <w:sz w:val="18"/>
                <w:szCs w:val="18"/>
              </w:rPr>
              <w:t xml:space="preserve">Salas / ambientes comuns</w:t>
            </w:r>
          </w:p>
        </w:tc>
        <w:tc>
          <w:tcPr>
            <w:tcW w:type="dxa" w:w="1600"/>
            <w:shd w:fill="FCEBD5" w:val="clear"/>
            <w:vAlign w:val="center"/>
          </w:tcPr>
          <w:p>
            <w:pPr>
              <w:jc w:val="center"/>
            </w:pPr>
            <w:r>
              <w:rPr>
                <w:b/>
                <w:bCs/>
                <w:color w:val="E07B00"/>
                <w:sz w:val="18"/>
                <w:szCs w:val="18"/>
              </w:rPr>
              <w:t xml:space="preserve">ATENÇÃO</w:t>
            </w:r>
          </w:p>
        </w:tc>
      </w:tr>
      <w:tr>
        <w:tc>
          <w:tcPr>
            <w:tcW w:type="dxa" w:w="1700"/>
            <w:shd w:fill="FFFFFF" w:val="clear"/>
            <w:vAlign w:val="center"/>
          </w:tcPr>
          <w:p>
            <w:r>
              <w:rPr>
                <w:b w:val="false"/>
                <w:bCs w:val="false"/>
                <w:sz w:val="18"/>
                <w:szCs w:val="18"/>
              </w:rPr>
              <w:t xml:space="preserve">Evaporadora CPD 1</w:t>
            </w:r>
          </w:p>
        </w:tc>
        <w:tc>
          <w:tcPr>
            <w:tcW w:type="dxa" w:w="2500"/>
            <w:shd w:fill="FFFFFF" w:val="clear"/>
            <w:vAlign w:val="center"/>
          </w:tcPr>
          <w:p>
            <w:r>
              <w:rPr>
                <w:b w:val="false"/>
                <w:bCs w:val="false"/>
                <w:sz w:val="18"/>
                <w:szCs w:val="18"/>
              </w:rPr>
              <w:t xml:space="preserve">Split CPD</w:t>
            </w:r>
          </w:p>
        </w:tc>
        <w:tc>
          <w:tcPr>
            <w:tcW w:type="dxa" w:w="1900"/>
            <w:shd w:fill="FFFFFF" w:val="clear"/>
            <w:vAlign w:val="center"/>
          </w:tcPr>
          <w:p>
            <w:r>
              <w:rPr>
                <w:b w:val="false"/>
                <w:bCs w:val="false"/>
                <w:sz w:val="18"/>
                <w:szCs w:val="18"/>
              </w:rPr>
              <w:t xml:space="preserve">Sala CPD</w:t>
            </w:r>
          </w:p>
        </w:tc>
        <w:tc>
          <w:tcPr>
            <w:tcW w:type="dxa" w:w="1650"/>
            <w:shd w:fill="FFFFFF" w:val="clear"/>
            <w:vAlign w:val="center"/>
          </w:tcPr>
          <w:p>
            <w:r>
              <w:rPr>
                <w:b w:val="false"/>
                <w:bCs w:val="false"/>
                <w:sz w:val="18"/>
                <w:szCs w:val="18"/>
              </w:rPr>
              <w:t xml:space="preserve">CPD (arrefecimento)</w:t>
            </w:r>
          </w:p>
        </w:tc>
        <w:tc>
          <w:tcPr>
            <w:tcW w:type="dxa" w:w="1600"/>
            <w:shd w:fill="E2F0E3" w:val="clear"/>
            <w:vAlign w:val="center"/>
          </w:tcPr>
          <w:p>
            <w:pPr>
              <w:jc w:val="center"/>
            </w:pPr>
            <w:r>
              <w:rPr>
                <w:b/>
                <w:bCs/>
                <w:color w:val="2E7D32"/>
                <w:sz w:val="18"/>
                <w:szCs w:val="18"/>
              </w:rPr>
              <w:t xml:space="preserve">CORRIGIDO</w:t>
            </w:r>
          </w:p>
        </w:tc>
      </w:tr>
      <w:tr>
        <w:tc>
          <w:tcPr>
            <w:tcW w:type="dxa" w:w="1700"/>
            <w:shd w:fill="FFFFFF" w:val="clear"/>
            <w:vAlign w:val="center"/>
          </w:tcPr>
          <w:p>
            <w:r>
              <w:rPr>
                <w:b w:val="false"/>
                <w:bCs w:val="false"/>
                <w:sz w:val="18"/>
                <w:szCs w:val="18"/>
              </w:rPr>
              <w:t xml:space="preserve">Evaporadora CPD 2</w:t>
            </w:r>
          </w:p>
        </w:tc>
        <w:tc>
          <w:tcPr>
            <w:tcW w:type="dxa" w:w="2500"/>
            <w:shd w:fill="FFFFFF" w:val="clear"/>
            <w:vAlign w:val="center"/>
          </w:tcPr>
          <w:p>
            <w:r>
              <w:rPr>
                <w:b w:val="false"/>
                <w:bCs w:val="false"/>
                <w:sz w:val="18"/>
                <w:szCs w:val="18"/>
              </w:rPr>
              <w:t xml:space="preserve">Split CPD</w:t>
            </w:r>
          </w:p>
        </w:tc>
        <w:tc>
          <w:tcPr>
            <w:tcW w:type="dxa" w:w="1900"/>
            <w:shd w:fill="FFFFFF" w:val="clear"/>
            <w:vAlign w:val="center"/>
          </w:tcPr>
          <w:p>
            <w:r>
              <w:rPr>
                <w:b w:val="false"/>
                <w:bCs w:val="false"/>
                <w:sz w:val="18"/>
                <w:szCs w:val="18"/>
              </w:rPr>
              <w:t xml:space="preserve">Sala CPD</w:t>
            </w:r>
          </w:p>
        </w:tc>
        <w:tc>
          <w:tcPr>
            <w:tcW w:type="dxa" w:w="1650"/>
            <w:shd w:fill="FFFFFF" w:val="clear"/>
            <w:vAlign w:val="center"/>
          </w:tcPr>
          <w:p>
            <w:r>
              <w:rPr>
                <w:b w:val="false"/>
                <w:bCs w:val="false"/>
                <w:sz w:val="18"/>
                <w:szCs w:val="18"/>
              </w:rPr>
              <w:t xml:space="preserve">CPD (backup/ventilação)</w:t>
            </w:r>
          </w:p>
        </w:tc>
        <w:tc>
          <w:tcPr>
            <w:tcW w:type="dxa" w:w="1600"/>
            <w:shd w:fill="E2F0E3" w:val="clear"/>
            <w:vAlign w:val="center"/>
          </w:tcPr>
          <w:p>
            <w:pPr>
              <w:jc w:val="center"/>
            </w:pPr>
            <w:r>
              <w:rPr>
                <w:b/>
                <w:bCs/>
                <w:color w:val="2E7D32"/>
                <w:sz w:val="18"/>
                <w:szCs w:val="18"/>
              </w:rPr>
              <w:t xml:space="preserve">CORRIGIDO</w:t>
            </w:r>
          </w:p>
        </w:tc>
      </w:tr>
      <w:tr>
        <w:tc>
          <w:tcPr>
            <w:tcW w:type="dxa" w:w="1700"/>
            <w:shd w:fill="FFFFFF" w:val="clear"/>
            <w:vAlign w:val="center"/>
          </w:tcPr>
          <w:p>
            <w:r>
              <w:rPr>
                <w:b w:val="false"/>
                <w:bCs w:val="false"/>
                <w:sz w:val="18"/>
                <w:szCs w:val="18"/>
              </w:rPr>
              <w:t xml:space="preserve">Central de Incêndio</w:t>
            </w:r>
          </w:p>
        </w:tc>
        <w:tc>
          <w:tcPr>
            <w:tcW w:type="dxa" w:w="2500"/>
            <w:shd w:fill="FFFFFF" w:val="clear"/>
            <w:vAlign w:val="center"/>
          </w:tcPr>
          <w:p>
            <w:r>
              <w:rPr>
                <w:b w:val="false"/>
                <w:bCs w:val="false"/>
                <w:sz w:val="18"/>
                <w:szCs w:val="18"/>
              </w:rPr>
              <w:t xml:space="preserve">Ilumac – Digital</w:t>
            </w:r>
          </w:p>
        </w:tc>
        <w:tc>
          <w:tcPr>
            <w:tcW w:type="dxa" w:w="1900"/>
            <w:shd w:fill="FFFFFF" w:val="clear"/>
            <w:vAlign w:val="center"/>
          </w:tcPr>
          <w:p>
            <w:r>
              <w:rPr>
                <w:b w:val="false"/>
                <w:bCs w:val="false"/>
                <w:sz w:val="18"/>
                <w:szCs w:val="18"/>
              </w:rPr>
              <w:t xml:space="preserve">100066159</w:t>
            </w:r>
          </w:p>
        </w:tc>
        <w:tc>
          <w:tcPr>
            <w:tcW w:type="dxa" w:w="1650"/>
            <w:shd w:fill="FFFFFF" w:val="clear"/>
            <w:vAlign w:val="center"/>
          </w:tcPr>
          <w:p>
            <w:r>
              <w:rPr>
                <w:b w:val="false"/>
                <w:bCs w:val="false"/>
                <w:sz w:val="18"/>
                <w:szCs w:val="18"/>
              </w:rPr>
              <w:t xml:space="preserve">Detecção / Alarme</w:t>
            </w:r>
          </w:p>
        </w:tc>
        <w:tc>
          <w:tcPr>
            <w:tcW w:type="dxa" w:w="1600"/>
            <w:shd w:fill="E2F0E3" w:val="clear"/>
            <w:vAlign w:val="center"/>
          </w:tcPr>
          <w:p>
            <w:pPr>
              <w:jc w:val="center"/>
            </w:pPr>
            <w:r>
              <w:rPr>
                <w:b/>
                <w:bCs/>
                <w:color w:val="2E7D32"/>
                <w:sz w:val="18"/>
                <w:szCs w:val="18"/>
              </w:rPr>
              <w:t xml:space="preserve">NORMAL</w:t>
            </w:r>
          </w:p>
        </w:tc>
      </w:tr>
    </w:tbl>
    <w:p>
      <w:pPr>
        <w:spacing w:after="100"/>
      </w:pPr>
    </w:p>
    <w:p>
      <w:pPr>
        <w:spacing w:after="200" w:before="60"/>
        <w:jc w:val="center"/>
      </w:pPr>
      <w:r>
        <w:rPr>
          <w:i/>
          <w:iCs/>
          <w:color w:val="555555"/>
          <w:sz w:val="18"/>
          <w:szCs w:val="18"/>
        </w:rPr>
        <w:t xml:space="preserve">Relação de equipamentos identificados na visita (Fonte: levantamento de campo – 09 a 11/07/2026)</w:t>
      </w:r>
    </w:p>
    <w:p>
      <w:pPr>
        <w:pStyle w:val="Heading1"/>
        <w:shd w:fill="00ADA9" w:val="clear"/>
        <w:spacing w:after="200" w:before="300"/>
        <w:ind w:left="80"/>
      </w:pPr>
      <w:r>
        <w:rPr>
          <w:b/>
          <w:bCs/>
          <w:color w:val="FFFFFF"/>
          <w:sz w:val="24"/>
          <w:szCs w:val="24"/>
        </w:rPr>
        <w:t xml:space="preserve">3. FANCOIL IMPERIUM – FC-01</w:t>
      </w:r>
    </w:p>
    <w:tbl>
      <w:tblPr>
        <w:tblW w:type="dxa" w:w="9350"/>
        <w:tblBorders>
          <w:top w:val="single" w:color="00ADA9" w:sz="4"/>
          <w:left w:val="single" w:color="00ADA9" w:sz="4"/>
          <w:bottom w:val="single" w:color="00ADA9" w:sz="4"/>
          <w:right w:val="single" w:color="00ADA9" w:sz="4"/>
          <w:insideH w:val="none" w:color="FFFFFF" w:sz="0"/>
          <w:insideV w:val="none" w:color="FFFFFF" w:sz="0"/>
        </w:tblBorders>
      </w:tblPr>
      <w:tblGrid>
        <w:gridCol w:w="9350"/>
      </w:tblGrid>
      <w:tr>
        <w:tc>
          <w:tcPr>
            <w:tcW w:type="dxa" w:w="9350"/>
            <w:shd w:fill="F2F2F2" w:val="clear"/>
            <w:tcMar>
              <w:top w:type="dxa" w:w="150"/>
              <w:left w:type="dxa" w:w="200"/>
              <w:bottom w:type="dxa" w:w="150"/>
              <w:right w:type="dxa" w:w="200"/>
            </w:tcMar>
          </w:tcPr>
          <w:p>
            <w:pPr>
              <w:spacing w:after="60"/>
            </w:pPr>
            <w:r>
              <w:rPr>
                <w:b/>
                <w:bCs/>
                <w:sz w:val="19"/>
                <w:szCs w:val="19"/>
              </w:rPr>
              <w:t xml:space="preserve">Cliente (etiqueta): </w:t>
            </w:r>
            <w:r>
              <w:rPr>
                <w:sz w:val="19"/>
                <w:szCs w:val="19"/>
              </w:rPr>
              <w:t xml:space="preserve">XP Investimentos CCTVM</w:t>
            </w:r>
          </w:p>
          <w:p>
            <w:pPr>
              <w:spacing w:after="60"/>
            </w:pPr>
            <w:r>
              <w:rPr>
                <w:b/>
                <w:bCs/>
                <w:sz w:val="19"/>
                <w:szCs w:val="19"/>
              </w:rPr>
              <w:t xml:space="preserve">Modelo: </w:t>
            </w:r>
            <w:r>
              <w:rPr>
                <w:sz w:val="19"/>
                <w:szCs w:val="19"/>
              </w:rPr>
              <w:t xml:space="preserve">Imperium ICI 10TR</w:t>
            </w:r>
          </w:p>
          <w:p>
            <w:pPr>
              <w:spacing w:after="60"/>
            </w:pPr>
            <w:r>
              <w:rPr>
                <w:b/>
                <w:bCs/>
                <w:sz w:val="19"/>
                <w:szCs w:val="19"/>
              </w:rPr>
              <w:t xml:space="preserve">Número de Série: </w:t>
            </w:r>
            <w:r>
              <w:rPr>
                <w:sz w:val="19"/>
                <w:szCs w:val="19"/>
              </w:rPr>
              <w:t xml:space="preserve">6003</w:t>
            </w:r>
          </w:p>
          <w:p>
            <w:pPr>
              <w:spacing w:after="60"/>
            </w:pPr>
            <w:r>
              <w:rPr>
                <w:b/>
                <w:bCs/>
                <w:sz w:val="19"/>
                <w:szCs w:val="19"/>
              </w:rPr>
              <w:t xml:space="preserve">Vazão Nominal: </w:t>
            </w:r>
            <w:r>
              <w:rPr>
                <w:sz w:val="19"/>
                <w:szCs w:val="19"/>
              </w:rPr>
              <w:t xml:space="preserve">7.200 m³/h</w:t>
            </w:r>
          </w:p>
          <w:p>
            <w:pPr>
              <w:spacing w:after="60"/>
            </w:pPr>
            <w:r>
              <w:rPr>
                <w:b/>
                <w:bCs/>
                <w:sz w:val="19"/>
                <w:szCs w:val="19"/>
              </w:rPr>
              <w:t xml:space="preserve">Alimentação Elétrica: </w:t>
            </w:r>
            <w:r>
              <w:rPr>
                <w:sz w:val="19"/>
                <w:szCs w:val="19"/>
              </w:rPr>
              <w:t xml:space="preserve">220/380 V trifásico</w:t>
            </w:r>
          </w:p>
          <w:p>
            <w:pPr>
              <w:spacing w:after="60"/>
            </w:pPr>
            <w:r>
              <w:rPr>
                <w:b/>
                <w:bCs/>
                <w:sz w:val="19"/>
                <w:szCs w:val="19"/>
              </w:rPr>
              <w:t xml:space="preserve">Motor Elétrico: </w:t>
            </w:r>
            <w:r>
              <w:rPr>
                <w:sz w:val="19"/>
                <w:szCs w:val="19"/>
              </w:rPr>
              <w:t xml:space="preserve">3,0 cv / 4 polos</w:t>
            </w:r>
          </w:p>
          <w:p>
            <w:pPr>
              <w:spacing w:after="60"/>
            </w:pPr>
            <w:r>
              <w:rPr>
                <w:b/>
                <w:bCs/>
                <w:sz w:val="19"/>
                <w:szCs w:val="19"/>
              </w:rPr>
              <w:t xml:space="preserve">Pressão Estática Disponível: </w:t>
            </w:r>
            <w:r>
              <w:rPr>
                <w:sz w:val="19"/>
                <w:szCs w:val="19"/>
              </w:rPr>
              <w:t xml:space="preserve">25 mmCa</w:t>
            </w:r>
          </w:p>
          <w:p>
            <w:pPr>
              <w:spacing w:after="60"/>
            </w:pPr>
            <w:r>
              <w:rPr>
                <w:b/>
                <w:bCs/>
                <w:sz w:val="19"/>
                <w:szCs w:val="19"/>
              </w:rPr>
              <w:t xml:space="preserve">Serpentina de Resfriamento: </w:t>
            </w:r>
            <w:r>
              <w:rPr>
                <w:sz w:val="19"/>
                <w:szCs w:val="19"/>
              </w:rPr>
              <w:t xml:space="preserve">8 rows</w:t>
            </w:r>
          </w:p>
          <w:p>
            <w:pPr>
              <w:spacing w:after="60"/>
            </w:pPr>
            <w:r>
              <w:rPr>
                <w:b/>
                <w:bCs/>
                <w:sz w:val="19"/>
                <w:szCs w:val="19"/>
              </w:rPr>
              <w:t xml:space="preserve">Peso: </w:t>
            </w:r>
            <w:r>
              <w:rPr>
                <w:sz w:val="19"/>
                <w:szCs w:val="19"/>
              </w:rPr>
              <w:t xml:space="preserve">240 kg</w:t>
            </w:r>
          </w:p>
          <w:p>
            <w:pPr>
              <w:spacing w:after="60"/>
            </w:pPr>
            <w:r>
              <w:rPr>
                <w:b/>
                <w:bCs/>
                <w:sz w:val="19"/>
                <w:szCs w:val="19"/>
              </w:rPr>
              <w:t xml:space="preserve">Data de Fabricação: </w:t>
            </w:r>
            <w:r>
              <w:rPr>
                <w:sz w:val="19"/>
                <w:szCs w:val="19"/>
              </w:rPr>
              <w:t xml:space="preserve">15/09/2023</w:t>
            </w:r>
          </w:p>
          <w:p>
            <w:pPr>
              <w:spacing w:after="60"/>
            </w:pPr>
            <w:r>
              <w:rPr>
                <w:b/>
                <w:bCs/>
                <w:sz w:val="19"/>
                <w:szCs w:val="19"/>
              </w:rPr>
              <w:t xml:space="preserve">Patrimônio XP: </w:t>
            </w:r>
            <w:r>
              <w:rPr>
                <w:sz w:val="19"/>
                <w:szCs w:val="19"/>
              </w:rPr>
              <w:t xml:space="preserve">100066160</w:t>
            </w:r>
          </w:p>
        </w:tc>
      </w:tr>
    </w:tbl>
    <w:p>
      <w:pPr>
        <w:spacing w:after="150"/>
      </w:pPr>
    </w:p>
    <w:tbl>
      <w:tblPr>
        <w:tblW w:type="dxa" w:w="9350"/>
        <w:tblBorders>
          <w:top w:val="single" w:color="FCEBD5" w:sz="4"/>
          <w:left w:val="single" w:color="FCEBD5" w:sz="4"/>
          <w:bottom w:val="single" w:color="FCEBD5" w:sz="4"/>
          <w:right w:val="single" w:color="FCEBD5" w:sz="4"/>
          <w:insideH w:val="none" w:color="FFFFFF" w:sz="0"/>
          <w:insideV w:val="none" w:color="FFFFFF" w:sz="0"/>
        </w:tblBorders>
      </w:tblPr>
      <w:tblGrid>
        <w:gridCol w:w="1400"/>
        <w:gridCol w:w="7950"/>
      </w:tblGrid>
      <w:tr>
        <w:tc>
          <w:tcPr>
            <w:tcW w:type="dxa" w:w="1400"/>
            <w:shd w:fill="FCEBD5" w:val="clear"/>
            <w:vAlign w:val="center"/>
          </w:tcPr>
          <w:p>
            <w:pPr>
              <w:jc w:val="center"/>
            </w:pPr>
            <w:r>
              <w:rPr>
                <w:b/>
                <w:bCs/>
                <w:color w:val="E07B00"/>
                <w:sz w:val="20"/>
                <w:szCs w:val="20"/>
              </w:rPr>
              <w:t xml:space="preserve">ATENÇÃO</w:t>
            </w:r>
          </w:p>
        </w:tc>
        <w:tc>
          <w:tcPr>
            <w:tcW w:type="dxa" w:w="7950"/>
            <w:shd w:fill="FFFFFF" w:val="clear"/>
            <w:tcMar>
              <w:top w:type="dxa" w:w="120"/>
              <w:left w:type="dxa" w:w="150"/>
              <w:bottom w:type="dxa" w:w="120"/>
              <w:right w:type="dxa" w:w="150"/>
            </w:tcMar>
            <w:vAlign w:val="center"/>
          </w:tcPr>
          <w:p>
            <w:r>
              <w:rPr>
                <w:sz w:val="20"/>
                <w:szCs w:val="20"/>
              </w:rPr>
              <w:t xml:space="preserve">Balanceamento do fancoil realizado durante a visita. Necessário incluir na rotina de manutenção preventiva a lavagem e aspiração da bandeja de condensado, que apresentava acúmulo de sujidade.</w:t>
            </w:r>
          </w:p>
        </w:tc>
      </w:tr>
    </w:tbl>
    <w:p>
      <w:pPr>
        <w:spacing w:after="100"/>
      </w:pPr>
      <w:r>
        <w:rPr>
          <w:sz w:val="21"/>
          <w:szCs w:val="21"/>
        </w:rPr>
        <w:t xml:space="preserve">Ações realizadas:</w:t>
      </w:r>
    </w:p>
    <w:p>
      <w:pPr>
        <w:spacing w:after="60"/>
      </w:pPr>
      <w:r>
        <w:rPr>
          <w:b/>
          <w:bCs/>
          <w:sz w:val="21"/>
          <w:szCs w:val="21"/>
        </w:rPr>
        <w:t xml:space="preserve">• </w:t>
      </w:r>
      <w:r>
        <w:rPr>
          <w:sz w:val="21"/>
          <w:szCs w:val="21"/>
        </w:rPr>
        <w:t xml:space="preserve">Verificação das conexões hidráulicas do fancoil — sem irregularidades aparentes em relação ao projeto.</w:t>
      </w:r>
    </w:p>
    <w:p>
      <w:pPr>
        <w:spacing w:after="60"/>
      </w:pPr>
      <w:r>
        <w:rPr>
          <w:b/>
          <w:bCs/>
          <w:sz w:val="21"/>
          <w:szCs w:val="21"/>
        </w:rPr>
        <w:t xml:space="preserve">• </w:t>
      </w:r>
      <w:r>
        <w:rPr>
          <w:sz w:val="21"/>
          <w:szCs w:val="21"/>
        </w:rPr>
        <w:t xml:space="preserve">Realizado o balanceamento do Fancoil FC-01.</w:t>
      </w:r>
    </w:p>
    <w:p>
      <w:pPr>
        <w:spacing w:after="60"/>
      </w:pPr>
      <w:r>
        <w:rPr>
          <w:b/>
          <w:bCs/>
          <w:sz w:val="21"/>
          <w:szCs w:val="21"/>
        </w:rPr>
        <w:t xml:space="preserve">• </w:t>
      </w:r>
      <w:r>
        <w:rPr>
          <w:sz w:val="21"/>
          <w:szCs w:val="21"/>
        </w:rPr>
        <w:t xml:space="preserve">Leitura de pressão e temperatura da água gelada no ponto de medição (ver Seção 4).</w:t>
      </w:r>
    </w:p>
    <w:p>
      <w:pPr>
        <w:spacing w:after="100"/>
      </w:pPr>
      <w:r>
        <w:rPr>
          <w:sz w:val="21"/>
          <w:szCs w:val="21"/>
        </w:rPr>
        <w:t xml:space="preserve">Pendência identificada:</w:t>
      </w:r>
    </w:p>
    <w:p>
      <w:pPr>
        <w:spacing w:after="60"/>
      </w:pPr>
      <w:r>
        <w:rPr>
          <w:b/>
          <w:bCs/>
          <w:sz w:val="21"/>
          <w:szCs w:val="21"/>
        </w:rPr>
        <w:t xml:space="preserve">• </w:t>
      </w:r>
      <w:r>
        <w:rPr>
          <w:sz w:val="21"/>
          <w:szCs w:val="21"/>
        </w:rPr>
        <w:t xml:space="preserve">Bandeja de condensado do fancoil necessita lavagem e aspiração — acúmulo de sujidade que pode comprometer o escoamento do dreno e favorecer proliferação de fungos/bactérias.</w:t>
      </w:r>
    </w:p>
    <w:p>
      <w:pPr>
        <w:pStyle w:val="Heading1"/>
        <w:shd w:fill="00ADA9" w:val="clear"/>
        <w:spacing w:after="200" w:before="300"/>
        <w:ind w:left="80"/>
      </w:pPr>
      <w:r>
        <w:rPr>
          <w:b/>
          <w:bCs/>
          <w:color w:val="FFFFFF"/>
          <w:sz w:val="24"/>
          <w:szCs w:val="24"/>
        </w:rPr>
        <w:t xml:space="preserve">4. LEITURAS DE CAMPO – TEMPERATURA E PRESSÃO</w:t>
      </w:r>
    </w:p>
    <w:p>
      <w:pPr>
        <w:spacing w:after="100"/>
      </w:pPr>
      <w:r>
        <w:rPr>
          <w:sz w:val="21"/>
          <w:szCs w:val="21"/>
        </w:rPr>
        <w:t xml:space="preserve">Leituras coletadas diretamente no manômetro e termômetro instalados na tubulação de água gelada que atende o Fancoil FC-01.</w:t>
      </w: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3117"/>
        <w:gridCol w:w="2117"/>
        <w:gridCol w:w="2117"/>
        <w:gridCol w:w="1999"/>
      </w:tblGrid>
      <w:tr>
        <w:tc>
          <w:tcPr>
            <w:tcW w:type="dxa" w:w="3117"/>
            <w:shd w:fill="1A1A1A" w:val="clear"/>
            <w:vAlign w:val="center"/>
          </w:tcPr>
          <w:p>
            <w:r>
              <w:rPr>
                <w:b/>
                <w:bCs/>
                <w:color w:val="FFFFFF"/>
                <w:sz w:val="18"/>
                <w:szCs w:val="18"/>
              </w:rPr>
              <w:t xml:space="preserve">Parâmetro</w:t>
            </w:r>
          </w:p>
        </w:tc>
        <w:tc>
          <w:tcPr>
            <w:tcW w:type="dxa" w:w="2117"/>
            <w:shd w:fill="1A1A1A" w:val="clear"/>
            <w:vAlign w:val="center"/>
          </w:tcPr>
          <w:p>
            <w:r>
              <w:rPr>
                <w:b/>
                <w:bCs/>
                <w:color w:val="FFFFFF"/>
                <w:sz w:val="18"/>
                <w:szCs w:val="18"/>
              </w:rPr>
              <w:t xml:space="preserve">Valor Lido</w:t>
            </w:r>
          </w:p>
        </w:tc>
        <w:tc>
          <w:tcPr>
            <w:tcW w:type="dxa" w:w="2117"/>
            <w:shd w:fill="1A1A1A" w:val="clear"/>
            <w:vAlign w:val="center"/>
          </w:tcPr>
          <w:p>
            <w:r>
              <w:rPr>
                <w:b/>
                <w:bCs/>
                <w:color w:val="FFFFFF"/>
                <w:sz w:val="18"/>
                <w:szCs w:val="18"/>
              </w:rPr>
              <w:t xml:space="preserve">Faixa Típica*</w:t>
            </w:r>
          </w:p>
        </w:tc>
        <w:tc>
          <w:tcPr>
            <w:tcW w:type="dxa" w:w="1999"/>
            <w:shd w:fill="1A1A1A" w:val="clear"/>
            <w:vAlign w:val="center"/>
          </w:tcPr>
          <w:p>
            <w:r>
              <w:rPr>
                <w:b/>
                <w:bCs/>
                <w:color w:val="FFFFFF"/>
                <w:sz w:val="18"/>
                <w:szCs w:val="18"/>
              </w:rPr>
              <w:t xml:space="preserve">Status</w:t>
            </w:r>
          </w:p>
        </w:tc>
      </w:tr>
      <w:tr>
        <w:tc>
          <w:tcPr>
            <w:tcW w:type="dxa" w:w="3117"/>
            <w:shd w:fill="FFFFFF" w:val="clear"/>
            <w:vAlign w:val="center"/>
          </w:tcPr>
          <w:p>
            <w:r>
              <w:rPr>
                <w:b w:val="false"/>
                <w:bCs w:val="false"/>
                <w:sz w:val="18"/>
                <w:szCs w:val="18"/>
              </w:rPr>
              <w:t xml:space="preserve">Pressão – circuito de água gelada</w:t>
            </w:r>
          </w:p>
        </w:tc>
        <w:tc>
          <w:tcPr>
            <w:tcW w:type="dxa" w:w="2117"/>
            <w:shd w:fill="FFFFFF" w:val="clear"/>
            <w:vAlign w:val="center"/>
          </w:tcPr>
          <w:p>
            <w:r>
              <w:rPr>
                <w:b w:val="false"/>
                <w:bCs w:val="false"/>
                <w:sz w:val="18"/>
                <w:szCs w:val="18"/>
              </w:rPr>
              <w:t xml:space="preserve">≈ 5,5 bar</w:t>
            </w:r>
          </w:p>
        </w:tc>
        <w:tc>
          <w:tcPr>
            <w:tcW w:type="dxa" w:w="2117"/>
            <w:shd w:fill="FFFFFF" w:val="clear"/>
            <w:vAlign w:val="center"/>
          </w:tcPr>
          <w:p>
            <w:r>
              <w:rPr>
                <w:b w:val="false"/>
                <w:bCs w:val="false"/>
                <w:sz w:val="18"/>
                <w:szCs w:val="18"/>
              </w:rPr>
              <w:t xml:space="preserve">2 – 8 bar</w:t>
            </w:r>
          </w:p>
        </w:tc>
        <w:tc>
          <w:tcPr>
            <w:tcW w:type="dxa" w:w="1999"/>
            <w:shd w:fill="E2F0E3" w:val="clear"/>
            <w:vAlign w:val="center"/>
          </w:tcPr>
          <w:p>
            <w:pPr>
              <w:jc w:val="center"/>
            </w:pPr>
            <w:r>
              <w:rPr>
                <w:b/>
                <w:bCs/>
                <w:color w:val="2E7D32"/>
                <w:sz w:val="18"/>
                <w:szCs w:val="18"/>
              </w:rPr>
              <w:t xml:space="preserve">NORMAL</w:t>
            </w:r>
          </w:p>
        </w:tc>
      </w:tr>
      <w:tr>
        <w:tc>
          <w:tcPr>
            <w:tcW w:type="dxa" w:w="3117"/>
            <w:shd w:fill="FFFFFF" w:val="clear"/>
            <w:vAlign w:val="center"/>
          </w:tcPr>
          <w:p>
            <w:r>
              <w:rPr>
                <w:b w:val="false"/>
                <w:bCs w:val="false"/>
                <w:sz w:val="18"/>
                <w:szCs w:val="18"/>
              </w:rPr>
              <w:t xml:space="preserve">Temperatura – água gelada (retorno)</w:t>
            </w:r>
          </w:p>
        </w:tc>
        <w:tc>
          <w:tcPr>
            <w:tcW w:type="dxa" w:w="2117"/>
            <w:shd w:fill="FFFFFF" w:val="clear"/>
            <w:vAlign w:val="center"/>
          </w:tcPr>
          <w:p>
            <w:r>
              <w:rPr>
                <w:b w:val="false"/>
                <w:bCs w:val="false"/>
                <w:sz w:val="18"/>
                <w:szCs w:val="18"/>
              </w:rPr>
              <w:t xml:space="preserve">≈ 18 °C</w:t>
            </w:r>
          </w:p>
        </w:tc>
        <w:tc>
          <w:tcPr>
            <w:tcW w:type="dxa" w:w="2117"/>
            <w:shd w:fill="FFFFFF" w:val="clear"/>
            <w:vAlign w:val="center"/>
          </w:tcPr>
          <w:p>
            <w:r>
              <w:rPr>
                <w:b w:val="false"/>
                <w:bCs w:val="false"/>
                <w:sz w:val="18"/>
                <w:szCs w:val="18"/>
              </w:rPr>
              <w:t xml:space="preserve">12 – 18 °C</w:t>
            </w:r>
          </w:p>
        </w:tc>
        <w:tc>
          <w:tcPr>
            <w:tcW w:type="dxa" w:w="1999"/>
            <w:shd w:fill="DCE9F8" w:val="clear"/>
            <w:vAlign w:val="center"/>
          </w:tcPr>
          <w:p>
            <w:pPr>
              <w:jc w:val="center"/>
            </w:pPr>
            <w:r>
              <w:rPr>
                <w:b/>
                <w:bCs/>
                <w:color w:val="1565C0"/>
                <w:sz w:val="18"/>
                <w:szCs w:val="18"/>
              </w:rPr>
              <w:t xml:space="preserve">OBSERVAR</w:t>
            </w:r>
          </w:p>
        </w:tc>
      </w:tr>
    </w:tbl>
    <w:p>
      <w:pPr>
        <w:spacing w:after="60"/>
      </w:pPr>
    </w:p>
    <w:p>
      <w:pPr>
        <w:spacing w:after="100"/>
      </w:pPr>
      <w:r>
        <w:rPr>
          <w:i/>
          <w:iCs/>
          <w:sz w:val="18"/>
          <w:szCs w:val="18"/>
        </w:rPr>
        <w:t xml:space="preserve">* Faixas de referência aproximadas para sistemas de água gelada predial em conforto — não há baseline de fabricante formalizado para este circuito (fornecido pela administração do shopping).</w:t>
      </w:r>
    </w:p>
    <w:p>
      <w:pPr>
        <w:pStyle w:val="Heading1"/>
        <w:shd w:fill="00ADA9" w:val="clear"/>
        <w:spacing w:after="200" w:before="300"/>
        <w:ind w:left="80"/>
      </w:pPr>
      <w:r>
        <w:rPr>
          <w:b/>
          <w:bCs/>
          <w:color w:val="FFFFFF"/>
          <w:sz w:val="24"/>
          <w:szCs w:val="24"/>
        </w:rPr>
        <w:t xml:space="preserve">5. EVAPORADORAS DO CPD – AJUSTE DE MODO OPERACIONAL</w:t>
      </w:r>
    </w:p>
    <w:tbl>
      <w:tblPr>
        <w:tblW w:type="dxa" w:w="9350"/>
        <w:tblBorders>
          <w:top w:val="single" w:color="F8D7D7" w:sz="4"/>
          <w:left w:val="single" w:color="F8D7D7" w:sz="4"/>
          <w:bottom w:val="single" w:color="F8D7D7" w:sz="4"/>
          <w:right w:val="single" w:color="F8D7D7" w:sz="4"/>
          <w:insideH w:val="none" w:color="FFFFFF" w:sz="0"/>
          <w:insideV w:val="none" w:color="FFFFFF" w:sz="0"/>
        </w:tblBorders>
      </w:tblPr>
      <w:tblGrid>
        <w:gridCol w:w="1400"/>
        <w:gridCol w:w="7950"/>
      </w:tblGrid>
      <w:tr>
        <w:tc>
          <w:tcPr>
            <w:tcW w:type="dxa" w:w="1400"/>
            <w:shd w:fill="F8D7D7" w:val="clear"/>
            <w:vAlign w:val="center"/>
          </w:tcPr>
          <w:p>
            <w:pPr>
              <w:jc w:val="center"/>
            </w:pPr>
            <w:r>
              <w:rPr>
                <w:b/>
                <w:bCs/>
                <w:color w:val="C62828"/>
                <w:sz w:val="20"/>
                <w:szCs w:val="20"/>
              </w:rPr>
              <w:t xml:space="preserve">CRÍTICO</w:t>
            </w:r>
          </w:p>
        </w:tc>
        <w:tc>
          <w:tcPr>
            <w:tcW w:type="dxa" w:w="7950"/>
            <w:shd w:fill="FFFFFF" w:val="clear"/>
            <w:tcMar>
              <w:top w:type="dxa" w:w="120"/>
              <w:left w:type="dxa" w:w="150"/>
              <w:bottom w:type="dxa" w:w="120"/>
              <w:right w:type="dxa" w:w="150"/>
            </w:tcMar>
            <w:vAlign w:val="center"/>
          </w:tcPr>
          <w:p>
            <w:r>
              <w:rPr>
                <w:sz w:val="20"/>
                <w:szCs w:val="20"/>
              </w:rPr>
              <w:t xml:space="preserve">As duas evaporadoras do CPD foram encontradas operando em modo VENTILAÇÃO (sem arrefecimento ativo), deixando o ambiente com temperatura elevada e risco para os equipamentos de TI/rede instalados no local.</w:t>
            </w:r>
          </w:p>
        </w:tc>
      </w:tr>
    </w:tbl>
    <w:p>
      <w:pPr>
        <w:spacing w:after="100"/>
      </w:pPr>
      <w:r>
        <w:rPr>
          <w:sz w:val="21"/>
          <w:szCs w:val="21"/>
        </w:rPr>
        <w:t xml:space="preserve">Ação corretiva realizada durante a visita — rodízio entre as evaporadoras do CPD:</w:t>
      </w:r>
    </w:p>
    <w:p>
      <w:pPr>
        <w:spacing w:after="60"/>
      </w:pPr>
      <w:r>
        <w:rPr>
          <w:b/>
          <w:bCs/>
          <w:sz w:val="21"/>
          <w:szCs w:val="21"/>
        </w:rPr>
        <w:t xml:space="preserve">• </w:t>
      </w:r>
      <w:r>
        <w:rPr>
          <w:sz w:val="21"/>
          <w:szCs w:val="21"/>
        </w:rPr>
        <w:t xml:space="preserve">Evaporadora 1: reconfigurada para modo ARREFECIMENTO (operação principal do CPD).</w:t>
      </w:r>
    </w:p>
    <w:p>
      <w:pPr>
        <w:spacing w:after="60"/>
      </w:pPr>
      <w:r>
        <w:rPr>
          <w:b/>
          <w:bCs/>
          <w:sz w:val="21"/>
          <w:szCs w:val="21"/>
        </w:rPr>
        <w:t xml:space="preserve">• </w:t>
      </w:r>
      <w:r>
        <w:rPr>
          <w:sz w:val="21"/>
          <w:szCs w:val="21"/>
        </w:rPr>
        <w:t xml:space="preserve">Evaporadora 2: mantida em modo VENTILAÇÃO / BACKUP, assumindo o arrefecimento automaticamente em caso de falha da unidade principal.</w:t>
      </w:r>
    </w:p>
    <w:p>
      <w:pPr>
        <w:spacing w:after="100"/>
      </w:pPr>
      <w:r>
        <w:rPr>
          <w:sz w:val="21"/>
          <w:szCs w:val="21"/>
        </w:rPr>
        <w:t xml:space="preserve">Recomendação: formalizar rotina de rodízio periódico entre as duas evaporadoras (ex.: alternância semanal ou mensal) para equalizar o desgaste dos equipamentos, e avaliar a instalação de um controlador dedicado que gerencie o modo mestre/escravo automaticamente.</w:t>
      </w:r>
    </w:p>
    <w:p>
      <w:pPr>
        <w:spacing w:after="100"/>
      </w:pPr>
    </w:p>
    <w:tbl>
      <w:tblPr>
        <w:tblW w:type="dxa" w:w="9350"/>
        <w:tblBorders>
          <w:top w:val="single" w:color="FCEBD5" w:sz="4"/>
          <w:left w:val="single" w:color="FCEBD5" w:sz="4"/>
          <w:bottom w:val="single" w:color="FCEBD5" w:sz="4"/>
          <w:right w:val="single" w:color="FCEBD5" w:sz="4"/>
          <w:insideH w:val="none" w:color="FFFFFF" w:sz="0"/>
          <w:insideV w:val="none" w:color="FFFFFF" w:sz="0"/>
        </w:tblBorders>
      </w:tblPr>
      <w:tblGrid>
        <w:gridCol w:w="1400"/>
        <w:gridCol w:w="7950"/>
      </w:tblGrid>
      <w:tr>
        <w:tc>
          <w:tcPr>
            <w:tcW w:type="dxa" w:w="1400"/>
            <w:shd w:fill="FCEBD5" w:val="clear"/>
            <w:vAlign w:val="center"/>
          </w:tcPr>
          <w:p>
            <w:pPr>
              <w:jc w:val="center"/>
            </w:pPr>
            <w:r>
              <w:rPr>
                <w:b/>
                <w:bCs/>
                <w:color w:val="E07B00"/>
                <w:sz w:val="20"/>
                <w:szCs w:val="20"/>
              </w:rPr>
              <w:t xml:space="preserve">ATENÇÃO</w:t>
            </w:r>
          </w:p>
        </w:tc>
        <w:tc>
          <w:tcPr>
            <w:tcW w:type="dxa" w:w="7950"/>
            <w:shd w:fill="FFFFFF" w:val="clear"/>
            <w:tcMar>
              <w:top w:type="dxa" w:w="120"/>
              <w:left w:type="dxa" w:w="150"/>
              <w:bottom w:type="dxa" w:w="120"/>
              <w:right w:type="dxa" w:w="150"/>
            </w:tcMar>
            <w:vAlign w:val="center"/>
          </w:tcPr>
          <w:p>
            <w:r>
              <w:rPr>
                <w:sz w:val="20"/>
                <w:szCs w:val="20"/>
              </w:rPr>
              <w:t xml:space="preserve">Não há alçapão de acesso para manutenção dos equipamentos do CPD. É necessária a abertura de um alçapão para viabilizar inspeções e serviços de manutenção com segurança.</w:t>
            </w:r>
          </w:p>
        </w:tc>
      </w:tr>
    </w:tbl>
    <w:p>
      <w:pPr>
        <w:pStyle w:val="Heading1"/>
        <w:shd w:fill="00ADA9" w:val="clear"/>
        <w:spacing w:after="200" w:before="300"/>
        <w:ind w:left="80"/>
      </w:pPr>
      <w:r>
        <w:rPr>
          <w:b/>
          <w:bCs/>
          <w:color w:val="FFFFFF"/>
          <w:sz w:val="24"/>
          <w:szCs w:val="24"/>
        </w:rPr>
        <w:t xml:space="preserve">6. EVAPORADORAS CARRIER (CASSETE) – ESTADO DE CONSERVAÇÃO</w:t>
      </w:r>
    </w:p>
    <w:tbl>
      <w:tblPr>
        <w:tblW w:type="dxa" w:w="9350"/>
        <w:tblBorders>
          <w:top w:val="single" w:color="FCEBD5" w:sz="4"/>
          <w:left w:val="single" w:color="FCEBD5" w:sz="4"/>
          <w:bottom w:val="single" w:color="FCEBD5" w:sz="4"/>
          <w:right w:val="single" w:color="FCEBD5" w:sz="4"/>
          <w:insideH w:val="none" w:color="FFFFFF" w:sz="0"/>
          <w:insideV w:val="none" w:color="FFFFFF" w:sz="0"/>
        </w:tblBorders>
      </w:tblPr>
      <w:tblGrid>
        <w:gridCol w:w="1400"/>
        <w:gridCol w:w="7950"/>
      </w:tblGrid>
      <w:tr>
        <w:tc>
          <w:tcPr>
            <w:tcW w:type="dxa" w:w="1400"/>
            <w:shd w:fill="FCEBD5" w:val="clear"/>
            <w:vAlign w:val="center"/>
          </w:tcPr>
          <w:p>
            <w:pPr>
              <w:jc w:val="center"/>
            </w:pPr>
            <w:r>
              <w:rPr>
                <w:b/>
                <w:bCs/>
                <w:color w:val="E07B00"/>
                <w:sz w:val="20"/>
                <w:szCs w:val="20"/>
              </w:rPr>
              <w:t xml:space="preserve">ATENÇÃO</w:t>
            </w:r>
          </w:p>
        </w:tc>
        <w:tc>
          <w:tcPr>
            <w:tcW w:type="dxa" w:w="7950"/>
            <w:shd w:fill="FFFFFF" w:val="clear"/>
            <w:tcMar>
              <w:top w:type="dxa" w:w="120"/>
              <w:left w:type="dxa" w:w="150"/>
              <w:bottom w:type="dxa" w:w="120"/>
              <w:right w:type="dxa" w:w="150"/>
            </w:tcMar>
            <w:vAlign w:val="center"/>
          </w:tcPr>
          <w:p>
            <w:r>
              <w:rPr>
                <w:sz w:val="20"/>
                <w:szCs w:val="20"/>
              </w:rPr>
              <w:t xml:space="preserve">As evaporadoras Carrier tipo cassete estão muito sujas, com as aletas manchadas. Constatado que a prestadora atual realiza a lavagem apenas com água, sem aplicação de bactericida ou produto de limpeza adequado — o que favorece o odor de mofo relatado nas salas.</w:t>
            </w:r>
          </w:p>
        </w:tc>
      </w:tr>
    </w:tbl>
    <w:p>
      <w:pPr>
        <w:spacing w:after="100"/>
      </w:pPr>
      <w:r>
        <w:rPr>
          <w:sz w:val="21"/>
          <w:szCs w:val="21"/>
        </w:rPr>
        <w:t xml:space="preserve">Observações:</w:t>
      </w:r>
    </w:p>
    <w:p>
      <w:pPr>
        <w:spacing w:after="60"/>
      </w:pPr>
      <w:r>
        <w:rPr>
          <w:b/>
          <w:bCs/>
          <w:sz w:val="21"/>
          <w:szCs w:val="21"/>
        </w:rPr>
        <w:t xml:space="preserve">• </w:t>
      </w:r>
      <w:r>
        <w:rPr>
          <w:sz w:val="21"/>
          <w:szCs w:val="21"/>
        </w:rPr>
        <w:t xml:space="preserve">Salas apresentam leve odor de mofo, compatível com a ausência de bactericida/fungicida na rotina de limpeza das evaporadoras e possível acúmulo de umidade nas bandejas e filtros.</w:t>
      </w:r>
    </w:p>
    <w:p>
      <w:pPr>
        <w:spacing w:after="60"/>
      </w:pPr>
      <w:r>
        <w:rPr>
          <w:b/>
          <w:bCs/>
          <w:sz w:val="21"/>
          <w:szCs w:val="21"/>
        </w:rPr>
        <w:t xml:space="preserve">• </w:t>
      </w:r>
      <w:r>
        <w:rPr>
          <w:sz w:val="21"/>
          <w:szCs w:val="21"/>
        </w:rPr>
        <w:t xml:space="preserve">Recomenda-se substituir o procedimento atual (lavagem apenas com água) por lavagem com produto bactericida/multiuso industrial apropriado para serpentinas e bandejas, com FISPQ apresentada pela prestadora.</w:t>
      </w:r>
    </w:p>
    <w:p>
      <w:pPr>
        <w:spacing w:after="60"/>
      </w:pPr>
      <w:r>
        <w:rPr>
          <w:b/>
          <w:bCs/>
          <w:sz w:val="21"/>
          <w:szCs w:val="21"/>
        </w:rPr>
        <w:t xml:space="preserve">• </w:t>
      </w:r>
      <w:r>
        <w:rPr>
          <w:sz w:val="21"/>
          <w:szCs w:val="21"/>
        </w:rPr>
        <w:t xml:space="preserve">Higienizar carenagens, turbinas, filtros e grelhas de insuflamento de todas as evaporadoras do espaço.</w:t>
      </w:r>
    </w:p>
    <w:p>
      <w:pPr>
        <w:pStyle w:val="Heading1"/>
        <w:shd w:fill="00ADA9" w:val="clear"/>
        <w:spacing w:after="200" w:before="300"/>
        <w:ind w:left="80"/>
      </w:pPr>
      <w:r>
        <w:rPr>
          <w:b/>
          <w:bCs/>
          <w:color w:val="FFFFFF"/>
          <w:sz w:val="24"/>
          <w:szCs w:val="24"/>
        </w:rPr>
        <w:t xml:space="preserve">7. CENTRAL DE ALARME DE INCÊNDIO (JUMPERFOUR / ILUMAC)</w:t>
      </w:r>
    </w:p>
    <w:p>
      <w:pPr>
        <w:spacing w:after="100"/>
      </w:pPr>
      <w:r>
        <w:rPr>
          <w:sz w:val="21"/>
          <w:szCs w:val="21"/>
        </w:rPr>
        <w:t xml:space="preserve">Central de Alarme de Incêndio Digital Ilumac, com manutenção da prestadora JumperFour Incêndio, verificada durante a visita.</w:t>
      </w:r>
    </w:p>
    <w:p>
      <w:pPr>
        <w:spacing w:after="100"/>
      </w:pPr>
      <w:r>
        <w:rPr>
          <w:sz w:val="21"/>
          <w:szCs w:val="21"/>
        </w:rPr>
        <w:t xml:space="preserve">Painel indicando "SISTEMA NORMAL" no momento da verificação, sem alarmes, avarias ou anulações ativas. Etiqueta de contato técnico da JumperFour afixada no painel para acionamento em caso de ocorrência (ver registro fotográfico, Seção 9).</w:t>
      </w:r>
    </w:p>
    <w:p>
      <w:pPr>
        <w:pStyle w:val="Heading1"/>
        <w:shd w:fill="00ADA9" w:val="clear"/>
        <w:spacing w:after="200" w:before="300"/>
        <w:ind w:left="80"/>
      </w:pPr>
      <w:r>
        <w:rPr>
          <w:b/>
          <w:bCs/>
          <w:color w:val="FFFFFF"/>
          <w:sz w:val="24"/>
          <w:szCs w:val="24"/>
        </w:rPr>
        <w:t xml:space="preserve">8. VISTORIA GERAL DO ESPAÇO</w:t>
      </w:r>
    </w:p>
    <w:p>
      <w:pPr>
        <w:spacing w:after="100"/>
      </w:pPr>
      <w:r>
        <w:rPr>
          <w:sz w:val="21"/>
          <w:szCs w:val="21"/>
        </w:rPr>
        <w:t xml:space="preserve">Vistoria visual realizada de 09 a 11/07/2026, cobrindo climatização e itens gerais do espaço.</w:t>
      </w: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2600"/>
        <w:gridCol w:w="1600"/>
        <w:gridCol w:w="5150"/>
      </w:tblGrid>
      <w:tr>
        <w:tc>
          <w:tcPr>
            <w:tcW w:type="dxa" w:w="2600"/>
            <w:shd w:fill="1A1A1A" w:val="clear"/>
            <w:vAlign w:val="center"/>
          </w:tcPr>
          <w:p>
            <w:r>
              <w:rPr>
                <w:b/>
                <w:bCs/>
                <w:color w:val="FFFFFF"/>
                <w:sz w:val="18"/>
                <w:szCs w:val="18"/>
              </w:rPr>
              <w:t xml:space="preserve">Item Vistoriado</w:t>
            </w:r>
          </w:p>
        </w:tc>
        <w:tc>
          <w:tcPr>
            <w:tcW w:type="dxa" w:w="1600"/>
            <w:shd w:fill="1A1A1A" w:val="clear"/>
            <w:vAlign w:val="center"/>
          </w:tcPr>
          <w:p>
            <w:r>
              <w:rPr>
                <w:b/>
                <w:bCs/>
                <w:color w:val="FFFFFF"/>
                <w:sz w:val="18"/>
                <w:szCs w:val="18"/>
              </w:rPr>
              <w:t xml:space="preserve">Condição</w:t>
            </w:r>
          </w:p>
        </w:tc>
        <w:tc>
          <w:tcPr>
            <w:tcW w:type="dxa" w:w="5150"/>
            <w:shd w:fill="1A1A1A" w:val="clear"/>
            <w:vAlign w:val="center"/>
          </w:tcPr>
          <w:p>
            <w:r>
              <w:rPr>
                <w:b/>
                <w:bCs/>
                <w:color w:val="FFFFFF"/>
                <w:sz w:val="18"/>
                <w:szCs w:val="18"/>
              </w:rPr>
              <w:t xml:space="preserve">Observação</w:t>
            </w:r>
          </w:p>
        </w:tc>
      </w:tr>
      <w:tr>
        <w:tc>
          <w:tcPr>
            <w:tcW w:type="dxa" w:w="2600"/>
            <w:shd w:fill="FFFFFF" w:val="clear"/>
            <w:vAlign w:val="center"/>
          </w:tcPr>
          <w:p>
            <w:r>
              <w:rPr>
                <w:b w:val="false"/>
                <w:bCs w:val="false"/>
                <w:sz w:val="18"/>
                <w:szCs w:val="18"/>
              </w:rPr>
              <w:t xml:space="preserve">Porta de vidro – painel de LED (cubos)</w:t>
            </w:r>
          </w:p>
        </w:tc>
        <w:tc>
          <w:tcPr>
            <w:tcW w:type="dxa" w:w="1600"/>
            <w:shd w:fill="F8D7D7" w:val="clear"/>
            <w:vAlign w:val="center"/>
          </w:tcPr>
          <w:p>
            <w:pPr>
              <w:jc w:val="center"/>
            </w:pPr>
            <w:r>
              <w:rPr>
                <w:b/>
                <w:bCs/>
                <w:color w:val="C62828"/>
                <w:sz w:val="18"/>
                <w:szCs w:val="18"/>
              </w:rPr>
              <w:t xml:space="preserve">CRÍTICA</w:t>
            </w:r>
          </w:p>
        </w:tc>
        <w:tc>
          <w:tcPr>
            <w:tcW w:type="dxa" w:w="5150"/>
            <w:shd w:fill="FFFFFF" w:val="clear"/>
            <w:vAlign w:val="center"/>
          </w:tcPr>
          <w:p>
            <w:r>
              <w:rPr>
                <w:b w:val="false"/>
                <w:bCs w:val="false"/>
                <w:sz w:val="18"/>
                <w:szCs w:val="18"/>
              </w:rPr>
              <w:t xml:space="preserve">Porta travada, impossibilitando qualquer manutenção no painel decorativo de LED.</w:t>
            </w:r>
          </w:p>
        </w:tc>
      </w:tr>
      <w:tr>
        <w:tc>
          <w:tcPr>
            <w:tcW w:type="dxa" w:w="2600"/>
            <w:shd w:fill="FFFFFF" w:val="clear"/>
            <w:vAlign w:val="center"/>
          </w:tcPr>
          <w:p>
            <w:r>
              <w:rPr>
                <w:b w:val="false"/>
                <w:bCs w:val="false"/>
                <w:sz w:val="18"/>
                <w:szCs w:val="18"/>
              </w:rPr>
              <w:t xml:space="preserve">Evaporadoras Carrier</w:t>
            </w:r>
          </w:p>
        </w:tc>
        <w:tc>
          <w:tcPr>
            <w:tcW w:type="dxa" w:w="1600"/>
            <w:shd w:fill="FCEBD5" w:val="clear"/>
            <w:vAlign w:val="center"/>
          </w:tcPr>
          <w:p>
            <w:pPr>
              <w:jc w:val="center"/>
            </w:pPr>
            <w:r>
              <w:rPr>
                <w:b/>
                <w:bCs/>
                <w:color w:val="E07B00"/>
                <w:sz w:val="18"/>
                <w:szCs w:val="18"/>
              </w:rPr>
              <w:t xml:space="preserve">ATENÇÃO</w:t>
            </w:r>
          </w:p>
        </w:tc>
        <w:tc>
          <w:tcPr>
            <w:tcW w:type="dxa" w:w="5150"/>
            <w:shd w:fill="FFFFFF" w:val="clear"/>
            <w:vAlign w:val="center"/>
          </w:tcPr>
          <w:p>
            <w:r>
              <w:rPr>
                <w:b w:val="false"/>
                <w:bCs w:val="false"/>
                <w:sz w:val="18"/>
                <w:szCs w:val="18"/>
              </w:rPr>
              <w:t xml:space="preserve">Muito sujas e com aletas manchadas; lavagem realizada apenas com água, sem produto adequado.</w:t>
            </w:r>
          </w:p>
        </w:tc>
      </w:tr>
      <w:tr>
        <w:tc>
          <w:tcPr>
            <w:tcW w:type="dxa" w:w="2600"/>
            <w:shd w:fill="FFFFFF" w:val="clear"/>
            <w:vAlign w:val="center"/>
          </w:tcPr>
          <w:p>
            <w:r>
              <w:rPr>
                <w:b w:val="false"/>
                <w:bCs w:val="false"/>
                <w:sz w:val="18"/>
                <w:szCs w:val="18"/>
              </w:rPr>
              <w:t xml:space="preserve">Odor nas salas</w:t>
            </w:r>
          </w:p>
        </w:tc>
        <w:tc>
          <w:tcPr>
            <w:tcW w:type="dxa" w:w="1600"/>
            <w:shd w:fill="FCEBD5" w:val="clear"/>
            <w:vAlign w:val="center"/>
          </w:tcPr>
          <w:p>
            <w:pPr>
              <w:jc w:val="center"/>
            </w:pPr>
            <w:r>
              <w:rPr>
                <w:b/>
                <w:bCs/>
                <w:color w:val="E07B00"/>
                <w:sz w:val="18"/>
                <w:szCs w:val="18"/>
              </w:rPr>
              <w:t xml:space="preserve">ATENÇÃO</w:t>
            </w:r>
          </w:p>
        </w:tc>
        <w:tc>
          <w:tcPr>
            <w:tcW w:type="dxa" w:w="5150"/>
            <w:shd w:fill="FFFFFF" w:val="clear"/>
            <w:vAlign w:val="center"/>
          </w:tcPr>
          <w:p>
            <w:r>
              <w:rPr>
                <w:b w:val="false"/>
                <w:bCs w:val="false"/>
                <w:sz w:val="18"/>
                <w:szCs w:val="18"/>
              </w:rPr>
              <w:t xml:space="preserve">Leve cheiro de mofo identificado nas salas, associado à ausência de bactericida na limpeza.</w:t>
            </w:r>
          </w:p>
        </w:tc>
      </w:tr>
      <w:tr>
        <w:tc>
          <w:tcPr>
            <w:tcW w:type="dxa" w:w="2600"/>
            <w:shd w:fill="FFFFFF" w:val="clear"/>
            <w:vAlign w:val="center"/>
          </w:tcPr>
          <w:p>
            <w:r>
              <w:rPr>
                <w:b w:val="false"/>
                <w:bCs w:val="false"/>
                <w:sz w:val="18"/>
                <w:szCs w:val="18"/>
              </w:rPr>
              <w:t xml:space="preserve">Bandeja do Fancoil FC-01</w:t>
            </w:r>
          </w:p>
        </w:tc>
        <w:tc>
          <w:tcPr>
            <w:tcW w:type="dxa" w:w="1600"/>
            <w:shd w:fill="FCEBD5" w:val="clear"/>
            <w:vAlign w:val="center"/>
          </w:tcPr>
          <w:p>
            <w:pPr>
              <w:jc w:val="center"/>
            </w:pPr>
            <w:r>
              <w:rPr>
                <w:b/>
                <w:bCs/>
                <w:color w:val="E07B00"/>
                <w:sz w:val="18"/>
                <w:szCs w:val="18"/>
              </w:rPr>
              <w:t xml:space="preserve">ATENÇÃO</w:t>
            </w:r>
          </w:p>
        </w:tc>
        <w:tc>
          <w:tcPr>
            <w:tcW w:type="dxa" w:w="5150"/>
            <w:shd w:fill="FFFFFF" w:val="clear"/>
            <w:vAlign w:val="center"/>
          </w:tcPr>
          <w:p>
            <w:r>
              <w:rPr>
                <w:b w:val="false"/>
                <w:bCs w:val="false"/>
                <w:sz w:val="18"/>
                <w:szCs w:val="18"/>
              </w:rPr>
              <w:t xml:space="preserve">Necessária lavagem e aspiração da bandeja de condensado.</w:t>
            </w:r>
          </w:p>
        </w:tc>
      </w:tr>
      <w:tr>
        <w:tc>
          <w:tcPr>
            <w:tcW w:type="dxa" w:w="2600"/>
            <w:shd w:fill="FFFFFF" w:val="clear"/>
            <w:vAlign w:val="center"/>
          </w:tcPr>
          <w:p>
            <w:r>
              <w:rPr>
                <w:b w:val="false"/>
                <w:bCs w:val="false"/>
                <w:sz w:val="18"/>
                <w:szCs w:val="18"/>
              </w:rPr>
              <w:t xml:space="preserve">Acesso ao CPD</w:t>
            </w:r>
          </w:p>
        </w:tc>
        <w:tc>
          <w:tcPr>
            <w:tcW w:type="dxa" w:w="1600"/>
            <w:shd w:fill="FCEBD5" w:val="clear"/>
            <w:vAlign w:val="center"/>
          </w:tcPr>
          <w:p>
            <w:pPr>
              <w:jc w:val="center"/>
            </w:pPr>
            <w:r>
              <w:rPr>
                <w:b/>
                <w:bCs/>
                <w:color w:val="E07B00"/>
                <w:sz w:val="18"/>
                <w:szCs w:val="18"/>
              </w:rPr>
              <w:t xml:space="preserve">ATENÇÃO</w:t>
            </w:r>
          </w:p>
        </w:tc>
        <w:tc>
          <w:tcPr>
            <w:tcW w:type="dxa" w:w="5150"/>
            <w:shd w:fill="FFFFFF" w:val="clear"/>
            <w:vAlign w:val="center"/>
          </w:tcPr>
          <w:p>
            <w:r>
              <w:rPr>
                <w:b w:val="false"/>
                <w:bCs w:val="false"/>
                <w:sz w:val="18"/>
                <w:szCs w:val="18"/>
              </w:rPr>
              <w:t xml:space="preserve">Sem alçapão de acesso aos equipamentos do CPD — necessária abertura.</w:t>
            </w:r>
          </w:p>
        </w:tc>
      </w:tr>
      <w:tr>
        <w:tc>
          <w:tcPr>
            <w:tcW w:type="dxa" w:w="2600"/>
            <w:shd w:fill="FFFFFF" w:val="clear"/>
            <w:vAlign w:val="center"/>
          </w:tcPr>
          <w:p>
            <w:r>
              <w:rPr>
                <w:b w:val="false"/>
                <w:bCs w:val="false"/>
                <w:sz w:val="18"/>
                <w:szCs w:val="18"/>
              </w:rPr>
              <w:t xml:space="preserve">Evaporadoras CPD</w:t>
            </w:r>
          </w:p>
        </w:tc>
        <w:tc>
          <w:tcPr>
            <w:tcW w:type="dxa" w:w="1600"/>
            <w:shd w:fill="E2F0E3" w:val="clear"/>
            <w:vAlign w:val="center"/>
          </w:tcPr>
          <w:p>
            <w:pPr>
              <w:jc w:val="center"/>
            </w:pPr>
            <w:r>
              <w:rPr>
                <w:b/>
                <w:bCs/>
                <w:color w:val="2E7D32"/>
                <w:sz w:val="18"/>
                <w:szCs w:val="18"/>
              </w:rPr>
              <w:t xml:space="preserve">CORRIGIDO</w:t>
            </w:r>
          </w:p>
        </w:tc>
        <w:tc>
          <w:tcPr>
            <w:tcW w:type="dxa" w:w="5150"/>
            <w:shd w:fill="FFFFFF" w:val="clear"/>
            <w:vAlign w:val="center"/>
          </w:tcPr>
          <w:p>
            <w:r>
              <w:rPr>
                <w:b w:val="false"/>
                <w:bCs w:val="false"/>
                <w:sz w:val="18"/>
                <w:szCs w:val="18"/>
              </w:rPr>
              <w:t xml:space="preserve">Modo de operação ajustado durante a visita — rodízio (1 arrefecimento + 1 ventilação/backup).</w:t>
            </w:r>
          </w:p>
        </w:tc>
      </w:tr>
      <w:tr>
        <w:tc>
          <w:tcPr>
            <w:tcW w:type="dxa" w:w="2600"/>
            <w:shd w:fill="FFFFFF" w:val="clear"/>
            <w:vAlign w:val="center"/>
          </w:tcPr>
          <w:p>
            <w:r>
              <w:rPr>
                <w:b w:val="false"/>
                <w:bCs w:val="false"/>
                <w:sz w:val="18"/>
                <w:szCs w:val="18"/>
              </w:rPr>
              <w:t xml:space="preserve">Central de Alarme de Incêndio</w:t>
            </w:r>
          </w:p>
        </w:tc>
        <w:tc>
          <w:tcPr>
            <w:tcW w:type="dxa" w:w="1600"/>
            <w:shd w:fill="E2F0E3" w:val="clear"/>
            <w:vAlign w:val="center"/>
          </w:tcPr>
          <w:p>
            <w:pPr>
              <w:jc w:val="center"/>
            </w:pPr>
            <w:r>
              <w:rPr>
                <w:b/>
                <w:bCs/>
                <w:color w:val="2E7D32"/>
                <w:sz w:val="18"/>
                <w:szCs w:val="18"/>
              </w:rPr>
              <w:t xml:space="preserve">NORMAL</w:t>
            </w:r>
          </w:p>
        </w:tc>
        <w:tc>
          <w:tcPr>
            <w:tcW w:type="dxa" w:w="5150"/>
            <w:shd w:fill="FFFFFF" w:val="clear"/>
            <w:vAlign w:val="center"/>
          </w:tcPr>
          <w:p>
            <w:r>
              <w:rPr>
                <w:b w:val="false"/>
                <w:bCs w:val="false"/>
                <w:sz w:val="18"/>
                <w:szCs w:val="18"/>
              </w:rPr>
              <w:t xml:space="preserve">Painel Ilumac sem alarmes ou avarias no momento da vistoria.</w:t>
            </w:r>
          </w:p>
        </w:tc>
      </w:tr>
    </w:tbl>
    <w:p>
      <w:pPr>
        <w:pStyle w:val="Heading1"/>
        <w:shd w:fill="00ADA9" w:val="clear"/>
        <w:spacing w:after="200" w:before="300"/>
        <w:ind w:left="80"/>
      </w:pPr>
      <w:r>
        <w:rPr>
          <w:b/>
          <w:bCs/>
          <w:color w:val="FFFFFF"/>
          <w:sz w:val="24"/>
          <w:szCs w:val="24"/>
        </w:rPr>
        <w:t xml:space="preserve">9. REGISTRO FOTOGRÁFICO – EVIDÊNCIAS</w:t>
      </w:r>
    </w:p>
    <w:p>
      <w:pPr>
        <w:spacing w:after="100"/>
      </w:pPr>
      <w:r>
        <w:rPr>
          <w:sz w:val="21"/>
          <w:szCs w:val="21"/>
        </w:rPr>
        <w:t xml:space="preserve">Registro fotográfico consolidado de todas as ocorrências identificadas durante a visita técnica.</w:t>
      </w:r>
    </w:p>
    <w:tbl>
      <w:tblPr>
        <w:tblW w:type="dxa" w:w="9350"/>
        <w:tblBorders>
          <w:top w:val="none" w:color="FFFFFF" w:sz="0"/>
          <w:left w:val="none" w:color="FFFFFF" w:sz="0"/>
          <w:bottom w:val="none" w:color="FFFFFF" w:sz="0"/>
          <w:right w:val="none" w:color="FFFFFF" w:sz="0"/>
          <w:insideH w:val="single" w:color="DDDDDD" w:sz="2"/>
          <w:insideV w:val="single" w:color="DDDDDD" w:sz="2"/>
        </w:tblBorders>
      </w:tblPr>
      <w:tblGrid>
        <w:gridCol w:w="4675"/>
        <w:gridCol w:w="4675"/>
      </w:tblGrid>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Etiqueta de identificação – Fancoil Imperium FC-01</w:t>
            </w:r>
          </w:p>
        </w:tc>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Vista geral do Fancoil Imperium na casa de máquinas</w:t>
            </w:r>
          </w:p>
        </w:tc>
      </w:tr>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Manômetro na tubulação de água gelada – FC-01</w:t>
            </w:r>
          </w:p>
        </w:tc>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Termômetro na tubulação de água gelada – FC-01</w:t>
            </w:r>
          </w:p>
        </w:tc>
      </w:tr>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Evaporadora Carrier tipo cassete – vista frontal</w:t>
            </w:r>
          </w:p>
        </w:tc>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Evaporadora Carrier tipo cassete – detalhe da grelha</w:t>
            </w:r>
          </w:p>
        </w:tc>
      </w:tr>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Aleta/filtro com sinais de sujidade e manchas</w:t>
            </w:r>
          </w:p>
        </w:tc>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Detalhe da aleta manchada e sujidade acumulada</w:t>
            </w:r>
          </w:p>
        </w:tc>
      </w:tr>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Turbina/ventilador da evaporadora com acúmulo de sujidade</w:t>
            </w:r>
          </w:p>
        </w:tc>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Central de Alarme de Incêndio Digital Ilumac – Patrimônio XP 100066159</w:t>
            </w:r>
          </w:p>
        </w:tc>
      </w:tr>
      <w:tr>
        <w:tc>
          <w:tcPr>
            <w:tcW w:type="dxa" w:w="4675"/>
            <w:tcMar>
              <w:top w:type="dxa" w:w="120"/>
              <w:left w:type="dxa" w:w="100"/>
              <w:bottom w:type="dxa" w:w="120"/>
              <w:right w:type="dxa" w:w="100"/>
            </w:tcMar>
          </w:tcPr>
          <w:p>
            <w:pPr>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3171825"/>
                          </a:xfrm>
                          <a:prstGeom prst="rect">
                            <a:avLst/>
                          </a:prstGeom>
                        </pic:spPr>
                      </pic:pic>
                    </a:graphicData>
                  </a:graphic>
                </wp:inline>
              </w:drawing>
            </w:r>
          </w:p>
          <w:p>
            <w:pPr>
              <w:spacing w:after="200" w:before="60"/>
              <w:jc w:val="center"/>
            </w:pPr>
            <w:r>
              <w:rPr>
                <w:i/>
                <w:iCs/>
                <w:color w:val="555555"/>
                <w:sz w:val="18"/>
                <w:szCs w:val="18"/>
              </w:rPr>
              <w:t xml:space="preserve">Porta de vidro ao lado do painel de LED (cubos) – acesso travado</w:t>
            </w:r>
          </w:p>
        </w:tc>
        <w:tc>
          <w:tcPr>
            <w:tcW w:type="dxa" w:w="4675"/>
          </w:tcPr>
          <w:p/>
        </w:tc>
      </w:tr>
    </w:tbl>
    <w:p>
      <w:pPr>
        <w:pStyle w:val="Heading1"/>
        <w:shd w:fill="00ADA9" w:val="clear"/>
        <w:spacing w:after="200" w:before="300"/>
        <w:ind w:left="80"/>
      </w:pPr>
      <w:r>
        <w:rPr>
          <w:b/>
          <w:bCs/>
          <w:color w:val="FFFFFF"/>
          <w:sz w:val="24"/>
          <w:szCs w:val="24"/>
        </w:rPr>
        <w:t xml:space="preserve">10. PLANO DE AÇÃO CONSOLIDADO</w:t>
      </w: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550"/>
        <w:gridCol w:w="1650"/>
        <w:gridCol w:w="4550"/>
        <w:gridCol w:w="1600"/>
        <w:gridCol w:w="1000"/>
      </w:tblGrid>
      <w:tr>
        <w:tc>
          <w:tcPr>
            <w:tcW w:type="dxa" w:w="550"/>
            <w:shd w:fill="1A1A1A" w:val="clear"/>
            <w:vAlign w:val="center"/>
          </w:tcPr>
          <w:p>
            <w:r>
              <w:rPr>
                <w:b/>
                <w:bCs/>
                <w:color w:val="FFFFFF"/>
                <w:sz w:val="18"/>
                <w:szCs w:val="18"/>
              </w:rPr>
              <w:t xml:space="preserve">ID</w:t>
            </w:r>
          </w:p>
        </w:tc>
        <w:tc>
          <w:tcPr>
            <w:tcW w:type="dxa" w:w="1650"/>
            <w:shd w:fill="1A1A1A" w:val="clear"/>
            <w:vAlign w:val="center"/>
          </w:tcPr>
          <w:p>
            <w:r>
              <w:rPr>
                <w:b/>
                <w:bCs/>
                <w:color w:val="FFFFFF"/>
                <w:sz w:val="18"/>
                <w:szCs w:val="18"/>
              </w:rPr>
              <w:t xml:space="preserve">Sistema / Área</w:t>
            </w:r>
          </w:p>
        </w:tc>
        <w:tc>
          <w:tcPr>
            <w:tcW w:type="dxa" w:w="4550"/>
            <w:shd w:fill="1A1A1A" w:val="clear"/>
            <w:vAlign w:val="center"/>
          </w:tcPr>
          <w:p>
            <w:r>
              <w:rPr>
                <w:b/>
                <w:bCs/>
                <w:color w:val="FFFFFF"/>
                <w:sz w:val="18"/>
                <w:szCs w:val="18"/>
              </w:rPr>
              <w:t xml:space="preserve">Ação Necessária</w:t>
            </w:r>
          </w:p>
        </w:tc>
        <w:tc>
          <w:tcPr>
            <w:tcW w:type="dxa" w:w="1600"/>
            <w:shd w:fill="1A1A1A" w:val="clear"/>
            <w:vAlign w:val="center"/>
          </w:tcPr>
          <w:p>
            <w:r>
              <w:rPr>
                <w:b/>
                <w:bCs/>
                <w:color w:val="FFFFFF"/>
                <w:sz w:val="18"/>
                <w:szCs w:val="18"/>
              </w:rPr>
              <w:t xml:space="preserve">Prior.</w:t>
            </w:r>
          </w:p>
        </w:tc>
        <w:tc>
          <w:tcPr>
            <w:tcW w:type="dxa" w:w="1000"/>
            <w:shd w:fill="1A1A1A" w:val="clear"/>
            <w:vAlign w:val="center"/>
          </w:tcPr>
          <w:p>
            <w:r>
              <w:rPr>
                <w:b/>
                <w:bCs/>
                <w:color w:val="FFFFFF"/>
                <w:sz w:val="18"/>
                <w:szCs w:val="18"/>
              </w:rPr>
              <w:t xml:space="preserve">Resp. XP</w:t>
            </w:r>
          </w:p>
        </w:tc>
      </w:tr>
      <w:tr>
        <w:tc>
          <w:tcPr>
            <w:tcW w:type="dxa" w:w="550"/>
            <w:shd w:fill="FFFFFF" w:val="clear"/>
            <w:vAlign w:val="center"/>
          </w:tcPr>
          <w:p>
            <w:r>
              <w:rPr>
                <w:b/>
                <w:bCs/>
                <w:sz w:val="18"/>
                <w:szCs w:val="18"/>
              </w:rPr>
              <w:t xml:space="preserve">P01</w:t>
            </w:r>
          </w:p>
        </w:tc>
        <w:tc>
          <w:tcPr>
            <w:tcW w:type="dxa" w:w="1650"/>
            <w:shd w:fill="FFFFFF" w:val="clear"/>
            <w:vAlign w:val="center"/>
          </w:tcPr>
          <w:p>
            <w:r>
              <w:rPr>
                <w:b w:val="false"/>
                <w:bCs w:val="false"/>
                <w:sz w:val="18"/>
                <w:szCs w:val="18"/>
              </w:rPr>
              <w:t xml:space="preserve">Porta de vidro (painel LED)</w:t>
            </w:r>
          </w:p>
        </w:tc>
        <w:tc>
          <w:tcPr>
            <w:tcW w:type="dxa" w:w="4550"/>
            <w:shd w:fill="FFFFFF" w:val="clear"/>
            <w:vAlign w:val="center"/>
          </w:tcPr>
          <w:p>
            <w:r>
              <w:rPr>
                <w:b w:val="false"/>
                <w:bCs w:val="false"/>
                <w:sz w:val="18"/>
                <w:szCs w:val="18"/>
              </w:rPr>
              <w:t xml:space="preserve">Destravar/reparar mecanismo da porta de vidro ao lado do painel de LED para viabilizar manutenção.</w:t>
            </w:r>
          </w:p>
        </w:tc>
        <w:tc>
          <w:tcPr>
            <w:tcW w:type="dxa" w:w="1600"/>
            <w:shd w:fill="F8D7D7" w:val="clear"/>
            <w:vAlign w:val="center"/>
          </w:tcPr>
          <w:p>
            <w:pPr>
              <w:jc w:val="center"/>
            </w:pPr>
            <w:r>
              <w:rPr>
                <w:b/>
                <w:bCs/>
                <w:color w:val="C62828"/>
                <w:sz w:val="18"/>
                <w:szCs w:val="18"/>
              </w:rPr>
              <w:t xml:space="preserve">CRÍTICA</w:t>
            </w:r>
          </w:p>
        </w:tc>
        <w:tc>
          <w:tcPr>
            <w:tcW w:type="dxa" w:w="1000"/>
            <w:shd w:fill="FFFFFF" w:val="clear"/>
            <w:vAlign w:val="center"/>
          </w:tcPr>
          <w:p>
            <w:r>
              <w:rPr>
                <w:b w:val="false"/>
                <w:bCs w:val="false"/>
                <w:sz w:val="18"/>
                <w:szCs w:val="18"/>
              </w:rPr>
              <w:t xml:space="preserve">Facilities</w:t>
            </w:r>
          </w:p>
        </w:tc>
      </w:tr>
      <w:tr>
        <w:tc>
          <w:tcPr>
            <w:tcW w:type="dxa" w:w="550"/>
            <w:shd w:fill="FFFFFF" w:val="clear"/>
            <w:vAlign w:val="center"/>
          </w:tcPr>
          <w:p>
            <w:r>
              <w:rPr>
                <w:b/>
                <w:bCs/>
                <w:sz w:val="18"/>
                <w:szCs w:val="18"/>
              </w:rPr>
              <w:t xml:space="preserve">P02</w:t>
            </w:r>
          </w:p>
        </w:tc>
        <w:tc>
          <w:tcPr>
            <w:tcW w:type="dxa" w:w="1650"/>
            <w:shd w:fill="FFFFFF" w:val="clear"/>
            <w:vAlign w:val="center"/>
          </w:tcPr>
          <w:p>
            <w:r>
              <w:rPr>
                <w:b w:val="false"/>
                <w:bCs w:val="false"/>
                <w:sz w:val="18"/>
                <w:szCs w:val="18"/>
              </w:rPr>
              <w:t xml:space="preserve">Evaporadoras Carrier</w:t>
            </w:r>
          </w:p>
        </w:tc>
        <w:tc>
          <w:tcPr>
            <w:tcW w:type="dxa" w:w="4550"/>
            <w:shd w:fill="FFFFFF" w:val="clear"/>
            <w:vAlign w:val="center"/>
          </w:tcPr>
          <w:p>
            <w:r>
              <w:rPr>
                <w:b w:val="false"/>
                <w:bCs w:val="false"/>
                <w:sz w:val="18"/>
                <w:szCs w:val="18"/>
              </w:rPr>
              <w:t xml:space="preserve">Substituir procedimento de limpeza (somente água) por lavagem com bactericida/multiuso industrial, com apresentação de FISPQ.</w:t>
            </w:r>
          </w:p>
        </w:tc>
        <w:tc>
          <w:tcPr>
            <w:tcW w:type="dxa" w:w="1600"/>
            <w:shd w:fill="FCEBD5" w:val="clear"/>
            <w:vAlign w:val="center"/>
          </w:tcPr>
          <w:p>
            <w:pPr>
              <w:jc w:val="center"/>
            </w:pPr>
            <w:r>
              <w:rPr>
                <w:b/>
                <w:bCs/>
                <w:color w:val="E07B00"/>
                <w:sz w:val="18"/>
                <w:szCs w:val="18"/>
              </w:rPr>
              <w:t xml:space="preserve">ALTA</w:t>
            </w:r>
          </w:p>
        </w:tc>
        <w:tc>
          <w:tcPr>
            <w:tcW w:type="dxa" w:w="1000"/>
            <w:shd w:fill="FFFFFF" w:val="clear"/>
            <w:vAlign w:val="center"/>
          </w:tcPr>
          <w:p>
            <w:r>
              <w:rPr>
                <w:b w:val="false"/>
                <w:bCs w:val="false"/>
                <w:sz w:val="18"/>
                <w:szCs w:val="18"/>
              </w:rPr>
              <w:t xml:space="preserve">Facilities / HVAC</w:t>
            </w:r>
          </w:p>
        </w:tc>
      </w:tr>
      <w:tr>
        <w:tc>
          <w:tcPr>
            <w:tcW w:type="dxa" w:w="550"/>
            <w:shd w:fill="FFFFFF" w:val="clear"/>
            <w:vAlign w:val="center"/>
          </w:tcPr>
          <w:p>
            <w:r>
              <w:rPr>
                <w:b/>
                <w:bCs/>
                <w:sz w:val="18"/>
                <w:szCs w:val="18"/>
              </w:rPr>
              <w:t xml:space="preserve">P03</w:t>
            </w:r>
          </w:p>
        </w:tc>
        <w:tc>
          <w:tcPr>
            <w:tcW w:type="dxa" w:w="1650"/>
            <w:shd w:fill="FFFFFF" w:val="clear"/>
            <w:vAlign w:val="center"/>
          </w:tcPr>
          <w:p>
            <w:r>
              <w:rPr>
                <w:b w:val="false"/>
                <w:bCs w:val="false"/>
                <w:sz w:val="18"/>
                <w:szCs w:val="18"/>
              </w:rPr>
              <w:t xml:space="preserve">Salas – odor</w:t>
            </w:r>
          </w:p>
        </w:tc>
        <w:tc>
          <w:tcPr>
            <w:tcW w:type="dxa" w:w="4550"/>
            <w:shd w:fill="FFFFFF" w:val="clear"/>
            <w:vAlign w:val="center"/>
          </w:tcPr>
          <w:p>
            <w:r>
              <w:rPr>
                <w:b w:val="false"/>
                <w:bCs w:val="false"/>
                <w:sz w:val="18"/>
                <w:szCs w:val="18"/>
              </w:rPr>
              <w:t xml:space="preserve">Reavaliar odor de mofo após implementação da limpeza com produto adequado nas evaporadoras.</w:t>
            </w:r>
          </w:p>
        </w:tc>
        <w:tc>
          <w:tcPr>
            <w:tcW w:type="dxa" w:w="1600"/>
            <w:shd w:fill="FCEBD5" w:val="clear"/>
            <w:vAlign w:val="center"/>
          </w:tcPr>
          <w:p>
            <w:pPr>
              <w:jc w:val="center"/>
            </w:pPr>
            <w:r>
              <w:rPr>
                <w:b/>
                <w:bCs/>
                <w:color w:val="E07B00"/>
                <w:sz w:val="18"/>
                <w:szCs w:val="18"/>
              </w:rPr>
              <w:t xml:space="preserve">ALTA</w:t>
            </w:r>
          </w:p>
        </w:tc>
        <w:tc>
          <w:tcPr>
            <w:tcW w:type="dxa" w:w="1000"/>
            <w:shd w:fill="FFFFFF" w:val="clear"/>
            <w:vAlign w:val="center"/>
          </w:tcPr>
          <w:p>
            <w:r>
              <w:rPr>
                <w:b w:val="false"/>
                <w:bCs w:val="false"/>
                <w:sz w:val="18"/>
                <w:szCs w:val="18"/>
              </w:rPr>
              <w:t xml:space="preserve">Facilities / HVAC</w:t>
            </w:r>
          </w:p>
        </w:tc>
      </w:tr>
      <w:tr>
        <w:tc>
          <w:tcPr>
            <w:tcW w:type="dxa" w:w="550"/>
            <w:shd w:fill="FFFFFF" w:val="clear"/>
            <w:vAlign w:val="center"/>
          </w:tcPr>
          <w:p>
            <w:r>
              <w:rPr>
                <w:b/>
                <w:bCs/>
                <w:sz w:val="18"/>
                <w:szCs w:val="18"/>
              </w:rPr>
              <w:t xml:space="preserve">P04</w:t>
            </w:r>
          </w:p>
        </w:tc>
        <w:tc>
          <w:tcPr>
            <w:tcW w:type="dxa" w:w="1650"/>
            <w:shd w:fill="FFFFFF" w:val="clear"/>
            <w:vAlign w:val="center"/>
          </w:tcPr>
          <w:p>
            <w:r>
              <w:rPr>
                <w:b w:val="false"/>
                <w:bCs w:val="false"/>
                <w:sz w:val="18"/>
                <w:szCs w:val="18"/>
              </w:rPr>
              <w:t xml:space="preserve">Fancoil FC-01</w:t>
            </w:r>
          </w:p>
        </w:tc>
        <w:tc>
          <w:tcPr>
            <w:tcW w:type="dxa" w:w="4550"/>
            <w:shd w:fill="FFFFFF" w:val="clear"/>
            <w:vAlign w:val="center"/>
          </w:tcPr>
          <w:p>
            <w:r>
              <w:rPr>
                <w:b w:val="false"/>
                <w:bCs w:val="false"/>
                <w:sz w:val="18"/>
                <w:szCs w:val="18"/>
              </w:rPr>
              <w:t xml:space="preserve">Lavagem e aspiração da bandeja de condensado do fancoil.</w:t>
            </w:r>
          </w:p>
        </w:tc>
        <w:tc>
          <w:tcPr>
            <w:tcW w:type="dxa" w:w="1600"/>
            <w:shd w:fill="FCEBD5" w:val="clear"/>
            <w:vAlign w:val="center"/>
          </w:tcPr>
          <w:p>
            <w:pPr>
              <w:jc w:val="center"/>
            </w:pPr>
            <w:r>
              <w:rPr>
                <w:b/>
                <w:bCs/>
                <w:color w:val="E07B00"/>
                <w:sz w:val="18"/>
                <w:szCs w:val="18"/>
              </w:rPr>
              <w:t xml:space="preserve">ALTA</w:t>
            </w:r>
          </w:p>
        </w:tc>
        <w:tc>
          <w:tcPr>
            <w:tcW w:type="dxa" w:w="1000"/>
            <w:shd w:fill="FFFFFF" w:val="clear"/>
            <w:vAlign w:val="center"/>
          </w:tcPr>
          <w:p>
            <w:r>
              <w:rPr>
                <w:b w:val="false"/>
                <w:bCs w:val="false"/>
                <w:sz w:val="18"/>
                <w:szCs w:val="18"/>
              </w:rPr>
              <w:t xml:space="preserve">Facilities / HVAC</w:t>
            </w:r>
          </w:p>
        </w:tc>
      </w:tr>
      <w:tr>
        <w:tc>
          <w:tcPr>
            <w:tcW w:type="dxa" w:w="550"/>
            <w:shd w:fill="FFFFFF" w:val="clear"/>
            <w:vAlign w:val="center"/>
          </w:tcPr>
          <w:p>
            <w:r>
              <w:rPr>
                <w:b/>
                <w:bCs/>
                <w:sz w:val="18"/>
                <w:szCs w:val="18"/>
              </w:rPr>
              <w:t xml:space="preserve">P05</w:t>
            </w:r>
          </w:p>
        </w:tc>
        <w:tc>
          <w:tcPr>
            <w:tcW w:type="dxa" w:w="1650"/>
            <w:shd w:fill="FFFFFF" w:val="clear"/>
            <w:vAlign w:val="center"/>
          </w:tcPr>
          <w:p>
            <w:r>
              <w:rPr>
                <w:b w:val="false"/>
                <w:bCs w:val="false"/>
                <w:sz w:val="18"/>
                <w:szCs w:val="18"/>
              </w:rPr>
              <w:t xml:space="preserve">CPD</w:t>
            </w:r>
          </w:p>
        </w:tc>
        <w:tc>
          <w:tcPr>
            <w:tcW w:type="dxa" w:w="4550"/>
            <w:shd w:fill="FFFFFF" w:val="clear"/>
            <w:vAlign w:val="center"/>
          </w:tcPr>
          <w:p>
            <w:r>
              <w:rPr>
                <w:b w:val="false"/>
                <w:bCs w:val="false"/>
                <w:sz w:val="18"/>
                <w:szCs w:val="18"/>
              </w:rPr>
              <w:t xml:space="preserve">Abertura de alçapão de acesso para manutenção dos equipamentos do CPD.</w:t>
            </w:r>
          </w:p>
        </w:tc>
        <w:tc>
          <w:tcPr>
            <w:tcW w:type="dxa" w:w="1600"/>
            <w:shd w:fill="FCEBD5" w:val="clear"/>
            <w:vAlign w:val="center"/>
          </w:tcPr>
          <w:p>
            <w:pPr>
              <w:jc w:val="center"/>
            </w:pPr>
            <w:r>
              <w:rPr>
                <w:b/>
                <w:bCs/>
                <w:color w:val="E07B00"/>
                <w:sz w:val="18"/>
                <w:szCs w:val="18"/>
              </w:rPr>
              <w:t xml:space="preserve">ALTA</w:t>
            </w:r>
          </w:p>
        </w:tc>
        <w:tc>
          <w:tcPr>
            <w:tcW w:type="dxa" w:w="1000"/>
            <w:shd w:fill="FFFFFF" w:val="clear"/>
            <w:vAlign w:val="center"/>
          </w:tcPr>
          <w:p>
            <w:r>
              <w:rPr>
                <w:b w:val="false"/>
                <w:bCs w:val="false"/>
                <w:sz w:val="18"/>
                <w:szCs w:val="18"/>
              </w:rPr>
              <w:t xml:space="preserve">Facilities / Obras</w:t>
            </w:r>
          </w:p>
        </w:tc>
      </w:tr>
      <w:tr>
        <w:tc>
          <w:tcPr>
            <w:tcW w:type="dxa" w:w="550"/>
            <w:shd w:fill="FFFFFF" w:val="clear"/>
            <w:vAlign w:val="center"/>
          </w:tcPr>
          <w:p>
            <w:r>
              <w:rPr>
                <w:b/>
                <w:bCs/>
                <w:sz w:val="18"/>
                <w:szCs w:val="18"/>
              </w:rPr>
              <w:t xml:space="preserve">P06</w:t>
            </w:r>
          </w:p>
        </w:tc>
        <w:tc>
          <w:tcPr>
            <w:tcW w:type="dxa" w:w="1650"/>
            <w:shd w:fill="FFFFFF" w:val="clear"/>
            <w:vAlign w:val="center"/>
          </w:tcPr>
          <w:p>
            <w:r>
              <w:rPr>
                <w:b w:val="false"/>
                <w:bCs w:val="false"/>
                <w:sz w:val="18"/>
                <w:szCs w:val="18"/>
              </w:rPr>
              <w:t xml:space="preserve">Evaporadoras CPD</w:t>
            </w:r>
          </w:p>
        </w:tc>
        <w:tc>
          <w:tcPr>
            <w:tcW w:type="dxa" w:w="4550"/>
            <w:shd w:fill="FFFFFF" w:val="clear"/>
            <w:vAlign w:val="center"/>
          </w:tcPr>
          <w:p>
            <w:r>
              <w:rPr>
                <w:b w:val="false"/>
                <w:bCs w:val="false"/>
                <w:sz w:val="18"/>
                <w:szCs w:val="18"/>
              </w:rPr>
              <w:t xml:space="preserve">Formalizar rotina de rodízio periódico entre as duas evaporadoras (arrefecimento/backup).</w:t>
            </w:r>
          </w:p>
        </w:tc>
        <w:tc>
          <w:tcPr>
            <w:tcW w:type="dxa" w:w="1600"/>
            <w:shd w:fill="DCE9F8" w:val="clear"/>
            <w:vAlign w:val="center"/>
          </w:tcPr>
          <w:p>
            <w:pPr>
              <w:jc w:val="center"/>
            </w:pPr>
            <w:r>
              <w:rPr>
                <w:b/>
                <w:bCs/>
                <w:color w:val="1565C0"/>
                <w:sz w:val="18"/>
                <w:szCs w:val="18"/>
              </w:rPr>
              <w:t xml:space="preserve">MÉDIA</w:t>
            </w:r>
          </w:p>
        </w:tc>
        <w:tc>
          <w:tcPr>
            <w:tcW w:type="dxa" w:w="1000"/>
            <w:shd w:fill="FFFFFF" w:val="clear"/>
            <w:vAlign w:val="center"/>
          </w:tcPr>
          <w:p>
            <w:r>
              <w:rPr>
                <w:b w:val="false"/>
                <w:bCs w:val="false"/>
                <w:sz w:val="18"/>
                <w:szCs w:val="18"/>
              </w:rPr>
              <w:t xml:space="preserve">Facilities / HVAC</w:t>
            </w:r>
          </w:p>
        </w:tc>
      </w:tr>
      <w:tr>
        <w:tc>
          <w:tcPr>
            <w:tcW w:type="dxa" w:w="550"/>
            <w:shd w:fill="FFFFFF" w:val="clear"/>
            <w:vAlign w:val="center"/>
          </w:tcPr>
          <w:p>
            <w:r>
              <w:rPr>
                <w:b/>
                <w:bCs/>
                <w:sz w:val="18"/>
                <w:szCs w:val="18"/>
              </w:rPr>
              <w:t xml:space="preserve">P07</w:t>
            </w:r>
          </w:p>
        </w:tc>
        <w:tc>
          <w:tcPr>
            <w:tcW w:type="dxa" w:w="1650"/>
            <w:shd w:fill="FFFFFF" w:val="clear"/>
            <w:vAlign w:val="center"/>
          </w:tcPr>
          <w:p>
            <w:r>
              <w:rPr>
                <w:b w:val="false"/>
                <w:bCs w:val="false"/>
                <w:sz w:val="18"/>
                <w:szCs w:val="18"/>
              </w:rPr>
              <w:t xml:space="preserve">Fancoil FC-01</w:t>
            </w:r>
          </w:p>
        </w:tc>
        <w:tc>
          <w:tcPr>
            <w:tcW w:type="dxa" w:w="4550"/>
            <w:shd w:fill="FFFFFF" w:val="clear"/>
            <w:vAlign w:val="center"/>
          </w:tcPr>
          <w:p>
            <w:r>
              <w:rPr>
                <w:b w:val="false"/>
                <w:bCs w:val="false"/>
                <w:sz w:val="18"/>
                <w:szCs w:val="18"/>
              </w:rPr>
              <w:t xml:space="preserve">Manter cronograma de manutenção preventiva quinzenal e limpeza semanal do filtro Y (conforme registro de visita anterior).</w:t>
            </w:r>
          </w:p>
        </w:tc>
        <w:tc>
          <w:tcPr>
            <w:tcW w:type="dxa" w:w="1600"/>
            <w:shd w:fill="DCE9F8" w:val="clear"/>
            <w:vAlign w:val="center"/>
          </w:tcPr>
          <w:p>
            <w:pPr>
              <w:jc w:val="center"/>
            </w:pPr>
            <w:r>
              <w:rPr>
                <w:b/>
                <w:bCs/>
                <w:color w:val="1565C0"/>
                <w:sz w:val="18"/>
                <w:szCs w:val="18"/>
              </w:rPr>
              <w:t xml:space="preserve">MÉDIA</w:t>
            </w:r>
          </w:p>
        </w:tc>
        <w:tc>
          <w:tcPr>
            <w:tcW w:type="dxa" w:w="1000"/>
            <w:shd w:fill="FFFFFF" w:val="clear"/>
            <w:vAlign w:val="center"/>
          </w:tcPr>
          <w:p>
            <w:r>
              <w:rPr>
                <w:b w:val="false"/>
                <w:bCs w:val="false"/>
                <w:sz w:val="18"/>
                <w:szCs w:val="18"/>
              </w:rPr>
              <w:t xml:space="preserve">Facilities / HVAC</w:t>
            </w:r>
          </w:p>
        </w:tc>
      </w:tr>
      <w:tr>
        <w:tc>
          <w:tcPr>
            <w:tcW w:type="dxa" w:w="550"/>
            <w:shd w:fill="FFFFFF" w:val="clear"/>
            <w:vAlign w:val="center"/>
          </w:tcPr>
          <w:p>
            <w:r>
              <w:rPr>
                <w:b/>
                <w:bCs/>
                <w:sz w:val="18"/>
                <w:szCs w:val="18"/>
              </w:rPr>
              <w:t xml:space="preserve">P08</w:t>
            </w:r>
          </w:p>
        </w:tc>
        <w:tc>
          <w:tcPr>
            <w:tcW w:type="dxa" w:w="1650"/>
            <w:shd w:fill="FFFFFF" w:val="clear"/>
            <w:vAlign w:val="center"/>
          </w:tcPr>
          <w:p>
            <w:r>
              <w:rPr>
                <w:b w:val="false"/>
                <w:bCs w:val="false"/>
                <w:sz w:val="18"/>
                <w:szCs w:val="18"/>
              </w:rPr>
              <w:t xml:space="preserve">Fancoil FC-01 – sensor de retorno</w:t>
            </w:r>
          </w:p>
        </w:tc>
        <w:tc>
          <w:tcPr>
            <w:tcW w:type="dxa" w:w="4550"/>
            <w:shd w:fill="FFFFFF" w:val="clear"/>
            <w:vAlign w:val="center"/>
          </w:tcPr>
          <w:p>
            <w:r>
              <w:rPr>
                <w:b w:val="false"/>
                <w:bCs w:val="false"/>
                <w:sz w:val="18"/>
                <w:szCs w:val="18"/>
              </w:rPr>
              <w:t xml:space="preserve">Avaliar reposicionamento do sensor de retorno para a recepção, conforme sugerido no registro de visita anterior.</w:t>
            </w:r>
          </w:p>
        </w:tc>
        <w:tc>
          <w:tcPr>
            <w:tcW w:type="dxa" w:w="1600"/>
            <w:shd w:fill="DCE9F8" w:val="clear"/>
            <w:vAlign w:val="center"/>
          </w:tcPr>
          <w:p>
            <w:pPr>
              <w:jc w:val="center"/>
            </w:pPr>
            <w:r>
              <w:rPr>
                <w:b/>
                <w:bCs/>
                <w:color w:val="1565C0"/>
                <w:sz w:val="18"/>
                <w:szCs w:val="18"/>
              </w:rPr>
              <w:t xml:space="preserve">MÉDIA</w:t>
            </w:r>
          </w:p>
        </w:tc>
        <w:tc>
          <w:tcPr>
            <w:tcW w:type="dxa" w:w="1000"/>
            <w:shd w:fill="FFFFFF" w:val="clear"/>
            <w:vAlign w:val="center"/>
          </w:tcPr>
          <w:p>
            <w:r>
              <w:rPr>
                <w:b w:val="false"/>
                <w:bCs w:val="false"/>
                <w:sz w:val="18"/>
                <w:szCs w:val="18"/>
              </w:rPr>
              <w:t xml:space="preserve">Facilities / HVAC</w:t>
            </w:r>
          </w:p>
        </w:tc>
      </w:tr>
    </w:tbl>
    <w:p>
      <w:pPr>
        <w:pStyle w:val="Heading1"/>
        <w:shd w:fill="00ADA9" w:val="clear"/>
        <w:spacing w:after="200" w:before="300"/>
        <w:ind w:left="80"/>
      </w:pPr>
      <w:r>
        <w:rPr>
          <w:b/>
          <w:bCs/>
          <w:color w:val="FFFFFF"/>
          <w:sz w:val="24"/>
          <w:szCs w:val="24"/>
        </w:rPr>
        <w:t xml:space="preserve">11. AÇÕES REALIZADAS DURANTE A VISITA (09 a 11/07/2026)</w:t>
      </w:r>
    </w:p>
    <w:p>
      <w:pPr>
        <w:spacing w:after="60"/>
      </w:pPr>
      <w:r>
        <w:rPr>
          <w:b/>
          <w:bCs/>
          <w:sz w:val="21"/>
          <w:szCs w:val="21"/>
        </w:rPr>
        <w:t xml:space="preserve">• </w:t>
      </w:r>
      <w:r>
        <w:rPr>
          <w:sz w:val="21"/>
          <w:szCs w:val="21"/>
        </w:rPr>
        <w:t xml:space="preserve">Leitura de pressão e temperatura da água gelada no ponto de medição do Fancoil FC-01.</w:t>
      </w:r>
    </w:p>
    <w:p>
      <w:pPr>
        <w:spacing w:after="60"/>
      </w:pPr>
      <w:r>
        <w:rPr>
          <w:b/>
          <w:bCs/>
          <w:sz w:val="21"/>
          <w:szCs w:val="21"/>
        </w:rPr>
        <w:t xml:space="preserve">• </w:t>
      </w:r>
      <w:r>
        <w:rPr>
          <w:sz w:val="21"/>
          <w:szCs w:val="21"/>
        </w:rPr>
        <w:t xml:space="preserve">Realizado o balanceamento do Fancoil FC-01.</w:t>
      </w:r>
    </w:p>
    <w:p>
      <w:pPr>
        <w:spacing w:after="60"/>
      </w:pPr>
      <w:r>
        <w:rPr>
          <w:b/>
          <w:bCs/>
          <w:sz w:val="21"/>
          <w:szCs w:val="21"/>
        </w:rPr>
        <w:t xml:space="preserve">• </w:t>
      </w:r>
      <w:r>
        <w:rPr>
          <w:sz w:val="21"/>
          <w:szCs w:val="21"/>
        </w:rPr>
        <w:t xml:space="preserve">Identificado que as duas evaporadoras do CPD estavam operando em modo ventilação — corrigido com rodízio (1 arrefecimento + 1 ventilação/backup).</w:t>
      </w:r>
    </w:p>
    <w:p>
      <w:pPr>
        <w:spacing w:after="60"/>
      </w:pPr>
      <w:r>
        <w:rPr>
          <w:b/>
          <w:bCs/>
          <w:sz w:val="21"/>
          <w:szCs w:val="21"/>
        </w:rPr>
        <w:t xml:space="preserve">• </w:t>
      </w:r>
      <w:r>
        <w:rPr>
          <w:sz w:val="21"/>
          <w:szCs w:val="21"/>
        </w:rPr>
        <w:t xml:space="preserve">Inspeção visual das evaporadoras Carrier tipo cassete — sujidade e manchas nas aletas registradas fotograficamente.</w:t>
      </w:r>
    </w:p>
    <w:p>
      <w:pPr>
        <w:spacing w:after="60"/>
      </w:pPr>
      <w:r>
        <w:rPr>
          <w:b/>
          <w:bCs/>
          <w:sz w:val="21"/>
          <w:szCs w:val="21"/>
        </w:rPr>
        <w:t xml:space="preserve">• </w:t>
      </w:r>
      <w:r>
        <w:rPr>
          <w:sz w:val="21"/>
          <w:szCs w:val="21"/>
        </w:rPr>
        <w:t xml:space="preserve">Verificação da Central de Alarme de Incêndio Ilumac/JumperFour — sistema normal, sem pendências.</w:t>
      </w:r>
    </w:p>
    <w:p>
      <w:pPr>
        <w:spacing w:after="60"/>
      </w:pPr>
      <w:r>
        <w:rPr>
          <w:b/>
          <w:bCs/>
          <w:sz w:val="21"/>
          <w:szCs w:val="21"/>
        </w:rPr>
        <w:t xml:space="preserve">• </w:t>
      </w:r>
      <w:r>
        <w:rPr>
          <w:sz w:val="21"/>
          <w:szCs w:val="21"/>
        </w:rPr>
        <w:t xml:space="preserve">Constatada porta de vidro travada ao lado do painel de LED (cubos), impedindo manutenção.</w:t>
      </w:r>
    </w:p>
    <w:p>
      <w:pPr>
        <w:spacing w:after="60"/>
      </w:pPr>
      <w:r>
        <w:rPr>
          <w:b/>
          <w:bCs/>
          <w:sz w:val="21"/>
          <w:szCs w:val="21"/>
        </w:rPr>
        <w:t xml:space="preserve">• </w:t>
      </w:r>
      <w:r>
        <w:rPr>
          <w:sz w:val="21"/>
          <w:szCs w:val="21"/>
        </w:rPr>
        <w:t xml:space="preserve">Registro fotográfico completo das ocorrências (ver Seção 9).</w:t>
      </w:r>
    </w:p>
    <w:p>
      <w:pPr>
        <w:spacing w:after="100"/>
      </w:pPr>
      <w:r>
        <w:rPr>
          <w:i/>
          <w:iCs/>
          <w:sz w:val="18"/>
          <w:szCs w:val="18"/>
        </w:rPr>
        <w:t xml:space="preserve">Chamado Infraspeak: #PMP.4518327.198641536 — "Visita Técnica Espaço XP Brasília", aberto por XP Investimentos, atribuído a David M. Santos.</w:t>
      </w:r>
    </w:p>
    <w:p>
      <w:pPr>
        <w:pStyle w:val="Heading1"/>
        <w:shd w:fill="00ADA9" w:val="clear"/>
        <w:spacing w:after="200" w:before="300"/>
        <w:ind w:left="80"/>
      </w:pPr>
      <w:r>
        <w:rPr>
          <w:b/>
          <w:bCs/>
          <w:color w:val="FFFFFF"/>
          <w:sz w:val="24"/>
          <w:szCs w:val="24"/>
        </w:rPr>
        <w:t xml:space="preserve">12. REFERÊNCIAS – RELATÓRIO DE VISITA ANTERIOR</w:t>
      </w:r>
    </w:p>
    <w:p>
      <w:pPr>
        <w:spacing w:after="100"/>
      </w:pPr>
      <w:r>
        <w:rPr>
          <w:sz w:val="21"/>
          <w:szCs w:val="21"/>
        </w:rPr>
        <w:t xml:space="preserve">Comparação com os registros do relatório de visita técnica anterior, realizado em 22 e 23 de janeiro de 2025.</w:t>
      </w: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4675"/>
        <w:gridCol w:w="4675"/>
      </w:tblGrid>
      <w:tr>
        <w:tc>
          <w:tcPr>
            <w:tcW w:type="dxa" w:w="4675"/>
            <w:shd w:fill="1A1A1A" w:val="clear"/>
            <w:vAlign w:val="center"/>
          </w:tcPr>
          <w:p>
            <w:r>
              <w:rPr>
                <w:b/>
                <w:bCs/>
                <w:color w:val="FFFFFF"/>
                <w:sz w:val="18"/>
                <w:szCs w:val="18"/>
              </w:rPr>
              <w:t xml:space="preserve">Pendência – Registro Anterior (22-23/01/2025)</w:t>
            </w:r>
          </w:p>
        </w:tc>
        <w:tc>
          <w:tcPr>
            <w:tcW w:type="dxa" w:w="4675"/>
            <w:shd w:fill="1A1A1A" w:val="clear"/>
            <w:vAlign w:val="center"/>
          </w:tcPr>
          <w:p>
            <w:r>
              <w:rPr>
                <w:b/>
                <w:bCs/>
                <w:color w:val="FFFFFF"/>
                <w:sz w:val="18"/>
                <w:szCs w:val="18"/>
              </w:rPr>
              <w:t xml:space="preserve">Situação – Jul/2026</w:t>
            </w:r>
          </w:p>
        </w:tc>
      </w:tr>
      <w:tr>
        <w:tc>
          <w:tcPr>
            <w:tcW w:type="dxa" w:w="4675"/>
            <w:shd w:fill="FFFFFF" w:val="clear"/>
            <w:vAlign w:val="center"/>
          </w:tcPr>
          <w:p>
            <w:r>
              <w:rPr>
                <w:b w:val="false"/>
                <w:bCs w:val="false"/>
                <w:sz w:val="18"/>
                <w:szCs w:val="18"/>
              </w:rPr>
              <w:t xml:space="preserve">Fancoil sem retorno alinhado à recepção — equipamento trabalha com temperatura do corredor.</w:t>
            </w:r>
          </w:p>
        </w:tc>
        <w:tc>
          <w:tcPr>
            <w:tcW w:type="dxa" w:w="4675"/>
            <w:shd w:fill="FFFFFF" w:val="clear"/>
            <w:vAlign w:val="center"/>
          </w:tcPr>
          <w:p>
            <w:r>
              <w:rPr>
                <w:b w:val="false"/>
                <w:bCs w:val="false"/>
                <w:sz w:val="18"/>
                <w:szCs w:val="18"/>
              </w:rPr>
              <w:t xml:space="preserve">PERSISTENTE — melhoria de reposicionar sensor de retorno na recepção ainda não implementada (ver P08).</w:t>
            </w:r>
          </w:p>
        </w:tc>
      </w:tr>
      <w:tr>
        <w:tc>
          <w:tcPr>
            <w:tcW w:type="dxa" w:w="4675"/>
            <w:shd w:fill="FFFFFF" w:val="clear"/>
            <w:vAlign w:val="center"/>
          </w:tcPr>
          <w:p>
            <w:r>
              <w:rPr>
                <w:b w:val="false"/>
                <w:bCs w:val="false"/>
                <w:sz w:val="18"/>
                <w:szCs w:val="18"/>
              </w:rPr>
              <w:t xml:space="preserve">Manutenção preventiva do fancoil deve ser quinzenal.</w:t>
            </w:r>
          </w:p>
        </w:tc>
        <w:tc>
          <w:tcPr>
            <w:tcW w:type="dxa" w:w="4675"/>
            <w:shd w:fill="FFFFFF" w:val="clear"/>
            <w:vAlign w:val="center"/>
          </w:tcPr>
          <w:p>
            <w:r>
              <w:rPr>
                <w:b w:val="false"/>
                <w:bCs w:val="false"/>
                <w:sz w:val="18"/>
                <w:szCs w:val="18"/>
              </w:rPr>
              <w:t xml:space="preserve">A CONFIRMAR — reforçar cronograma com a prestadora atual.</w:t>
            </w:r>
          </w:p>
        </w:tc>
      </w:tr>
      <w:tr>
        <w:tc>
          <w:tcPr>
            <w:tcW w:type="dxa" w:w="4675"/>
            <w:shd w:fill="FFFFFF" w:val="clear"/>
            <w:vAlign w:val="center"/>
          </w:tcPr>
          <w:p>
            <w:r>
              <w:rPr>
                <w:b w:val="false"/>
                <w:bCs w:val="false"/>
                <w:sz w:val="18"/>
                <w:szCs w:val="18"/>
              </w:rPr>
              <w:t xml:space="preserve">Filtro Y deve ser limpo semanalmente (água do shopping traz terra e detritos).</w:t>
            </w:r>
          </w:p>
        </w:tc>
        <w:tc>
          <w:tcPr>
            <w:tcW w:type="dxa" w:w="4675"/>
            <w:shd w:fill="FFFFFF" w:val="clear"/>
            <w:vAlign w:val="center"/>
          </w:tcPr>
          <w:p>
            <w:r>
              <w:rPr>
                <w:b w:val="false"/>
                <w:bCs w:val="false"/>
                <w:sz w:val="18"/>
                <w:szCs w:val="18"/>
              </w:rPr>
              <w:t xml:space="preserve">A CONFIRMAR — reforçar cronograma com a prestadora atual.</w:t>
            </w:r>
          </w:p>
        </w:tc>
      </w:tr>
      <w:tr>
        <w:tc>
          <w:tcPr>
            <w:tcW w:type="dxa" w:w="4675"/>
            <w:shd w:fill="FFFFFF" w:val="clear"/>
            <w:vAlign w:val="center"/>
          </w:tcPr>
          <w:p>
            <w:r>
              <w:rPr>
                <w:b w:val="false"/>
                <w:bCs w:val="false"/>
                <w:sz w:val="18"/>
                <w:szCs w:val="18"/>
              </w:rPr>
              <w:t xml:space="preserve">Falta de manutenção preventiva de qualidade nas evaporadoras — sujidade nas turbinas e carenagens.</w:t>
            </w:r>
          </w:p>
        </w:tc>
        <w:tc>
          <w:tcPr>
            <w:tcW w:type="dxa" w:w="4675"/>
            <w:shd w:fill="FFFFFF" w:val="clear"/>
            <w:vAlign w:val="center"/>
          </w:tcPr>
          <w:p>
            <w:r>
              <w:rPr>
                <w:b w:val="false"/>
                <w:bCs w:val="false"/>
                <w:sz w:val="18"/>
                <w:szCs w:val="18"/>
              </w:rPr>
              <w:t xml:space="preserve">PERSISTENTE — evaporadoras seguem sujas; lavagem sem bactericida (ver P02).</w:t>
            </w:r>
          </w:p>
        </w:tc>
      </w:tr>
      <w:tr>
        <w:tc>
          <w:tcPr>
            <w:tcW w:type="dxa" w:w="4675"/>
            <w:shd w:fill="FFFFFF" w:val="clear"/>
            <w:vAlign w:val="center"/>
          </w:tcPr>
          <w:p>
            <w:r>
              <w:rPr>
                <w:b w:val="false"/>
                <w:bCs w:val="false"/>
                <w:sz w:val="18"/>
                <w:szCs w:val="18"/>
              </w:rPr>
              <w:t xml:space="preserve">Isolamento térmico do equipamento tipo dutado do CPD muito ruim; sem acesso para manutenção.</w:t>
            </w:r>
          </w:p>
        </w:tc>
        <w:tc>
          <w:tcPr>
            <w:tcW w:type="dxa" w:w="4675"/>
            <w:shd w:fill="FFFFFF" w:val="clear"/>
            <w:vAlign w:val="center"/>
          </w:tcPr>
          <w:p>
            <w:r>
              <w:rPr>
                <w:b w:val="false"/>
                <w:bCs w:val="false"/>
                <w:sz w:val="18"/>
                <w:szCs w:val="18"/>
              </w:rPr>
              <w:t xml:space="preserve">PERSISTENTE — sem alçapão de acesso ao CPD (ver P05).</w:t>
            </w:r>
          </w:p>
        </w:tc>
      </w:tr>
      <w:tr>
        <w:tc>
          <w:tcPr>
            <w:tcW w:type="dxa" w:w="4675"/>
            <w:shd w:fill="FFFFFF" w:val="clear"/>
            <w:vAlign w:val="center"/>
          </w:tcPr>
          <w:p>
            <w:r>
              <w:rPr>
                <w:b w:val="false"/>
                <w:bCs w:val="false"/>
                <w:sz w:val="18"/>
                <w:szCs w:val="18"/>
              </w:rPr>
              <w:t xml:space="preserve">Recomendação: aplicar bactericida e multiuso industrial, apresentando FISPQ dos produtos.</w:t>
            </w:r>
          </w:p>
        </w:tc>
        <w:tc>
          <w:tcPr>
            <w:tcW w:type="dxa" w:w="4675"/>
            <w:shd w:fill="FFFFFF" w:val="clear"/>
            <w:vAlign w:val="center"/>
          </w:tcPr>
          <w:p>
            <w:r>
              <w:rPr>
                <w:b w:val="false"/>
                <w:bCs w:val="false"/>
                <w:sz w:val="18"/>
                <w:szCs w:val="18"/>
              </w:rPr>
              <w:t xml:space="preserve">NÃO IMPLEMENTADO — prestadora atual lava somente com água (ver P02).</w:t>
            </w:r>
          </w:p>
        </w:tc>
      </w:tr>
    </w:tbl>
    <w:p>
      <w:pPr>
        <w:pStyle w:val="Heading1"/>
        <w:shd w:fill="00ADA9" w:val="clear"/>
        <w:spacing w:after="200" w:before="300"/>
        <w:ind w:left="80"/>
      </w:pPr>
      <w:r>
        <w:rPr>
          <w:b/>
          <w:bCs/>
          <w:color w:val="FFFFFF"/>
          <w:sz w:val="24"/>
          <w:szCs w:val="24"/>
        </w:rPr>
        <w:t xml:space="preserve">13. CONCLUSÃO</w:t>
      </w:r>
    </w:p>
    <w:p>
      <w:pPr>
        <w:spacing w:after="100"/>
      </w:pPr>
      <w:r>
        <w:rPr>
          <w:sz w:val="21"/>
          <w:szCs w:val="21"/>
        </w:rPr>
        <w:t xml:space="preserve">A visita técnica realizada de 09 a 11 de julho de 2026 ao Espaço XP Brasília resultou em avaliação abrangente da climatização e das condições gerais do espaço.</w:t>
      </w:r>
    </w:p>
    <w:p>
      <w:pPr>
        <w:spacing w:after="100"/>
      </w:pPr>
      <w:r>
        <w:rPr>
          <w:sz w:val="21"/>
          <w:szCs w:val="21"/>
        </w:rPr>
        <w:t xml:space="preserve">Fancoil Imperium (FC-01): Balanceamento realizado durante a visita, com pressão e temperatura de água gelada dentro de faixas típicas de operação. Pendência de lavagem/aspiração da bandeja de condensado.</w:t>
      </w:r>
    </w:p>
    <w:p>
      <w:pPr>
        <w:spacing w:after="100"/>
      </w:pPr>
      <w:r>
        <w:rPr>
          <w:sz w:val="21"/>
          <w:szCs w:val="21"/>
        </w:rPr>
        <w:t xml:space="preserve">Evaporadoras do CPD: Corrigido o modo operacional — ambas estavam em ventilação, sem arrefecimento — ajustado com rodízio (1 arrefecimento + 1 ventilação/backup). Falta alçapão de acesso para manutenção.</w:t>
      </w:r>
    </w:p>
    <w:p>
      <w:pPr>
        <w:spacing w:after="100"/>
      </w:pPr>
      <w:r>
        <w:rPr>
          <w:sz w:val="21"/>
          <w:szCs w:val="21"/>
        </w:rPr>
        <w:t xml:space="preserve">Evaporadoras Carrier: Estado de conservação insatisfatório — sujidade acentuada e aletas manchadas, decorrentes de limpeza feita apenas com água, sem produto bactericida. Associado ao odor de mofo relatado nas salas.</w:t>
      </w:r>
    </w:p>
    <w:p>
      <w:pPr>
        <w:spacing w:after="100"/>
      </w:pPr>
      <w:r>
        <w:rPr>
          <w:sz w:val="21"/>
          <w:szCs w:val="21"/>
        </w:rPr>
        <w:t xml:space="preserve">Porta de vidro (painel de LED): Travada, impedindo qualquer manutenção — pendência crítica de acesso.</w:t>
      </w:r>
    </w:p>
    <w:p>
      <w:pPr>
        <w:spacing w:after="100"/>
      </w:pPr>
      <w:r>
        <w:rPr>
          <w:sz w:val="21"/>
          <w:szCs w:val="21"/>
        </w:rPr>
        <w:t xml:space="preserve">Central de Alarme de Incêndio: Operando normalmente, sem pendências no momento da vistoria.</w:t>
      </w:r>
    </w:p>
    <w:p>
      <w:pPr>
        <w:spacing w:after="200"/>
      </w:pPr>
    </w:p>
    <w:tbl>
      <w:tblPr>
        <w:tblW w:type="dxa" w:w="9350"/>
        <w:tblBorders>
          <w:top w:val="single" w:color="00ADA9" w:sz="4"/>
          <w:left w:val="single" w:color="00ADA9" w:sz="4"/>
          <w:bottom w:val="single" w:color="00ADA9" w:sz="4"/>
          <w:right w:val="single" w:color="00ADA9" w:sz="4"/>
          <w:insideH w:val="single" w:color="00ADA9" w:sz="4"/>
          <w:insideV w:val="single" w:color="00ADA9" w:sz="4"/>
        </w:tblBorders>
      </w:tblPr>
      <w:tblGrid>
        <w:gridCol w:w="4675"/>
        <w:gridCol w:w="4675"/>
      </w:tblGrid>
      <w:tr>
        <w:tc>
          <w:tcPr>
            <w:tcW w:type="dxa" w:w="4675"/>
            <w:tcMar>
              <w:top w:type="dxa" w:w="150"/>
              <w:left w:type="dxa" w:w="150"/>
              <w:bottom w:type="dxa" w:w="150"/>
              <w:right w:type="dxa" w:w="150"/>
            </w:tcMar>
          </w:tcPr>
          <w:p>
            <w:pPr>
              <w:jc w:val="center"/>
            </w:pPr>
            <w:r>
              <w:rPr>
                <w:b/>
                <w:bCs/>
                <w:sz w:val="20"/>
                <w:szCs w:val="20"/>
              </w:rPr>
              <w:t xml:space="preserve">David M. Santos</w:t>
            </w:r>
          </w:p>
          <w:p>
            <w:pPr>
              <w:jc w:val="center"/>
            </w:pPr>
            <w:r>
              <w:rPr>
                <w:sz w:val="18"/>
                <w:szCs w:val="18"/>
              </w:rPr>
              <w:t xml:space="preserve">Técnico em Eletroeletrônica | Especialista HVAC</w:t>
            </w:r>
          </w:p>
          <w:p>
            <w:pPr>
              <w:jc w:val="center"/>
            </w:pPr>
            <w:r>
              <w:rPr>
                <w:sz w:val="18"/>
                <w:szCs w:val="18"/>
              </w:rPr>
              <w:t xml:space="preserve">Grupo Facilities – Hard Services – XP Inc.</w:t>
            </w:r>
          </w:p>
        </w:tc>
        <w:tc>
          <w:tcPr>
            <w:tcW w:type="dxa" w:w="4675"/>
            <w:tcMar>
              <w:top w:type="dxa" w:w="150"/>
              <w:left w:type="dxa" w:w="150"/>
              <w:bottom w:type="dxa" w:w="150"/>
              <w:right w:type="dxa" w:w="150"/>
            </w:tcMar>
          </w:tcPr>
          <w:p>
            <w:pPr>
              <w:jc w:val="center"/>
            </w:pPr>
            <w:r>
              <w:rPr>
                <w:sz w:val="20"/>
                <w:szCs w:val="20"/>
              </w:rPr>
              <w:t xml:space="preserve">09 a 11 de julho de 2026</w:t>
            </w:r>
          </w:p>
          <w:p>
            <w:pPr>
              <w:jc w:val="center"/>
            </w:pPr>
            <w:r>
              <w:rPr>
                <w:sz w:val="18"/>
                <w:szCs w:val="18"/>
              </w:rPr>
              <w:t xml:space="preserve">Brasília – Distrito Federal</w:t>
            </w:r>
          </w:p>
          <w:p>
            <w:pPr>
              <w:jc w:val="center"/>
            </w:pPr>
            <w:r>
              <w:rPr>
                <w:b/>
                <w:bCs/>
                <w:sz w:val="18"/>
                <w:szCs w:val="18"/>
              </w:rPr>
              <w:t xml:space="preserve">Chamado Infraspeak: #PMP.4518327.198641536</w:t>
            </w:r>
          </w:p>
        </w:tc>
      </w:tr>
    </w:tbl>
    <w:sectPr>
      <w:headerReference w:type="default" r:id="rId7"/>
      <w:footerReference w:type="default" r:id="rId8"/>
      <w:pgSz w:w="11906" w:h="16838" w:orient="portrait"/>
      <w:pgMar w:top="11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DA9" w:sz="8" w:space="4"/>
      </w:pBdr>
      <w:tabs>
        <w:tab w:val="right" w:pos="9026"/>
      </w:tabs>
    </w:pPr>
    <w:r>
      <w:rPr>
        <w:color w:val="555555"/>
        <w:sz w:val="16"/>
        <w:szCs w:val="16"/>
      </w:rPr>
      <w:t xml:space="preserve">Relatório de Visita Técnica – Espaço XP Brasília | Hard Services Facilities | Confidencial</w:t>
    </w:r>
    <w:r>
      <w:tab/>
    </w: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DA9" w:sz="8" w:space="4"/>
      </w:pBdr>
    </w:pPr>
    <w:r>
      <w:rPr>
        <w:color w:val="555555"/>
        <w:sz w:val="16"/>
        <w:szCs w:val="16"/>
      </w:rPr>
      <w:t xml:space="preserve">Relatório de Visita Técnica – Espaço XP Brasília</w:t>
    </w:r>
  </w:p>
  <w:p>
    <w:r>
      <w:rPr>
        <w:color w:val="555555"/>
        <w:sz w:val="16"/>
        <w:szCs w:val="16"/>
      </w:rPr>
      <w:t xml:space="preserve">09 a 11 de julho de 2026 | Chamado #PMP.4518327.198641536 (Infraspeak)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def3029d3353c87f82a10354fbeb9514c2545e.jpg"/><Relationship Id="rId10" Type="http://schemas.openxmlformats.org/officeDocument/2006/relationships/image" Target="media/49c2fc7b0391176a16c3aac5bb9f72b1795777f6.jpg"/><Relationship Id="rId11" Type="http://schemas.openxmlformats.org/officeDocument/2006/relationships/image" Target="media/52c4e6d344b52893c6267c7cbb4b1afc94817205.jpg"/><Relationship Id="rId12" Type="http://schemas.openxmlformats.org/officeDocument/2006/relationships/image" Target="media/9e3adc9cca6c53978f1206dab341bfcc95c38359.jpg"/><Relationship Id="rId13" Type="http://schemas.openxmlformats.org/officeDocument/2006/relationships/image" Target="media/85e200eb588fe571b69504c21035e9b08ebdf51c.jpg"/><Relationship Id="rId14" Type="http://schemas.openxmlformats.org/officeDocument/2006/relationships/image" Target="media/782696b9ab6f639c749a0ee64f7c0dcb817cb5a5.jpg"/><Relationship Id="rId15" Type="http://schemas.openxmlformats.org/officeDocument/2006/relationships/image" Target="media/c335ea632fe7d998c18e88ecb7f0771f9a15725e.jpg"/><Relationship Id="rId16" Type="http://schemas.openxmlformats.org/officeDocument/2006/relationships/image" Target="media/0d83883ccc589c9b55484ac49553bb1ae47b6a3a.jpg"/><Relationship Id="rId17" Type="http://schemas.openxmlformats.org/officeDocument/2006/relationships/image" Target="media/331716265a573548b9a50091f94a23a25484ed52.jpg"/><Relationship Id="rId18" Type="http://schemas.openxmlformats.org/officeDocument/2006/relationships/image" Target="media/5a717a95c4d5493c8e6d6f9eeb56f07cbd1abcc6.jpg"/><Relationship Id="rId19" Type="http://schemas.openxmlformats.org/officeDocument/2006/relationships/image" Target="media/f0c630aacc3bb881bb0cf84ac949c4a10ef3689e.jpg"/><Relationship Id="rId20" Type="http://schemas.openxmlformats.org/officeDocument/2006/relationships/image" Target="media/eb5e3a6ff27087ba0d8156e227dba7f2c120139d.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2026-07-12T20:49:46.724Z</dcterms:created>
  <dcterms:modified xsi:type="dcterms:W3CDTF">2026-07-12T20:49:46.736Z</dcterms:modified>
</cp:coreProperties>
</file>

<file path=docProps/custom.xml><?xml version="1.0" encoding="utf-8"?>
<Properties xmlns="http://schemas.openxmlformats.org/officeDocument/2006/custom-properties" xmlns:vt="http://schemas.openxmlformats.org/officeDocument/2006/docPropsVTypes"/>
</file>