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6A" w:rsidRDefault="00C5516A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Default="003E6027" w:rsidP="000237FF">
      <w:pPr>
        <w:spacing w:after="0" w:line="240" w:lineRule="auto"/>
        <w:jc w:val="center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C5516A" w:rsidRDefault="003E6027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3E6027" w:rsidRDefault="00924B01" w:rsidP="003E6027">
      <w:pPr>
        <w:pStyle w:val="Sinespaciado"/>
        <w:jc w:val="center"/>
        <w:rPr>
          <w:rFonts w:ascii="Titillium Web" w:hAnsi="Titillium Web"/>
          <w:color w:val="1A3850"/>
        </w:rPr>
      </w:pPr>
      <w:r>
        <w:rPr>
          <w:rFonts w:ascii="Titillium Web" w:hAnsi="Titillium Web"/>
          <w:color w:val="1A3850"/>
        </w:rPr>
        <w:t xml:space="preserve">Acta de Reunión </w:t>
      </w:r>
    </w:p>
    <w:p w:rsidR="003E6027" w:rsidRPr="003E6027" w:rsidRDefault="0008415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 w:rsidRPr="003E6027">
        <w:rPr>
          <w:rFonts w:ascii="Titillium Web" w:hAnsi="Titillium Web"/>
          <w:color w:val="1A3850"/>
          <w:sz w:val="40"/>
          <w:szCs w:val="40"/>
        </w:rPr>
        <w:t>“</w:t>
      </w:r>
      <w:r w:rsidR="00FB398E">
        <w:rPr>
          <w:rFonts w:ascii="Titillium Web" w:hAnsi="Titillium Web"/>
          <w:color w:val="1A3850"/>
          <w:sz w:val="40"/>
          <w:szCs w:val="40"/>
        </w:rPr>
        <w:t>M</w:t>
      </w:r>
      <w:bookmarkStart w:id="0" w:name="_GoBack"/>
      <w:bookmarkEnd w:id="0"/>
      <w:r w:rsidR="00FB398E">
        <w:rPr>
          <w:rFonts w:ascii="Titillium Web" w:hAnsi="Titillium Web"/>
          <w:color w:val="1A3850"/>
          <w:sz w:val="40"/>
          <w:szCs w:val="40"/>
        </w:rPr>
        <w:t>edición de la intensidad de potencia de las tecnologías 2G, 3G, 4G Y WiFi</w:t>
      </w:r>
      <w:r w:rsidRPr="003E6027">
        <w:rPr>
          <w:rFonts w:ascii="Titillium Web" w:hAnsi="Titillium Web"/>
          <w:color w:val="1A3850"/>
          <w:sz w:val="40"/>
          <w:szCs w:val="40"/>
        </w:rPr>
        <w:t>”</w:t>
      </w:r>
      <w:bookmarkStart w:id="1" w:name="_gjdgxs" w:colFirst="0" w:colLast="0"/>
      <w:bookmarkEnd w:id="1"/>
    </w:p>
    <w:p w:rsidR="003E6027" w:rsidRPr="003E6027" w:rsidRDefault="002C0DA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>
        <w:rPr>
          <w:rFonts w:ascii="Titillium Web" w:hAnsi="Titillium Web"/>
          <w:color w:val="1A3850"/>
          <w:sz w:val="40"/>
          <w:szCs w:val="40"/>
        </w:rPr>
        <w:t>“</w:t>
      </w:r>
      <w:r w:rsidR="00FB398E">
        <w:rPr>
          <w:rFonts w:ascii="Titillium Web" w:hAnsi="Titillium Web"/>
          <w:color w:val="1A3850"/>
          <w:sz w:val="40"/>
          <w:szCs w:val="40"/>
        </w:rPr>
        <w:t>LASEC</w:t>
      </w:r>
      <w:r w:rsidR="000D7E2F">
        <w:rPr>
          <w:rFonts w:ascii="Titillium Web" w:hAnsi="Titillium Web"/>
          <w:color w:val="1A3850"/>
          <w:sz w:val="40"/>
          <w:szCs w:val="40"/>
        </w:rPr>
        <w:t xml:space="preserve"> Telecomunicaciones SAPI de CV</w:t>
      </w:r>
      <w:r w:rsidR="00084157" w:rsidRPr="003E6027">
        <w:rPr>
          <w:rFonts w:ascii="Titillium Web" w:hAnsi="Titillium Web"/>
          <w:color w:val="1A3850"/>
          <w:sz w:val="40"/>
          <w:szCs w:val="40"/>
        </w:rPr>
        <w:t>”</w:t>
      </w:r>
    </w:p>
    <w:p w:rsidR="00C5516A" w:rsidRPr="003E6027" w:rsidRDefault="00084157" w:rsidP="003E6027">
      <w:pPr>
        <w:pStyle w:val="Sinespaciado"/>
        <w:jc w:val="center"/>
        <w:rPr>
          <w:rFonts w:ascii="Titillium Web" w:eastAsia="Arial" w:hAnsi="Titillium Web" w:cs="Arial"/>
          <w:b/>
          <w:color w:val="1A3850"/>
        </w:rPr>
      </w:pPr>
      <w:r w:rsidRPr="003E6027">
        <w:rPr>
          <w:rFonts w:ascii="Titillium Web" w:eastAsia="Arial" w:hAnsi="Titillium Web" w:cs="Arial"/>
          <w:b/>
          <w:color w:val="1A3850"/>
        </w:rPr>
        <w:t>ISO/IEC 29110-4-1:2011</w:t>
      </w: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Pr="00C5516A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C5516A" w:rsidRPr="00C5516A" w:rsidRDefault="00C5516A">
      <w:pPr>
        <w:ind w:left="-426"/>
        <w:rPr>
          <w:rFonts w:ascii="Titillium Web" w:eastAsia="Arial" w:hAnsi="Titillium Web" w:cs="Arial"/>
          <w:b/>
        </w:rPr>
      </w:pPr>
    </w:p>
    <w:p w:rsidR="009D1144" w:rsidRDefault="009D1144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Pr="00C5516A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A4330D" w:rsidRDefault="00A4330D" w:rsidP="00A4330D">
      <w:pPr>
        <w:spacing w:after="0" w:line="240" w:lineRule="auto"/>
        <w:rPr>
          <w:rFonts w:ascii="Titillium Web" w:eastAsia="Arial" w:hAnsi="Titillium Web" w:cs="Arial"/>
        </w:rPr>
      </w:pPr>
      <w:bookmarkStart w:id="2" w:name="_30j0zll" w:colFirst="0" w:colLast="0"/>
      <w:bookmarkEnd w:id="2"/>
    </w:p>
    <w:p w:rsidR="00A4330D" w:rsidRPr="006F40DD" w:rsidRDefault="00A4330D" w:rsidP="00A4330D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</w:p>
    <w:p w:rsidR="00B72792" w:rsidRDefault="00B72792">
      <w:pPr>
        <w:rPr>
          <w:rFonts w:ascii="Titillium Web" w:eastAsia="Arial" w:hAnsi="Titillium Web" w:cs="Times New Roman"/>
          <w:b/>
          <w:color w:val="1B2F57"/>
          <w:sz w:val="20"/>
        </w:rPr>
      </w:pPr>
      <w:bookmarkStart w:id="3" w:name="30j0zll" w:colFirst="0" w:colLast="0"/>
      <w:bookmarkEnd w:id="3"/>
      <w:r>
        <w:rPr>
          <w:rFonts w:ascii="Titillium Web" w:eastAsia="Arial" w:hAnsi="Titillium Web" w:cs="Times New Roman"/>
          <w:b/>
          <w:color w:val="1B2F57"/>
          <w:sz w:val="20"/>
        </w:rPr>
        <w:br w:type="page"/>
      </w:r>
    </w:p>
    <w:p w:rsidR="007D5C4B" w:rsidRPr="006F40DD" w:rsidRDefault="00924B01" w:rsidP="00924B01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20"/>
        </w:rPr>
      </w:pPr>
      <w:r w:rsidRPr="006F40DD">
        <w:rPr>
          <w:rFonts w:ascii="Titillium Web" w:eastAsia="Arial" w:hAnsi="Titillium Web" w:cs="Times New Roman"/>
          <w:b/>
          <w:color w:val="1B2F57"/>
          <w:sz w:val="20"/>
        </w:rPr>
        <w:lastRenderedPageBreak/>
        <w:t xml:space="preserve">Acta de Reunión </w:t>
      </w:r>
    </w:p>
    <w:p w:rsidR="00924B01" w:rsidRPr="006F40DD" w:rsidRDefault="00924B01" w:rsidP="00924B01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20"/>
        </w:rPr>
      </w:pPr>
    </w:p>
    <w:p w:rsidR="007F73B4" w:rsidRDefault="00924B01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Propósito de la reunión</w:t>
      </w:r>
      <w:r w:rsidR="007D5C4B" w:rsidRPr="00B72792">
        <w:rPr>
          <w:rFonts w:ascii="Titillium Web" w:eastAsia="Arial" w:hAnsi="Titillium Web" w:cs="Times New Roman"/>
          <w:b/>
          <w:color w:val="1B2F57"/>
          <w:sz w:val="20"/>
        </w:rPr>
        <w:t>:</w:t>
      </w:r>
    </w:p>
    <w:p w:rsidR="00032EBC" w:rsidRDefault="00032EBC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Definición del proyecto</w:t>
      </w:r>
    </w:p>
    <w:p w:rsidR="000265CC" w:rsidRPr="006F40DD" w:rsidRDefault="000265CC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AA0BC0" w:rsidRPr="00B72792" w:rsidRDefault="00924B01" w:rsidP="007D5C4B">
      <w:pPr>
        <w:jc w:val="both"/>
        <w:rPr>
          <w:rFonts w:ascii="Titillium Web" w:eastAsia="Arial" w:hAnsi="Titillium Web" w:cs="Times New Roman"/>
          <w:b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Asistentes:</w:t>
      </w:r>
    </w:p>
    <w:p w:rsidR="00B40AF4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1. Julio César Santibáñez Valles </w:t>
      </w:r>
    </w:p>
    <w:p w:rsidR="00E07A71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2</w:t>
      </w:r>
      <w:r w:rsidR="00AA0BC0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 xml:space="preserve">David </w:t>
      </w:r>
      <w:r w:rsidR="00A638FD">
        <w:rPr>
          <w:rFonts w:ascii="Titillium Web" w:eastAsia="Arial" w:hAnsi="Titillium Web" w:cs="Times New Roman"/>
          <w:color w:val="1B2F57"/>
          <w:sz w:val="20"/>
        </w:rPr>
        <w:t>Fernández</w:t>
      </w:r>
      <w:r>
        <w:rPr>
          <w:rFonts w:ascii="Titillium Web" w:eastAsia="Arial" w:hAnsi="Titillium Web" w:cs="Times New Roman"/>
          <w:color w:val="1B2F57"/>
          <w:sz w:val="20"/>
        </w:rPr>
        <w:t xml:space="preserve"> Villarreal</w:t>
      </w:r>
    </w:p>
    <w:p w:rsidR="00E07A71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3</w:t>
      </w:r>
      <w:r w:rsidR="00E07A71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>Emmanuel Eduardo López Díaz</w:t>
      </w:r>
    </w:p>
    <w:p w:rsidR="00E07A71" w:rsidRDefault="00B40AF4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4</w:t>
      </w:r>
      <w:r w:rsidR="00E07A71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>Guadalupe Orlando López Díaz</w:t>
      </w:r>
    </w:p>
    <w:p w:rsidR="00CA539E" w:rsidRPr="00C41568" w:rsidRDefault="00CA539E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924B01" w:rsidRDefault="00924B01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Lugar y Fecha:</w:t>
      </w:r>
      <w:r w:rsidR="00B40AF4">
        <w:rPr>
          <w:rFonts w:ascii="Titillium Web" w:eastAsia="Arial" w:hAnsi="Titillium Web" w:cs="Times New Roman"/>
          <w:b/>
          <w:color w:val="1B2F57"/>
          <w:sz w:val="20"/>
        </w:rPr>
        <w:t xml:space="preserve"> </w:t>
      </w:r>
    </w:p>
    <w:p w:rsidR="00E07A71" w:rsidRDefault="00EE7CDA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Ciudad de 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Zacatecas a </w:t>
      </w:r>
      <w:r w:rsidR="00ED5824">
        <w:rPr>
          <w:rFonts w:ascii="Titillium Web" w:eastAsia="Arial" w:hAnsi="Titillium Web" w:cs="Times New Roman"/>
          <w:color w:val="1B2F57"/>
          <w:sz w:val="20"/>
        </w:rPr>
        <w:t>lunes 23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 de septiembre de</w:t>
      </w:r>
      <w:r w:rsidR="008B6291">
        <w:rPr>
          <w:rFonts w:ascii="Titillium Web" w:eastAsia="Arial" w:hAnsi="Titillium Web" w:cs="Times New Roman"/>
          <w:color w:val="1B2F57"/>
          <w:sz w:val="20"/>
        </w:rPr>
        <w:t>l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 2019.</w:t>
      </w:r>
    </w:p>
    <w:p w:rsidR="000265CC" w:rsidRPr="006F40DD" w:rsidRDefault="000265CC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7D5C4B" w:rsidRPr="006F40DD" w:rsidRDefault="00924B01" w:rsidP="000D67C3">
      <w:pPr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Referencia a actas de reunión previas</w:t>
      </w:r>
      <w:r w:rsidRPr="006F40DD">
        <w:rPr>
          <w:rFonts w:ascii="Titillium Web" w:eastAsia="Arial" w:hAnsi="Titillium Web" w:cs="Times New Roman"/>
          <w:color w:val="1B2F57"/>
          <w:sz w:val="20"/>
        </w:rPr>
        <w:t>:</w:t>
      </w:r>
    </w:p>
    <w:p w:rsidR="00E07A71" w:rsidRDefault="00E07A71" w:rsidP="00E07A71">
      <w:pPr>
        <w:pStyle w:val="Prrafodelista"/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D27396" w:rsidRPr="00D27396" w:rsidRDefault="00C41408" w:rsidP="00D27396">
      <w:pPr>
        <w:pStyle w:val="Prrafodelista"/>
        <w:numPr>
          <w:ilvl w:val="0"/>
          <w:numId w:val="4"/>
        </w:numPr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Esta es la primera acta de reunión</w:t>
      </w:r>
    </w:p>
    <w:p w:rsidR="00203CCA" w:rsidRDefault="00203CCA" w:rsidP="00203CCA">
      <w:pPr>
        <w:spacing w:after="0"/>
        <w:ind w:left="360"/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203CCA" w:rsidRPr="00B72792" w:rsidRDefault="00203CCA" w:rsidP="00E07A71">
      <w:pPr>
        <w:spacing w:after="0"/>
        <w:jc w:val="both"/>
        <w:rPr>
          <w:rFonts w:ascii="Titillium Web" w:eastAsia="Arial" w:hAnsi="Titillium Web" w:cs="Times New Roman"/>
          <w:b/>
          <w:color w:val="1B2F57"/>
          <w:sz w:val="20"/>
        </w:rPr>
      </w:pPr>
    </w:p>
    <w:p w:rsidR="00E23E90" w:rsidRDefault="007F73B4" w:rsidP="00631AA1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  <w:r>
        <w:rPr>
          <w:rFonts w:ascii="Titillium Web" w:eastAsia="Arial" w:hAnsi="Titillium Web" w:cs="Times New Roman"/>
          <w:b/>
          <w:color w:val="1B2F57"/>
          <w:sz w:val="20"/>
        </w:rPr>
        <w:t>Asuntos:</w:t>
      </w:r>
    </w:p>
    <w:p w:rsidR="00E23E90" w:rsidRDefault="00E23E90" w:rsidP="00E23E90">
      <w:pPr>
        <w:pStyle w:val="Prrafodelista"/>
        <w:numPr>
          <w:ilvl w:val="0"/>
          <w:numId w:val="7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 w:rsidRPr="00C46DE4">
        <w:rPr>
          <w:rFonts w:ascii="Titillium Web" w:eastAsia="Arial" w:hAnsi="Titillium Web" w:cs="Times New Roman"/>
          <w:color w:val="1B2F57"/>
          <w:sz w:val="20"/>
        </w:rPr>
        <w:t xml:space="preserve">Descripciones </w:t>
      </w:r>
      <w:r w:rsidR="00C46DE4" w:rsidRPr="00C46DE4">
        <w:rPr>
          <w:rFonts w:ascii="Titillium Web" w:eastAsia="Arial" w:hAnsi="Titillium Web" w:cs="Times New Roman"/>
          <w:color w:val="1B2F57"/>
          <w:sz w:val="20"/>
        </w:rPr>
        <w:t>g</w:t>
      </w:r>
      <w:r w:rsidRPr="00C46DE4">
        <w:rPr>
          <w:rFonts w:ascii="Titillium Web" w:eastAsia="Arial" w:hAnsi="Titillium Web" w:cs="Times New Roman"/>
          <w:color w:val="1B2F57"/>
          <w:sz w:val="20"/>
        </w:rPr>
        <w:t xml:space="preserve">enerales </w:t>
      </w:r>
      <w:r w:rsidR="00C46DE4" w:rsidRPr="00C46DE4">
        <w:rPr>
          <w:rFonts w:ascii="Titillium Web" w:eastAsia="Arial" w:hAnsi="Titillium Web" w:cs="Times New Roman"/>
          <w:color w:val="1B2F57"/>
          <w:sz w:val="20"/>
        </w:rPr>
        <w:t xml:space="preserve">del proyecto </w:t>
      </w:r>
    </w:p>
    <w:p w:rsidR="008B6291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Medir señales de campo en dispositivos de SmartFlow</w:t>
      </w:r>
    </w:p>
    <w:p w:rsidR="00BE3877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Realizar graficas de la información obtenida de la red</w:t>
      </w:r>
    </w:p>
    <w:p w:rsidR="00BE3877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Enviar notificaciones push informativas </w:t>
      </w:r>
    </w:p>
    <w:p w:rsidR="00BE3877" w:rsidRPr="00C46DE4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Guardar el historial en una base de datos</w:t>
      </w:r>
    </w:p>
    <w:p w:rsidR="00E23E90" w:rsidRPr="00B72792" w:rsidRDefault="00E23E90" w:rsidP="00631AA1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924B01" w:rsidRPr="00B72792" w:rsidRDefault="00924B01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Acuerdos:</w:t>
      </w:r>
    </w:p>
    <w:p w:rsidR="00203CCA" w:rsidRDefault="00D27396" w:rsidP="00203CCA">
      <w:pPr>
        <w:pStyle w:val="Prrafodelista"/>
        <w:numPr>
          <w:ilvl w:val="0"/>
          <w:numId w:val="5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Se dará seguimiento al proyecto hasta la próxima reunión.</w:t>
      </w:r>
    </w:p>
    <w:p w:rsidR="00477E2C" w:rsidRPr="00203CCA" w:rsidRDefault="00477E2C" w:rsidP="00477E2C">
      <w:pPr>
        <w:pStyle w:val="Prrafodelista"/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</w:p>
    <w:p w:rsidR="00631AA1" w:rsidRDefault="00631AA1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C41568" w:rsidRPr="00CA539E" w:rsidRDefault="00C41568" w:rsidP="00C41568">
      <w:pPr>
        <w:tabs>
          <w:tab w:val="left" w:pos="6593"/>
        </w:tabs>
        <w:rPr>
          <w:rFonts w:ascii="Titillium Web" w:eastAsia="Arial" w:hAnsi="Titillium Web" w:cs="Times New Roman"/>
          <w:color w:val="BFBFBF" w:themeColor="background1" w:themeShade="BF"/>
          <w:sz w:val="20"/>
        </w:rPr>
      </w:pPr>
      <w:r>
        <w:rPr>
          <w:rFonts w:ascii="Titillium Web" w:eastAsia="Arial" w:hAnsi="Titillium Web" w:cs="Times New Roman"/>
          <w:b/>
          <w:color w:val="1B2F57"/>
          <w:sz w:val="20"/>
        </w:rPr>
        <w:t>Acciones</w:t>
      </w:r>
      <w:r w:rsidRPr="00B72792">
        <w:rPr>
          <w:rFonts w:ascii="Titillium Web" w:eastAsia="Arial" w:hAnsi="Titillium Web" w:cs="Times New Roman"/>
          <w:b/>
          <w:color w:val="1B2F57"/>
          <w:sz w:val="20"/>
        </w:rPr>
        <w:t xml:space="preserve">: 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 xml:space="preserve">(este </w:t>
      </w:r>
      <w:r w:rsid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a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p</w:t>
      </w:r>
      <w:r w:rsid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a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rtado solo se debe llenar en caso de que no se apruebe una validación de algún artefacto)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CA539E" w:rsidTr="00CA539E">
        <w:tc>
          <w:tcPr>
            <w:tcW w:w="1666" w:type="pct"/>
            <w:shd w:val="clear" w:color="auto" w:fill="002B49"/>
            <w:vAlign w:val="center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lastRenderedPageBreak/>
              <w:t>Descripción de la acción</w:t>
            </w:r>
          </w:p>
        </w:tc>
        <w:tc>
          <w:tcPr>
            <w:tcW w:w="1667" w:type="pct"/>
            <w:shd w:val="clear" w:color="auto" w:fill="002B49"/>
            <w:vAlign w:val="center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t>Responsable</w:t>
            </w:r>
          </w:p>
        </w:tc>
        <w:tc>
          <w:tcPr>
            <w:tcW w:w="1667" w:type="pct"/>
            <w:shd w:val="clear" w:color="auto" w:fill="002B49"/>
            <w:vAlign w:val="bottom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t>Fecha compromiso</w:t>
            </w: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</w:tbl>
    <w:p w:rsidR="00C41568" w:rsidRDefault="00C41568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1F29AC" w:rsidRPr="00C41568" w:rsidRDefault="00924B01" w:rsidP="00C41568">
      <w:p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Próxima reunión</w:t>
      </w:r>
      <w:r w:rsidR="00E94653" w:rsidRPr="00B72792">
        <w:rPr>
          <w:rFonts w:ascii="Titillium Web" w:eastAsia="Arial" w:hAnsi="Titillium Web" w:cs="Times New Roman"/>
          <w:b/>
          <w:color w:val="1B2F57"/>
          <w:sz w:val="20"/>
        </w:rPr>
        <w:t>:</w:t>
      </w:r>
      <w:r w:rsidR="00B30DD3">
        <w:rPr>
          <w:rFonts w:ascii="Titillium Web" w:eastAsia="Arial" w:hAnsi="Titillium Web" w:cs="Times New Roman"/>
          <w:color w:val="1B2F57"/>
          <w:sz w:val="20"/>
        </w:rPr>
        <w:t xml:space="preserve"> 30</w:t>
      </w:r>
      <w:r w:rsidR="00485CF7">
        <w:rPr>
          <w:rFonts w:ascii="Titillium Web" w:eastAsia="Arial" w:hAnsi="Titillium Web" w:cs="Times New Roman"/>
          <w:color w:val="1B2F57"/>
          <w:sz w:val="20"/>
        </w:rPr>
        <w:t>/</w:t>
      </w:r>
      <w:r w:rsidR="00D27396">
        <w:rPr>
          <w:rFonts w:ascii="Titillium Web" w:eastAsia="Arial" w:hAnsi="Titillium Web" w:cs="Times New Roman"/>
          <w:color w:val="1B2F57"/>
          <w:sz w:val="20"/>
        </w:rPr>
        <w:t>0</w:t>
      </w:r>
      <w:r w:rsidR="00B30DD3">
        <w:rPr>
          <w:rFonts w:ascii="Titillium Web" w:eastAsia="Arial" w:hAnsi="Titillium Web" w:cs="Times New Roman"/>
          <w:color w:val="1B2F57"/>
          <w:sz w:val="20"/>
        </w:rPr>
        <w:t>9</w:t>
      </w:r>
      <w:r w:rsidR="00485CF7">
        <w:rPr>
          <w:rFonts w:ascii="Titillium Web" w:eastAsia="Arial" w:hAnsi="Titillium Web" w:cs="Times New Roman"/>
          <w:color w:val="1B2F57"/>
          <w:sz w:val="20"/>
        </w:rPr>
        <w:t>/</w:t>
      </w:r>
      <w:r w:rsidR="00D27396">
        <w:rPr>
          <w:rFonts w:ascii="Titillium Web" w:eastAsia="Arial" w:hAnsi="Titillium Web" w:cs="Times New Roman"/>
          <w:color w:val="1B2F57"/>
          <w:sz w:val="20"/>
        </w:rPr>
        <w:t>19</w:t>
      </w:r>
      <w:r w:rsidR="001F29AC"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3"/>
        <w:gridCol w:w="1701"/>
        <w:gridCol w:w="2436"/>
      </w:tblGrid>
      <w:tr w:rsidR="00203CCA" w:rsidRPr="00592891" w:rsidTr="00B3224D">
        <w:trPr>
          <w:trHeight w:val="518"/>
        </w:trPr>
        <w:tc>
          <w:tcPr>
            <w:tcW w:w="2823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152D50"/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lastRenderedPageBreak/>
              <w:t xml:space="preserve">Nombre del Asistente  </w:t>
            </w:r>
          </w:p>
        </w:tc>
        <w:tc>
          <w:tcPr>
            <w:tcW w:w="895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000000" w:fill="152D50"/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t xml:space="preserve">Rol  </w:t>
            </w:r>
          </w:p>
        </w:tc>
        <w:tc>
          <w:tcPr>
            <w:tcW w:w="1282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000000" w:fill="152D50"/>
            <w:vAlign w:val="center"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t xml:space="preserve">Firma  </w:t>
            </w:r>
          </w:p>
        </w:tc>
      </w:tr>
      <w:tr w:rsidR="00203CCA" w:rsidRPr="00592891" w:rsidTr="00B3224D">
        <w:trPr>
          <w:trHeight w:val="518"/>
        </w:trPr>
        <w:tc>
          <w:tcPr>
            <w:tcW w:w="2823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  <w:tc>
          <w:tcPr>
            <w:tcW w:w="89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  <w:tc>
          <w:tcPr>
            <w:tcW w:w="1282" w:type="pct"/>
            <w:vMerge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04"/>
        </w:trPr>
        <w:tc>
          <w:tcPr>
            <w:tcW w:w="282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203CCA" w:rsidRP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 w:rsidRPr="00D27396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Julio César Santibáñez Valles</w:t>
            </w:r>
          </w:p>
        </w:tc>
        <w:tc>
          <w:tcPr>
            <w:tcW w:w="895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03CCA" w:rsidRPr="00D27396" w:rsidRDefault="00F02D6B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Cliente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CCA" w:rsidRPr="00D27396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CCA" w:rsidRPr="00592891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David </w:t>
            </w:r>
            <w:r w:rsidR="00E94653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Fernández</w:t>
            </w: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 Villarreal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3CCA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Líder de Proyecto</w:t>
            </w:r>
            <w:r w:rsidR="00F02D6B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 y 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Emmanuel Eduardo López Díaz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sz w:val="20"/>
                <w:szCs w:val="20"/>
              </w:rPr>
            </w:pPr>
          </w:p>
        </w:tc>
      </w:tr>
      <w:tr w:rsidR="00D27396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Guadalupe Orlando López Díaz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396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sz w:val="20"/>
                <w:szCs w:val="20"/>
              </w:rPr>
            </w:pPr>
          </w:p>
        </w:tc>
      </w:tr>
    </w:tbl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B72792" w:rsidRDefault="00B72792">
      <w:pPr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p w:rsidR="00F66803" w:rsidRPr="00631AA1" w:rsidRDefault="00F66803" w:rsidP="00631AA1">
      <w:pPr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sectPr w:rsidR="00F66803" w:rsidRPr="00631AA1" w:rsidSect="002743E3">
      <w:headerReference w:type="default" r:id="rId8"/>
      <w:footerReference w:type="default" r:id="rId9"/>
      <w:pgSz w:w="12240" w:h="15840"/>
      <w:pgMar w:top="1440" w:right="1440" w:bottom="1440" w:left="1440" w:header="28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B33" w:rsidRDefault="00B74B33">
      <w:pPr>
        <w:spacing w:after="0" w:line="240" w:lineRule="auto"/>
      </w:pPr>
      <w:r>
        <w:separator/>
      </w:r>
    </w:p>
  </w:endnote>
  <w:endnote w:type="continuationSeparator" w:id="0">
    <w:p w:rsidR="00B74B33" w:rsidRDefault="00B7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44" w:rsidRPr="00C5516A" w:rsidRDefault="0017001A" w:rsidP="00C551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34"/>
      <w:rPr>
        <w:color w:val="000000"/>
        <w:lang w:val="es-ES"/>
      </w:rPr>
    </w:pPr>
    <w:r w:rsidRPr="00631AA1">
      <w:rPr>
        <w:noProof/>
        <w:color w:val="000000"/>
        <w:lang w:eastAsia="es-MX"/>
      </w:rPr>
      <w:drawing>
        <wp:inline distT="0" distB="0" distL="0" distR="0">
          <wp:extent cx="7543800" cy="809625"/>
          <wp:effectExtent l="0" t="0" r="0" b="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B33" w:rsidRDefault="00B74B33">
      <w:pPr>
        <w:spacing w:after="0" w:line="240" w:lineRule="auto"/>
      </w:pPr>
      <w:r>
        <w:separator/>
      </w:r>
    </w:p>
  </w:footnote>
  <w:footnote w:type="continuationSeparator" w:id="0">
    <w:p w:rsidR="00B74B33" w:rsidRDefault="00B7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8190" w:tblpY="-96"/>
      <w:tblW w:w="3653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000" w:firstRow="0" w:lastRow="0" w:firstColumn="0" w:lastColumn="0" w:noHBand="0" w:noVBand="0"/>
    </w:tblPr>
    <w:tblGrid>
      <w:gridCol w:w="1806"/>
      <w:gridCol w:w="1847"/>
    </w:tblGrid>
    <w:tr w:rsidR="00AA1935" w:rsidTr="00631AA1">
      <w:trPr>
        <w:trHeight w:val="256"/>
      </w:trPr>
      <w:tc>
        <w:tcPr>
          <w:tcW w:w="3653" w:type="dxa"/>
          <w:gridSpan w:val="2"/>
          <w:shd w:val="clear" w:color="auto" w:fill="1B2F57"/>
          <w:vAlign w:val="center"/>
        </w:tcPr>
        <w:p w:rsidR="00AA1935" w:rsidRPr="00631AA1" w:rsidRDefault="0017001A" w:rsidP="00631AA1">
          <w:pPr>
            <w:tabs>
              <w:tab w:val="right" w:pos="3103"/>
            </w:tabs>
            <w:spacing w:after="0" w:line="240" w:lineRule="auto"/>
            <w:ind w:right="-61"/>
            <w:jc w:val="center"/>
            <w:rPr>
              <w:rFonts w:ascii="Titillium Web" w:eastAsia="Verdana" w:hAnsi="Titillium Web" w:cs="Verdana"/>
              <w:color w:val="FFFFFF"/>
              <w:sz w:val="20"/>
              <w:szCs w:val="20"/>
            </w:rPr>
          </w:pPr>
          <w:r>
            <w:rPr>
              <w:rFonts w:ascii="Titillium Web" w:eastAsia="Verdana" w:hAnsi="Titillium Web" w:cs="Verdana"/>
              <w:color w:val="FFFFFF"/>
              <w:sz w:val="20"/>
              <w:szCs w:val="20"/>
            </w:rPr>
            <w:t>ACTA DE REUNIÓN</w:t>
          </w:r>
        </w:p>
      </w:tc>
    </w:tr>
    <w:tr w:rsidR="00AA1935" w:rsidRPr="004C21D6" w:rsidTr="00631AA1">
      <w:trPr>
        <w:trHeight w:val="203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Hoja: </w: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PAGE</w:instrTex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DB426A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1</w: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 de </w: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NUMPAGES</w:instrTex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DB426A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4</w:t>
          </w:r>
          <w:r w:rsidR="001E20A2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>Versión: 1.0</w:t>
          </w:r>
        </w:p>
      </w:tc>
    </w:tr>
    <w:tr w:rsidR="00AA1935" w:rsidRPr="004C21D6" w:rsidTr="00631AA1">
      <w:trPr>
        <w:trHeight w:val="208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>Fecha de elaboración:</w:t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58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AA1935" w:rsidRPr="004C21D6" w:rsidTr="00631AA1">
      <w:trPr>
        <w:trHeight w:val="289"/>
      </w:trPr>
      <w:tc>
        <w:tcPr>
          <w:tcW w:w="3653" w:type="dxa"/>
          <w:gridSpan w:val="2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Proceso: </w:t>
          </w:r>
          <w:r w:rsidRPr="00631AA1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Gestión de Proyectos</w:t>
          </w:r>
        </w:p>
      </w:tc>
    </w:tr>
    <w:tr w:rsidR="00AA1935" w:rsidRPr="004C21D6" w:rsidTr="00631AA1">
      <w:trPr>
        <w:trHeight w:val="266"/>
      </w:trPr>
      <w:tc>
        <w:tcPr>
          <w:tcW w:w="3653" w:type="dxa"/>
          <w:gridSpan w:val="2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B2F57"/>
              <w:sz w:val="12"/>
              <w:szCs w:val="12"/>
            </w:rPr>
            <w:t xml:space="preserve">Código: </w:t>
          </w:r>
          <w:r w:rsidR="00946FE8" w:rsidRPr="00631AA1">
            <w:rPr>
              <w:rFonts w:ascii="Titillium Web" w:eastAsia="Verdana" w:hAnsi="Titillium Web" w:cs="Verdana"/>
              <w:b/>
              <w:color w:val="152D50"/>
              <w:sz w:val="12"/>
              <w:szCs w:val="12"/>
            </w:rPr>
            <w:t>SF - AR - 001</w:t>
          </w:r>
        </w:p>
      </w:tc>
    </w:tr>
    <w:tr w:rsidR="00AA1935" w:rsidTr="00631AA1">
      <w:trPr>
        <w:trHeight w:val="236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Fecha de vigencia: </w:t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Verdana" w:eastAsia="Verdana" w:hAnsi="Verdana" w:cs="Verdana"/>
              <w:color w:val="1A3850"/>
              <w:sz w:val="12"/>
              <w:szCs w:val="12"/>
            </w:rPr>
          </w:pPr>
        </w:p>
      </w:tc>
    </w:tr>
  </w:tbl>
  <w:p w:rsidR="002743E3" w:rsidRDefault="0017001A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  <w:r w:rsidRPr="00631AA1">
      <w:rPr>
        <w:rFonts w:ascii="Arial" w:eastAsia="Arial" w:hAnsi="Arial" w:cs="Arial"/>
        <w:b/>
        <w:i/>
        <w:noProof/>
        <w:color w:val="002060"/>
        <w:lang w:eastAsia="es-MX"/>
      </w:rPr>
      <w:drawing>
        <wp:inline distT="0" distB="0" distL="0" distR="0">
          <wp:extent cx="3209925" cy="895350"/>
          <wp:effectExtent l="0" t="0" r="9525" b="0"/>
          <wp:docPr id="1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1935">
      <w:rPr>
        <w:rFonts w:ascii="Arial" w:eastAsia="Arial" w:hAnsi="Arial" w:cs="Arial"/>
        <w:b/>
        <w:color w:val="002060"/>
      </w:rPr>
      <w:tab/>
    </w:r>
  </w:p>
  <w:p w:rsidR="002743E3" w:rsidRP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01A3A"/>
    <w:multiLevelType w:val="hybridMultilevel"/>
    <w:tmpl w:val="D42AF3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912E0"/>
    <w:multiLevelType w:val="multilevel"/>
    <w:tmpl w:val="B18A9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7B0128"/>
    <w:multiLevelType w:val="hybridMultilevel"/>
    <w:tmpl w:val="2820BAA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FC7502"/>
    <w:multiLevelType w:val="hybridMultilevel"/>
    <w:tmpl w:val="E5F6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D67B7"/>
    <w:multiLevelType w:val="hybridMultilevel"/>
    <w:tmpl w:val="4E7428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D5217"/>
    <w:multiLevelType w:val="multilevel"/>
    <w:tmpl w:val="099E6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B43C76"/>
    <w:multiLevelType w:val="hybridMultilevel"/>
    <w:tmpl w:val="58787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187B"/>
    <w:multiLevelType w:val="hybridMultilevel"/>
    <w:tmpl w:val="EBD29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9C"/>
    <w:rsid w:val="00013F18"/>
    <w:rsid w:val="0002255F"/>
    <w:rsid w:val="00023343"/>
    <w:rsid w:val="000237FF"/>
    <w:rsid w:val="000265CC"/>
    <w:rsid w:val="00032EBC"/>
    <w:rsid w:val="00082A83"/>
    <w:rsid w:val="00084157"/>
    <w:rsid w:val="00086DC2"/>
    <w:rsid w:val="00094D98"/>
    <w:rsid w:val="000B5802"/>
    <w:rsid w:val="000D67C3"/>
    <w:rsid w:val="000D7E2F"/>
    <w:rsid w:val="000E2323"/>
    <w:rsid w:val="001111A7"/>
    <w:rsid w:val="00122CA8"/>
    <w:rsid w:val="00160393"/>
    <w:rsid w:val="0017001A"/>
    <w:rsid w:val="00174199"/>
    <w:rsid w:val="001756BE"/>
    <w:rsid w:val="001A3B57"/>
    <w:rsid w:val="001B6ABB"/>
    <w:rsid w:val="001E20A2"/>
    <w:rsid w:val="001F29AC"/>
    <w:rsid w:val="001F51B6"/>
    <w:rsid w:val="00203CCA"/>
    <w:rsid w:val="00211E94"/>
    <w:rsid w:val="002743E3"/>
    <w:rsid w:val="002C0DA7"/>
    <w:rsid w:val="002F3CC3"/>
    <w:rsid w:val="0031304B"/>
    <w:rsid w:val="00331069"/>
    <w:rsid w:val="00335FA9"/>
    <w:rsid w:val="003829F1"/>
    <w:rsid w:val="003A639B"/>
    <w:rsid w:val="003E6027"/>
    <w:rsid w:val="00471C4E"/>
    <w:rsid w:val="00471DD1"/>
    <w:rsid w:val="00477E2C"/>
    <w:rsid w:val="004849A3"/>
    <w:rsid w:val="00485CF7"/>
    <w:rsid w:val="004C21D6"/>
    <w:rsid w:val="004F1862"/>
    <w:rsid w:val="005214A9"/>
    <w:rsid w:val="0052636A"/>
    <w:rsid w:val="005C11E8"/>
    <w:rsid w:val="005D258B"/>
    <w:rsid w:val="005E582A"/>
    <w:rsid w:val="0060259B"/>
    <w:rsid w:val="00621E2D"/>
    <w:rsid w:val="00631AA1"/>
    <w:rsid w:val="006625EC"/>
    <w:rsid w:val="00671C76"/>
    <w:rsid w:val="006C0288"/>
    <w:rsid w:val="006F40DD"/>
    <w:rsid w:val="007312FC"/>
    <w:rsid w:val="00766AB6"/>
    <w:rsid w:val="007D5C4B"/>
    <w:rsid w:val="007F73B4"/>
    <w:rsid w:val="00855BAA"/>
    <w:rsid w:val="00864C9C"/>
    <w:rsid w:val="008954D0"/>
    <w:rsid w:val="008B6291"/>
    <w:rsid w:val="008B6D7E"/>
    <w:rsid w:val="008B70EE"/>
    <w:rsid w:val="008E70D6"/>
    <w:rsid w:val="008F37E5"/>
    <w:rsid w:val="009100E1"/>
    <w:rsid w:val="00921677"/>
    <w:rsid w:val="00924B01"/>
    <w:rsid w:val="00933127"/>
    <w:rsid w:val="009336E2"/>
    <w:rsid w:val="00946FE8"/>
    <w:rsid w:val="009A5BE4"/>
    <w:rsid w:val="009D1144"/>
    <w:rsid w:val="009D45A0"/>
    <w:rsid w:val="00A005EE"/>
    <w:rsid w:val="00A2209D"/>
    <w:rsid w:val="00A4330D"/>
    <w:rsid w:val="00A638FD"/>
    <w:rsid w:val="00A712CF"/>
    <w:rsid w:val="00AA0BC0"/>
    <w:rsid w:val="00AA1935"/>
    <w:rsid w:val="00AC1D88"/>
    <w:rsid w:val="00AC64A8"/>
    <w:rsid w:val="00AD5732"/>
    <w:rsid w:val="00B009FE"/>
    <w:rsid w:val="00B0130A"/>
    <w:rsid w:val="00B30DD3"/>
    <w:rsid w:val="00B314F5"/>
    <w:rsid w:val="00B3224D"/>
    <w:rsid w:val="00B34427"/>
    <w:rsid w:val="00B40AF4"/>
    <w:rsid w:val="00B72792"/>
    <w:rsid w:val="00B74B33"/>
    <w:rsid w:val="00BB6AAF"/>
    <w:rsid w:val="00BE3877"/>
    <w:rsid w:val="00C41408"/>
    <w:rsid w:val="00C41568"/>
    <w:rsid w:val="00C46DE4"/>
    <w:rsid w:val="00C5516A"/>
    <w:rsid w:val="00C57A78"/>
    <w:rsid w:val="00C928C2"/>
    <w:rsid w:val="00CA539E"/>
    <w:rsid w:val="00D25EFC"/>
    <w:rsid w:val="00D27396"/>
    <w:rsid w:val="00DB426A"/>
    <w:rsid w:val="00DE490C"/>
    <w:rsid w:val="00E05EE0"/>
    <w:rsid w:val="00E07A71"/>
    <w:rsid w:val="00E23E90"/>
    <w:rsid w:val="00E734A2"/>
    <w:rsid w:val="00E94653"/>
    <w:rsid w:val="00EB1BB3"/>
    <w:rsid w:val="00ED5824"/>
    <w:rsid w:val="00EE7CDA"/>
    <w:rsid w:val="00F02D6B"/>
    <w:rsid w:val="00F66803"/>
    <w:rsid w:val="00F74B37"/>
    <w:rsid w:val="00F93C0D"/>
    <w:rsid w:val="00FB398E"/>
    <w:rsid w:val="00FC153F"/>
    <w:rsid w:val="00FC287A"/>
    <w:rsid w:val="00FC3955"/>
    <w:rsid w:val="00FC6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8B3CF6-3F9D-4082-8C53-69E00AC4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1AA1"/>
    <w:pPr>
      <w:spacing w:after="200" w:line="276" w:lineRule="auto"/>
    </w:pPr>
    <w:rPr>
      <w:sz w:val="22"/>
      <w:szCs w:val="22"/>
      <w:lang w:eastAsia="es-ES_tradnl"/>
    </w:rPr>
  </w:style>
  <w:style w:type="paragraph" w:styleId="Ttulo1">
    <w:name w:val="heading 1"/>
    <w:basedOn w:val="Normal"/>
    <w:next w:val="Normal"/>
    <w:rsid w:val="001E20A2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rsid w:val="001E20A2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rsid w:val="001E20A2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rsid w:val="001E20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E20A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1E20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E20A2"/>
    <w:pPr>
      <w:spacing w:after="200" w:line="276" w:lineRule="auto"/>
    </w:pPr>
    <w:rPr>
      <w:sz w:val="22"/>
      <w:szCs w:val="22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1E20A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E20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1E20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1E20A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A"/>
  </w:style>
  <w:style w:type="paragraph" w:styleId="Piedepgina">
    <w:name w:val="footer"/>
    <w:basedOn w:val="Normal"/>
    <w:link w:val="Piedepgina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A"/>
  </w:style>
  <w:style w:type="paragraph" w:styleId="Sinespaciado">
    <w:name w:val="No Spacing"/>
    <w:uiPriority w:val="1"/>
    <w:qFormat/>
    <w:rsid w:val="00C5516A"/>
    <w:rPr>
      <w:sz w:val="22"/>
      <w:szCs w:val="22"/>
      <w:lang w:eastAsia="es-ES_tradnl"/>
    </w:rPr>
  </w:style>
  <w:style w:type="table" w:customStyle="1" w:styleId="Cuadrculadetablaclara1">
    <w:name w:val="Cuadrícula de tabla clara1"/>
    <w:basedOn w:val="Tablanormal"/>
    <w:uiPriority w:val="40"/>
    <w:rsid w:val="003E60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normal11">
    <w:name w:val="Tabla normal 11"/>
    <w:basedOn w:val="Tablanormal"/>
    <w:uiPriority w:val="41"/>
    <w:rsid w:val="003E60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21">
    <w:name w:val="Tabla normal 21"/>
    <w:basedOn w:val="Tablanormal"/>
    <w:uiPriority w:val="42"/>
    <w:rsid w:val="003E602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51">
    <w:name w:val="Tabla normal 51"/>
    <w:basedOn w:val="Tablanormal"/>
    <w:uiPriority w:val="45"/>
    <w:rsid w:val="003E6027"/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3E602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3E6027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3E6027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3E6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7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1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Instituto%20Tecnol&#243;gico%20Superior%20de%20Jerez\RESIDENCIAS\Documentacion\A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E47744-2C5B-44A4-A4C9-457F062E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AR.dotx</Template>
  <TotalTime>199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Guadalupe Lopez</cp:lastModifiedBy>
  <cp:revision>29</cp:revision>
  <dcterms:created xsi:type="dcterms:W3CDTF">2019-09-25T15:37:00Z</dcterms:created>
  <dcterms:modified xsi:type="dcterms:W3CDTF">2019-10-02T18:13:00Z</dcterms:modified>
</cp:coreProperties>
</file>