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036db3c8130cd6d9bd94dd7d177879986309e4"/>
    <w:p>
      <w:pPr>
        <w:pStyle w:val="Heading1"/>
      </w:pPr>
      <w:r>
        <w:t xml:space="preserve">AGCD Daily Climate Archive — How It Was Built</w:t>
      </w:r>
    </w:p>
    <w:p>
      <w:pPr>
        <w:pStyle w:val="FirstParagraph"/>
      </w:pPr>
      <w:r>
        <w:rPr>
          <w:iCs/>
          <w:i/>
        </w:rPr>
        <w:t xml:space="preserve">A provenance and method note, for anyone who wants to understand, reproduce, or extend the archive. This is the build story; the two companion documents (the briefing and the technical reference) cover how to</w:t>
      </w:r>
      <w:r>
        <w:rPr>
          <w:iCs/>
          <w:i/>
        </w:rPr>
        <w:t xml:space="preserve"> </w:t>
      </w:r>
      <w:r>
        <w:rPr>
          <w:bCs/>
          <w:b/>
          <w:iCs/>
          <w:i/>
        </w:rPr>
        <w:t xml:space="preserve">use</w:t>
      </w:r>
      <w:r>
        <w:rPr>
          <w:iCs/>
          <w:i/>
        </w:rPr>
        <w:t xml:space="preserve"> </w:t>
      </w:r>
      <w:r>
        <w:rPr>
          <w:iCs/>
          <w:i/>
        </w:rPr>
        <w:t xml:space="preserve">the result.</w:t>
      </w:r>
    </w:p>
    <w:p>
      <w:pPr>
        <w:pStyle w:val="BodyText"/>
      </w:pPr>
      <w:r>
        <w:t xml:space="preserve">Prepared by Ken Brook, August 2026.</w:t>
      </w:r>
    </w:p>
    <w:p>
      <w:r>
        <w:pict>
          <v:rect style="width:0;height:1.5pt" o:hralign="center" o:hrstd="t" o:hr="t"/>
        </w:pict>
      </w:r>
    </w:p>
    <w:bookmarkStart w:id="20" w:name="why-this-exists"/>
    <w:p>
      <w:pPr>
        <w:pStyle w:val="Heading2"/>
      </w:pPr>
      <w:r>
        <w:t xml:space="preserve">1. Why this exists</w:t>
      </w:r>
    </w:p>
    <w:p>
      <w:pPr>
        <w:pStyle w:val="FirstParagraph"/>
      </w:pPr>
      <w:r>
        <w:t xml:space="preserve">The archive is an independent, offline copy of daily rainfall and temperature for Australia, built as a strategic-analysis fallback to SILO. The concern behind it is continuity: SILO is a single Queensland-government point-data service, and anyone whose long-run analysis depends on it is exposed if it changes or lapses. This archive takes the same underlying observations, packaged so it can sit on a shelf and keep working with no live service behind it.</w:t>
      </w:r>
    </w:p>
    <w:p>
      <w:pPr>
        <w:pStyle w:val="BodyText"/>
      </w:pPr>
      <w:r>
        <w:t xml:space="preserve">It is deliberately scoped for</w:t>
      </w:r>
      <w:r>
        <w:t xml:space="preserve"> </w:t>
      </w:r>
      <w:r>
        <w:rPr>
          <w:bCs/>
          <w:b/>
        </w:rPr>
        <w:t xml:space="preserve">strategic</w:t>
      </w:r>
      <w:r>
        <w:t xml:space="preserve"> </w:t>
      </w:r>
      <w:r>
        <w:t xml:space="preserve">use — long-run distributions, best-bet analysis, climatology — not tactical in-season monitoring. It stops at the end of 2022 and does not update.</w:t>
      </w:r>
    </w:p>
    <w:bookmarkEnd w:id="20"/>
    <w:bookmarkStart w:id="21" w:name="the-source-agcd-and-what-it-actually-is"/>
    <w:p>
      <w:pPr>
        <w:pStyle w:val="Heading2"/>
      </w:pPr>
      <w:r>
        <w:t xml:space="preserve">2. The source: AGCD, and what it actually is</w:t>
      </w:r>
    </w:p>
    <w:p>
      <w:pPr>
        <w:pStyle w:val="FirstParagraph"/>
      </w:pPr>
      <w:r>
        <w:t xml:space="preserve">The data is the Bureau of Meteorology’s</w:t>
      </w:r>
      <w:r>
        <w:t xml:space="preserve"> </w:t>
      </w:r>
      <w:r>
        <w:rPr>
          <w:bCs/>
          <w:b/>
        </w:rPr>
        <w:t xml:space="preserve">Australian Gridded Climate Data (AGCD), version 1-0-1</w:t>
      </w:r>
      <w:r>
        <w:t xml:space="preserve">, obtained from the National Computational Infrastructure (NCI) under project</w:t>
      </w:r>
      <w:r>
        <w:t xml:space="preserve"> </w:t>
      </w:r>
      <w:r>
        <w:rPr>
          <w:rStyle w:val="VerbatimChar"/>
        </w:rPr>
        <w:t xml:space="preserve">zv2</w:t>
      </w:r>
      <w:r>
        <w:t xml:space="preserve">. AGCD is the successor to AWAP (the Australian Water Availability Project) and uses the same analysis method.</w:t>
      </w:r>
    </w:p>
    <w:p>
      <w:pPr>
        <w:pStyle w:val="BodyText"/>
      </w:pPr>
      <w:r>
        <w:t xml:space="preserve">It is important to understand what this data</w:t>
      </w:r>
      <w:r>
        <w:t xml:space="preserve"> </w:t>
      </w:r>
      <w:r>
        <w:rPr>
          <w:iCs/>
          <w:i/>
        </w:rPr>
        <w:t xml:space="preserve">is</w:t>
      </w:r>
      <w:r>
        <w:t xml:space="preserve">, because it shapes everything downstream. AGCD is</w:t>
      </w:r>
      <w:r>
        <w:t xml:space="preserve"> </w:t>
      </w:r>
      <w:r>
        <w:rPr>
          <w:bCs/>
          <w:b/>
        </w:rPr>
        <w:t xml:space="preserve">not</w:t>
      </w:r>
      <w:r>
        <w:t xml:space="preserve"> </w:t>
      </w:r>
      <w:r>
        <w:t xml:space="preserve">a set of station measurements. It is a gridded</w:t>
      </w:r>
      <w:r>
        <w:t xml:space="preserve"> </w:t>
      </w:r>
      <w:r>
        <w:rPr>
          <w:iCs/>
          <w:i/>
        </w:rPr>
        <w:t xml:space="preserve">analysis</w:t>
      </w:r>
      <w:r>
        <w:t xml:space="preserve">: the Bureau takes its daily gauge and thermometer readings and interpolates them onto a regular 0.05° (~5 km) grid using a successive-correction (Barnes) scheme. Every cell value is an estimate formed from surrounding stations, weighted by distance and by the local density of the observing network. Where the network is dense the estimate is tightly constrained by real data; where it is sparse the estimate leans on climatology. This is why the archive carries an analysis</w:t>
      </w:r>
      <w:r>
        <w:t xml:space="preserve"> </w:t>
      </w:r>
      <w:r>
        <w:rPr>
          <w:iCs/>
          <w:i/>
        </w:rPr>
        <w:t xml:space="preserve">weight</w:t>
      </w:r>
      <w:r>
        <w:t xml:space="preserve"> </w:t>
      </w:r>
      <w:r>
        <w:t xml:space="preserve">alongside rainfall (see section 6), and why coverage quality varies across the country.</w:t>
      </w:r>
    </w:p>
    <w:p>
      <w:pPr>
        <w:pStyle w:val="BodyText"/>
      </w:pPr>
      <w:r>
        <w:t xml:space="preserve">Variables and spans used:</w:t>
      </w:r>
    </w:p>
    <w:p>
      <w:pPr>
        <w:numPr>
          <w:ilvl w:val="0"/>
          <w:numId w:val="1001"/>
        </w:numPr>
        <w:pStyle w:val="Compact"/>
      </w:pPr>
      <w:r>
        <w:rPr>
          <w:bCs/>
          <w:b/>
        </w:rPr>
        <w:t xml:space="preserve">precip</w:t>
      </w:r>
      <w:r>
        <w:t xml:space="preserve"> </w:t>
      </w:r>
      <w:r>
        <w:t xml:space="preserve">— daily rainfall, from 1900.</w:t>
      </w:r>
    </w:p>
    <w:p>
      <w:pPr>
        <w:numPr>
          <w:ilvl w:val="0"/>
          <w:numId w:val="1001"/>
        </w:numPr>
        <w:pStyle w:val="Compact"/>
      </w:pPr>
      <w:r>
        <w:rPr>
          <w:bCs/>
          <w:b/>
        </w:rPr>
        <w:t xml:space="preserve">tmax</w:t>
      </w:r>
      <w:r>
        <w:t xml:space="preserve">,</w:t>
      </w:r>
      <w:r>
        <w:t xml:space="preserve"> </w:t>
      </w:r>
      <w:r>
        <w:rPr>
          <w:bCs/>
          <w:b/>
        </w:rPr>
        <w:t xml:space="preserve">tmin</w:t>
      </w:r>
      <w:r>
        <w:t xml:space="preserve"> </w:t>
      </w:r>
      <w:r>
        <w:t xml:space="preserve">— daily maximum and minimum temperature, from 1910.</w:t>
      </w:r>
    </w:p>
    <w:p>
      <w:pPr>
        <w:numPr>
          <w:ilvl w:val="0"/>
          <w:numId w:val="1001"/>
        </w:numPr>
        <w:pStyle w:val="Compact"/>
      </w:pPr>
      <w:r>
        <w:rPr>
          <w:bCs/>
          <w:b/>
        </w:rPr>
        <w:t xml:space="preserve">precip_weight</w:t>
      </w:r>
      <w:r>
        <w:t xml:space="preserve"> </w:t>
      </w:r>
      <w:r>
        <w:t xml:space="preserve">— the rainfall analysis weight (from 1900).</w:t>
      </w:r>
    </w:p>
    <w:p>
      <w:pPr>
        <w:pStyle w:val="FirstParagraph"/>
      </w:pPr>
      <w:r>
        <w:t xml:space="preserve">A</w:t>
      </w:r>
      <w:r>
        <w:t xml:space="preserve"> </w:t>
      </w:r>
      <w:r>
        <w:t xml:space="preserve">“</w:t>
      </w:r>
      <w:r>
        <w:t xml:space="preserve">day</w:t>
      </w:r>
      <w:r>
        <w:t xml:space="preserve">”</w:t>
      </w:r>
      <w:r>
        <w:t xml:space="preserve"> </w:t>
      </w:r>
      <w:r>
        <w:t xml:space="preserve">follows the Bureau convention: the 24 hours to 9 am on the labelled date. This matches SILO, so the two are directly comparable.</w:t>
      </w:r>
    </w:p>
    <w:bookmarkEnd w:id="21"/>
    <w:bookmarkStart w:id="22" w:name="X77879996e8b966c08e7fe953283728aa50f167f"/>
    <w:p>
      <w:pPr>
        <w:pStyle w:val="Heading2"/>
      </w:pPr>
      <w:r>
        <w:t xml:space="preserve">3. netCDF and Zarr — the two storage formats, and why it matters</w:t>
      </w:r>
    </w:p>
    <w:p>
      <w:pPr>
        <w:pStyle w:val="FirstParagraph"/>
      </w:pPr>
      <w:r>
        <w:t xml:space="preserve">Two file formats appear in this work, and anyone extending it should understand the difference, because they solve different problems.</w:t>
      </w:r>
    </w:p>
    <w:p>
      <w:pPr>
        <w:pStyle w:val="BodyText"/>
      </w:pPr>
      <w:r>
        <w:rPr>
          <w:bCs/>
          <w:b/>
        </w:rPr>
        <w:t xml:space="preserve">netCDF</w:t>
      </w:r>
      <w:r>
        <w:t xml:space="preserve"> </w:t>
      </w:r>
      <w:r>
        <w:t xml:space="preserve">is the long-standing standard for gridded scientific data: a single self-describing file holding arrays plus their coordinates and metadata. One netCDF file is one unit — you open it, and you have everything in it. It is universally readable (Python, R, QGIS, MATLAB) and is what the shipped tiles are. Its limitation is that it is file-oriented: to read one cell you generally open the whole file, and a single national daily file across 120 years would be enormous and unwieldy.</w:t>
      </w:r>
    </w:p>
    <w:p>
      <w:pPr>
        <w:pStyle w:val="BodyText"/>
      </w:pPr>
      <w:r>
        <w:rPr>
          <w:bCs/>
          <w:b/>
        </w:rPr>
        <w:t xml:space="preserve">Zarr</w:t>
      </w:r>
      <w:r>
        <w:t xml:space="preserve"> </w:t>
      </w:r>
      <w:r>
        <w:t xml:space="preserve">solves the</w:t>
      </w:r>
      <w:r>
        <w:t xml:space="preserve"> </w:t>
      </w:r>
      <w:r>
        <w:t xml:space="preserve">“</w:t>
      </w:r>
      <w:r>
        <w:t xml:space="preserve">enormous array</w:t>
      </w:r>
      <w:r>
        <w:t xml:space="preserve">”</w:t>
      </w:r>
      <w:r>
        <w:t xml:space="preserve"> </w:t>
      </w:r>
      <w:r>
        <w:t xml:space="preserve">problem differently. Instead of one file, a Zarr store is a</w:t>
      </w:r>
      <w:r>
        <w:t xml:space="preserve"> </w:t>
      </w:r>
      <w:r>
        <w:rPr>
          <w:iCs/>
          <w:i/>
        </w:rPr>
        <w:t xml:space="preserve">directory</w:t>
      </w:r>
      <w:r>
        <w:t xml:space="preserve"> </w:t>
      </w:r>
      <w:r>
        <w:t xml:space="preserve">of many small compressed chunks, each holding a block of the array, with an index describing how they fit together. This lets software read just the chunks it needs without touching the rest, and lets a build process write an array far larger than memory by streaming it chunk by chunk. Zarr was designed for the cloud era: chunks can live in an object store (S3 and the like) and be read individually over the network. Its cost is that it is a directory of thousands of small files rather than one tidy file — convenient for computation, awkward to hand to a colleague.</w:t>
      </w:r>
    </w:p>
    <w:p>
      <w:pPr>
        <w:pStyle w:val="BodyText"/>
      </w:pPr>
      <w:r>
        <w:t xml:space="preserve">In this project Zarr was used as the</w:t>
      </w:r>
      <w:r>
        <w:t xml:space="preserve"> </w:t>
      </w:r>
      <w:r>
        <w:rPr>
          <w:bCs/>
          <w:b/>
        </w:rPr>
        <w:t xml:space="preserve">intermediate working format</w:t>
      </w:r>
      <w:r>
        <w:t xml:space="preserve"> </w:t>
      </w:r>
      <w:r>
        <w:t xml:space="preserve">during the build — it was the only practical way to assemble the full national array on a laptop (see section 7) — and netCDF is the</w:t>
      </w:r>
      <w:r>
        <w:t xml:space="preserve"> </w:t>
      </w:r>
      <w:r>
        <w:rPr>
          <w:bCs/>
          <w:b/>
        </w:rPr>
        <w:t xml:space="preserve">delivery format</w:t>
      </w:r>
      <w:r>
        <w:t xml:space="preserve">, because a tile is one clean file a person can download, open, and understand. The build converts from one to the other. A corporate version of this system might skip tiles entirely and serve the Zarr store directly from cloud storage with an API in front; the tiled-netCDF approach here is the home-scale equivalent that needs no server (see section 8).</w:t>
      </w:r>
    </w:p>
    <w:bookmarkEnd w:id="22"/>
    <w:bookmarkStart w:id="23" w:name="building-the-tiles"/>
    <w:p>
      <w:pPr>
        <w:pStyle w:val="Heading2"/>
      </w:pPr>
      <w:r>
        <w:t xml:space="preserve">4. Building the tiles</w:t>
      </w:r>
    </w:p>
    <w:p>
      <w:pPr>
        <w:pStyle w:val="FirstParagraph"/>
      </w:pPr>
      <w:r>
        <w:t xml:space="preserve">The national 0.05° grid was cut into</w:t>
      </w:r>
      <w:r>
        <w:t xml:space="preserve"> </w:t>
      </w:r>
      <w:r>
        <w:rPr>
          <w:bCs/>
          <w:b/>
        </w:rPr>
        <w:t xml:space="preserve">one-degree tiles</w:t>
      </w:r>
      <w:r>
        <w:t xml:space="preserve"> </w:t>
      </w:r>
      <w:r>
        <w:t xml:space="preserve">— one netCDF file per integer-degree square of Australian land, named by the square’s south-west corner (for example</w:t>
      </w:r>
      <w:r>
        <w:t xml:space="preserve"> </w:t>
      </w:r>
      <w:r>
        <w:rPr>
          <w:rStyle w:val="VerbatimChar"/>
        </w:rPr>
        <w:t xml:space="preserve">agcd_v101_daily_S28E151.nc</w:t>
      </w:r>
      <w:r>
        <w:t xml:space="preserve"> </w:t>
      </w:r>
      <w:r>
        <w:t xml:space="preserve">covers latitude −28 to −27, longitude 151 to 152). Each tile holds all four variables for its 20 × 20 cells across the full daily time axis, 1900 to 2022.</w:t>
      </w:r>
    </w:p>
    <w:p>
      <w:pPr>
        <w:pStyle w:val="BodyText"/>
      </w:pPr>
      <w:r>
        <w:t xml:space="preserve">Tiling was the central design decision, and it is what makes the cheap delivery model possible. A single addressable file per square means a user can fetch just the tile covering their location — about 40 MB — rather than the whole 38 GB archive. In effect the tiles are a poor-man’s spatial index: the work that would otherwise require a database or a cloud API is done by the file naming scheme, because the tile for any point is pure arithmetic on its coordinates (floor the latitude and longitude).</w:t>
      </w:r>
    </w:p>
    <w:p>
      <w:pPr>
        <w:pStyle w:val="BodyText"/>
      </w:pPr>
      <w:r>
        <w:t xml:space="preserve">Storage was kept compact by packing rainfall and temperature as scaled 16-bit integers (</w:t>
      </w:r>
      <w:r>
        <w:rPr>
          <w:rStyle w:val="VerbatimChar"/>
        </w:rPr>
        <w:t xml:space="preserve">int16</w:t>
      </w:r>
      <w:r>
        <w:t xml:space="preserve"> </w:t>
      </w:r>
      <w:r>
        <w:t xml:space="preserve">with a 0.1 scale factor), so values are held to 0.1 mm and 0.1 °C — the precision the data actually carries — at half the size of floating point. Readers apply the scale automatically. Temperature is stored as missing before 1910.</w:t>
      </w:r>
    </w:p>
    <w:bookmarkEnd w:id="23"/>
    <w:bookmarkStart w:id="24" w:name="the-land-mask-removing-the-ocean"/>
    <w:p>
      <w:pPr>
        <w:pStyle w:val="Heading2"/>
      </w:pPr>
      <w:r>
        <w:t xml:space="preserve">5. The land mask — removing the ocean</w:t>
      </w:r>
    </w:p>
    <w:p>
      <w:pPr>
        <w:pStyle w:val="FirstParagraph"/>
      </w:pPr>
      <w:r>
        <w:t xml:space="preserve">AGCD’s grid does not stop at the coastline. The analysis assigns rainfall and temperature values to cells well out to sea, and those over-water values look entirely plausible — a full, convincing daily series with no obvious sign that no gauge exists within hundreds of kilometres. An early inspection of one Coral Sea tile, 400 km off Cairns, found all 400 cells carrying rainfall up to 200 mm/day; the only signal that it was fiction was the analysis weight sitting near zero.</w:t>
      </w:r>
    </w:p>
    <w:p>
      <w:pPr>
        <w:pStyle w:val="BodyText"/>
      </w:pPr>
      <w:r>
        <w:t xml:space="preserve">Left alone, this would have done two harms: it bloated the archive with hundreds of ocean tiles, and it meant a mistyped coordinate landing offshore would return believable but invented data. So the ocean was removed, using an external coastline — the data itself cannot tell land from sea, because it carries values over both.</w:t>
      </w:r>
    </w:p>
    <w:p>
      <w:pPr>
        <w:pStyle w:val="BodyText"/>
      </w:pPr>
      <w:r>
        <w:t xml:space="preserve">The coastline used is</w:t>
      </w:r>
      <w:r>
        <w:t xml:space="preserve"> </w:t>
      </w:r>
      <w:r>
        <w:rPr>
          <w:bCs/>
          <w:b/>
        </w:rPr>
        <w:t xml:space="preserve">Geoscience Australia’s GEODATA Coast 100K (2004)</w:t>
      </w:r>
      <w:r>
        <w:t xml:space="preserve"> </w:t>
      </w:r>
      <w:r>
        <w:t xml:space="preserve">national land polygon. GA is the authoritative Australian source, and this product deliberately excludes the external territories (Christmas, Cocos, Lord Howe, Norfolk), which suited the intent of covering the Australian mainland and its close islands and nothing further afield.</w:t>
      </w:r>
    </w:p>
    <w:p>
      <w:pPr>
        <w:pStyle w:val="BodyText"/>
      </w:pPr>
      <w:r>
        <w:t xml:space="preserve">The masking works at two levels:</w:t>
      </w:r>
    </w:p>
    <w:p>
      <w:pPr>
        <w:numPr>
          <w:ilvl w:val="0"/>
          <w:numId w:val="1002"/>
        </w:numPr>
        <w:pStyle w:val="Compact"/>
      </w:pPr>
      <w:r>
        <w:rPr>
          <w:bCs/>
          <w:b/>
        </w:rPr>
        <w:t xml:space="preserve">Whole-tile:</w:t>
      </w:r>
      <w:r>
        <w:t xml:space="preserve"> </w:t>
      </w:r>
      <w:r>
        <w:t xml:space="preserve">a tile is kept only if at least one of its 400 cells falls on land under the GA coastline. A tile that is entirely ocean is set aside. This is a coverage guarantee at the tile level — the tile exists because there is usable land data somewhere in it.</w:t>
      </w:r>
    </w:p>
    <w:p>
      <w:pPr>
        <w:numPr>
          <w:ilvl w:val="0"/>
          <w:numId w:val="1002"/>
        </w:numPr>
        <w:pStyle w:val="Compact"/>
      </w:pPr>
      <w:r>
        <w:rPr>
          <w:bCs/>
          <w:b/>
        </w:rPr>
        <w:t xml:space="preserve">Per-cell:</w:t>
      </w:r>
      <w:r>
        <w:t xml:space="preserve"> </w:t>
      </w:r>
      <w:r>
        <w:t xml:space="preserve">within a kept coastal tile, cells that fall on the ocean side of the coastline are blanked to missing. So a point on land returns real data, while a point that resolves to an ocean cell returns blank rather than invented values.</w:t>
      </w:r>
    </w:p>
    <w:p>
      <w:pPr>
        <w:pStyle w:val="FirstParagraph"/>
      </w:pPr>
      <w:r>
        <w:t xml:space="preserve">The result: of roughly 1,257 tiles with any non-zero data,</w:t>
      </w:r>
      <w:r>
        <w:t xml:space="preserve"> </w:t>
      </w:r>
      <w:r>
        <w:rPr>
          <w:bCs/>
          <w:b/>
        </w:rPr>
        <w:t xml:space="preserve">869 were kept</w:t>
      </w:r>
      <w:r>
        <w:t xml:space="preserve"> </w:t>
      </w:r>
      <w:r>
        <w:t xml:space="preserve">(about 38 GB) and</w:t>
      </w:r>
      <w:r>
        <w:t xml:space="preserve"> </w:t>
      </w:r>
      <w:r>
        <w:rPr>
          <w:bCs/>
          <w:b/>
        </w:rPr>
        <w:t xml:space="preserve">388 ocean-only tiles were set aside</w:t>
      </w:r>
      <w:r>
        <w:t xml:space="preserve">. The kept set traces a recognisable outline of Australia — which was itself the visual check that the mask was aligned correctly (plotting every tile’s land/coastal/ocean verdict over the GA coastline and confirming the ocean squares sat offshore).</w:t>
      </w:r>
    </w:p>
    <w:p>
      <w:pPr>
        <w:pStyle w:val="BodyText"/>
      </w:pPr>
      <w:r>
        <w:t xml:space="preserve">A consequence worth stating plainly: the archive is a coverage guarantee at the</w:t>
      </w:r>
      <w:r>
        <w:t xml:space="preserve"> </w:t>
      </w:r>
      <w:r>
        <w:rPr>
          <w:iCs/>
          <w:i/>
        </w:rPr>
        <w:t xml:space="preserve">tile</w:t>
      </w:r>
      <w:r>
        <w:t xml:space="preserve"> </w:t>
      </w:r>
      <w:r>
        <w:t xml:space="preserve">level, not the</w:t>
      </w:r>
      <w:r>
        <w:t xml:space="preserve"> </w:t>
      </w:r>
      <w:r>
        <w:rPr>
          <w:iCs/>
          <w:i/>
        </w:rPr>
        <w:t xml:space="preserve">point</w:t>
      </w:r>
      <w:r>
        <w:t xml:space="preserve"> </w:t>
      </w:r>
      <w:r>
        <w:t xml:space="preserve">level. Inland points always resolve to data. A coastal point returns data if the nearest 5 km cell is land, and blank if it falls on water — the same behaviour SILO exhibits at the coast. The extractor additionally warns if a requested point resolves to a data cell more than about 8 km away, so a gross coordinate error announces itself.</w:t>
      </w:r>
    </w:p>
    <w:bookmarkEnd w:id="24"/>
    <w:bookmarkStart w:id="25" w:name="X7c56e5b0a509219c71f84daba8e048d5c2dfba6"/>
    <w:p>
      <w:pPr>
        <w:pStyle w:val="Heading2"/>
      </w:pPr>
      <w:r>
        <w:t xml:space="preserve">6. The analysis weight — investigated, then demoted</w:t>
      </w:r>
    </w:p>
    <w:p>
      <w:pPr>
        <w:pStyle w:val="FirstParagraph"/>
      </w:pPr>
      <w:r>
        <w:t xml:space="preserve">AGCD ships an analysis weight alongside the rainfall, but the Bureau does not document what its numbers mean for this archived product. Rather than guess, the values were inspected directly across the archive. The finding: on land the weight takes values of about</w:t>
      </w:r>
      <w:r>
        <w:t xml:space="preserve"> </w:t>
      </w:r>
      <w:r>
        <w:rPr>
          <w:bCs/>
          <w:b/>
        </w:rPr>
        <w:t xml:space="preserve">1 to 3</w:t>
      </w:r>
      <w:r>
        <w:t xml:space="preserve"> </w:t>
      </w:r>
      <w:r>
        <w:t xml:space="preserve">— 3 wherever the gauge network is reasonable (which is the entire sheep-wheat and cane zone), dropping to 1 or 2 only in sparsely gauged interior country, and falling below 1 essentially only over open ocean.</w:t>
      </w:r>
    </w:p>
    <w:p>
      <w:pPr>
        <w:pStyle w:val="BodyText"/>
      </w:pPr>
      <w:r>
        <w:t xml:space="preserve">So the weight is best read as a</w:t>
      </w:r>
      <w:r>
        <w:t xml:space="preserve"> </w:t>
      </w:r>
      <w:r>
        <w:rPr>
          <w:bCs/>
          <w:b/>
        </w:rPr>
        <w:t xml:space="preserve">coarse three-level flag</w:t>
      </w:r>
      <w:r>
        <w:t xml:space="preserve"> </w:t>
      </w:r>
      <w:r>
        <w:t xml:space="preserve">— 3 well-gauged, 1 sparse, below 1 offshore — and explicitly</w:t>
      </w:r>
      <w:r>
        <w:t xml:space="preserve"> </w:t>
      </w:r>
      <w:r>
        <w:rPr>
          <w:iCs/>
          <w:i/>
        </w:rPr>
        <w:t xml:space="preserve">not</w:t>
      </w:r>
      <w:r>
        <w:t xml:space="preserve"> </w:t>
      </w:r>
      <w:r>
        <w:t xml:space="preserve">a continuous 0-to-1 reliability score, which is how it was first, wrongly, assumed to work. This reading is our interpretation from the data, not an official BoM definition, and is documented as such.</w:t>
      </w:r>
    </w:p>
    <w:p>
      <w:pPr>
        <w:pStyle w:val="BodyText"/>
      </w:pPr>
      <w:r>
        <w:t xml:space="preserve">The practical conclusion was to</w:t>
      </w:r>
      <w:r>
        <w:t xml:space="preserve"> </w:t>
      </w:r>
      <w:r>
        <w:rPr>
          <w:bCs/>
          <w:b/>
        </w:rPr>
        <w:t xml:space="preserve">demote</w:t>
      </w:r>
      <w:r>
        <w:t xml:space="preserve"> </w:t>
      </w:r>
      <w:r>
        <w:t xml:space="preserve">the weight. For the intended users it reads a flat 3 across their whole working area and never changes a decision. Its one genuine use is as a tripwire for a mistyped coordinate that has landed on water. It is kept in the tiles (it is cheap and it is the Bureau’s own field), described honestly, and otherwise not leaned on. An early plan to use it as a per-site reliability score and a homogeneity-trend diagnostic was dropped once the 1-to-3 nature was understood — those uses assumed a resolution the field does not have.</w:t>
      </w:r>
    </w:p>
    <w:bookmarkEnd w:id="25"/>
    <w:bookmarkStart w:id="26" w:name="Xf5e3812f6e0a6ebd7094646b77ced59a91c5b43"/>
    <w:p>
      <w:pPr>
        <w:pStyle w:val="Heading2"/>
      </w:pPr>
      <w:r>
        <w:t xml:space="preserve">7. A performance note for anyone reproducing this</w:t>
      </w:r>
    </w:p>
    <w:p>
      <w:pPr>
        <w:pStyle w:val="FirstParagraph"/>
      </w:pPr>
      <w:r>
        <w:t xml:space="preserve">This was built on a laptop (16 GB RAM), and that constraint shaped the method in a way worth passing on, because it will bite anyone attempting the same on ordinary hardware rather than a workstation.</w:t>
      </w:r>
    </w:p>
    <w:p>
      <w:pPr>
        <w:pStyle w:val="BodyText"/>
      </w:pPr>
      <w:r>
        <w:t xml:space="preserve">The obvious approach — load the national daily array and rechunk it into tiles with a parallel out-of-core library (dask, rechunker) —</w:t>
      </w:r>
      <w:r>
        <w:t xml:space="preserve"> </w:t>
      </w:r>
      <w:r>
        <w:rPr>
          <w:bCs/>
          <w:b/>
        </w:rPr>
        <w:t xml:space="preserve">failed on 16 GB of memory</w:t>
      </w:r>
      <w:r>
        <w:t xml:space="preserve">. The array is large enough that the rechunking step exhausted RAM and stalled. The approach that worked was to abandon the clever parallel machinery and stream the data in modest blocks: build the intermediate Zarr store one variable and one time-block at a time, holding only a slice in memory at once, then cut the netCDF tiles from that. Slower, but it completes reliably in bounded memory.</w:t>
      </w:r>
    </w:p>
    <w:p>
      <w:pPr>
        <w:pStyle w:val="BodyText"/>
      </w:pPr>
      <w:r>
        <w:t xml:space="preserve">The general lesson: for continent-scale gridded data on a memory-limited machine, prefer simple streaming that you control over automatic out-of-core frameworks that try to hold the problem in memory. Know your memory ceiling and write to stay well under it.</w:t>
      </w:r>
    </w:p>
    <w:bookmarkEnd w:id="26"/>
    <w:bookmarkStart w:id="27" w:name="delivery-the-home-scale-approach"/>
    <w:p>
      <w:pPr>
        <w:pStyle w:val="Heading2"/>
      </w:pPr>
      <w:r>
        <w:t xml:space="preserve">8. Delivery — the home-scale approach</w:t>
      </w:r>
    </w:p>
    <w:p>
      <w:pPr>
        <w:pStyle w:val="FirstParagraph"/>
      </w:pPr>
      <w:r>
        <w:t xml:space="preserve">The finished archive is around 38 GB, which is too large to email and slow to upload on a domestic connection. The corporate answer would be an object store (S3) holding the Zarr, with an API that reads a single point over the network — clean, but it carries an account, egress bills, and ongoing maintenance.</w:t>
      </w:r>
    </w:p>
    <w:p>
      <w:pPr>
        <w:pStyle w:val="BodyText"/>
      </w:pPr>
      <w:r>
        <w:t xml:space="preserve">The home-scale approach used here leans on the tiling. The tiles are placed in cloud file storage (a shared Google Drive folder, at flat annual cost), and because each tile is separately addressable, a user’s tool can fetch just the one tile covering their location on demand rather than downloading the whole set. A small lookup table maps each tile name to its download link; the extractor computes the tile name from the requested coordinates, fetches that single file, caches it locally, and reads the point out of it. Repeat queries for the same area hit the cache and cost nothing.</w:t>
      </w:r>
    </w:p>
    <w:p>
      <w:pPr>
        <w:pStyle w:val="BodyText"/>
      </w:pPr>
      <w:r>
        <w:t xml:space="preserve">This gets most of the value of the corporate design for a flat annual fee and no ongoing liability — and the migration path is clean if it ever outgrows the home setup: the same tiles drop into an object store unchanged, and only the extractor’s base address changes.</w:t>
      </w:r>
    </w:p>
    <w:bookmarkEnd w:id="27"/>
    <w:bookmarkStart w:id="28" w:name="reproducing-it-in-outline"/>
    <w:p>
      <w:pPr>
        <w:pStyle w:val="Heading2"/>
      </w:pPr>
      <w:r>
        <w:t xml:space="preserve">9. Reproducing it, in outline</w:t>
      </w:r>
    </w:p>
    <w:p>
      <w:pPr>
        <w:numPr>
          <w:ilvl w:val="0"/>
          <w:numId w:val="1003"/>
        </w:numPr>
        <w:pStyle w:val="Compact"/>
      </w:pPr>
      <w:r>
        <w:t xml:space="preserve">Pull the yearly AGCD v1-0-1 files for precip, tmax, tmin and precip_weight from NCI (project</w:t>
      </w:r>
      <w:r>
        <w:t xml:space="preserve"> </w:t>
      </w:r>
      <w:r>
        <w:rPr>
          <w:rStyle w:val="VerbatimChar"/>
        </w:rPr>
        <w:t xml:space="preserve">zv2</w:t>
      </w:r>
      <w:r>
        <w:t xml:space="preserve">), via its THREDDS service.</w:t>
      </w:r>
    </w:p>
    <w:p>
      <w:pPr>
        <w:numPr>
          <w:ilvl w:val="0"/>
          <w:numId w:val="1003"/>
        </w:numPr>
        <w:pStyle w:val="Compact"/>
      </w:pPr>
      <w:r>
        <w:t xml:space="preserve">Assemble each variable into an intermediate Zarr store, streaming in time-blocks to stay within memory (section 7).</w:t>
      </w:r>
    </w:p>
    <w:p>
      <w:pPr>
        <w:numPr>
          <w:ilvl w:val="0"/>
          <w:numId w:val="1003"/>
        </w:numPr>
        <w:pStyle w:val="Compact"/>
      </w:pPr>
      <w:r>
        <w:t xml:space="preserve">Cut one-degree netCDF tiles from the Zarr, packing rainfall and temperature as scaled int16 on a shared daily time axis.</w:t>
      </w:r>
    </w:p>
    <w:p>
      <w:pPr>
        <w:numPr>
          <w:ilvl w:val="0"/>
          <w:numId w:val="1003"/>
        </w:numPr>
        <w:pStyle w:val="Compact"/>
      </w:pPr>
      <w:r>
        <w:t xml:space="preserve">Rasterise the Geoscience Australia GEODATA Coast 100K land polygon to the tile grid; drop ocean-only tiles and blank ocean cells in coastal tiles (section 5).</w:t>
      </w:r>
    </w:p>
    <w:p>
      <w:pPr>
        <w:numPr>
          <w:ilvl w:val="0"/>
          <w:numId w:val="1003"/>
        </w:numPr>
        <w:pStyle w:val="Compact"/>
      </w:pPr>
      <w:r>
        <w:t xml:space="preserve">Build a manifest of the kept tiles.</w:t>
      </w:r>
    </w:p>
    <w:p>
      <w:pPr>
        <w:numPr>
          <w:ilvl w:val="0"/>
          <w:numId w:val="1003"/>
        </w:numPr>
        <w:pStyle w:val="Compact"/>
      </w:pPr>
      <w:r>
        <w:t xml:space="preserve">For delivery, place the tiles in shared cloud storage and build a tile-name-to-link table for on-demand fetching (section 8).</w:t>
      </w:r>
    </w:p>
    <w:p>
      <w:pPr>
        <w:pStyle w:val="FirstParagraph"/>
      </w:pPr>
      <w:r>
        <w:t xml:space="preserve">The tools that accompany the archive — the point extractor and the worked example — are small and documented, and are the practical starting point for anyone reading their own points out of the tiles.</w:t>
      </w:r>
    </w:p>
    <w:p>
      <w:r>
        <w:pict>
          <v:rect style="width:0;height:1.5pt" o:hralign="center" o:hrstd="t" o:hr="t"/>
        </w:pict>
      </w:r>
    </w:p>
    <w:p>
      <w:pPr>
        <w:pStyle w:val="FirstParagraph"/>
      </w:pPr>
      <w:r>
        <w:rPr>
          <w:iCs/>
          <w:i/>
        </w:rPr>
        <w:t xml:space="preserve">Data throughout is Bureau of Meteorology AGCD v1-0-1, redistributed under its licence; the attribution travels in every tile’s metadata. The Geoscience Australia coastline is used under its open licence.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2026-08-28T01:25:06Z</dcterms:created>
  <dcterms:modified xsi:type="dcterms:W3CDTF">2026-08-28T01:25:06Z</dcterms:modified>
</cp:coreProperties>
</file>

<file path=docProps/custom.xml><?xml version="1.0" encoding="utf-8"?>
<Properties xmlns="http://schemas.openxmlformats.org/officeDocument/2006/custom-properties" xmlns:vt="http://schemas.openxmlformats.org/officeDocument/2006/docPropsVTypes"/>
</file>