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MERIDIAN RETAIL GROUP</w:t>
      </w:r>
    </w:p>
    <w:p>
      <w:pPr>
        <w:jc w:val="center"/>
      </w:pPr>
      <w:r>
        <w:rPr>
          <w:b/>
          <w:sz w:val="48"/>
        </w:rPr>
        <w:t>Reducing Customer Churn:</w:t>
        <w:br/>
        <w:t>An End-to-End Data Science Investigation</w:t>
      </w:r>
    </w:p>
    <w:p>
      <w:pPr>
        <w:jc w:val="center"/>
      </w:pPr>
      <w:r>
        <w:rPr>
          <w:b/>
        </w:rPr>
        <w:br/>
        <w:t>FINAL TECHNICAL REPORT</w:t>
      </w:r>
    </w:p>
    <w:p>
      <w:pPr>
        <w:jc w:val="center"/>
      </w:pPr>
      <w:r>
        <w:rPr>
          <w:i/>
        </w:rPr>
        <w:t>PORA Tech Academy Capstone</w:t>
        <w:br/>
        <w:t>Snapshot date: 1 July 2026</w:t>
        <w:br/>
        <w:t>180-day churn framework</w:t>
        <w:br/>
        <w:t>Prepared as a Data Science Consulting Analysis</w:t>
      </w:r>
    </w:p>
    <w:p>
      <w:r>
        <w:br w:type="page"/>
      </w:r>
    </w:p>
    <w:p>
      <w:pPr>
        <w:pStyle w:val="Heading1"/>
      </w:pPr>
      <w:r>
        <w:t>1. Executive Summary</w:t>
      </w:r>
    </w:p>
    <w:p>
      <w:r>
        <w:t>Meridian Retail Group has a substantial customer-retention challenge. Using the project's locked 180-day churn definition and a 1 July 2026 snapshot, 4,072 of 6,090 customers were classified as churned, giving an overall churn rate of 66.86%.</w:t>
      </w:r>
    </w:p>
    <w:p>
      <w:r>
        <w:t>The strongest behavioural signal was recency. Active customers had a median of 87 days since their last qualifying completed purchase, compared with 454 days for churned customers. A Mann–Whitney U test produced p &lt; 0.0001 with an effect size of r = 0.8301, indicating a large separation between the groups. Purchase frequency also differed, but less strongly: the median was 5 orders for active customers and 4 for churned customers (r = 0.2108).</w:t>
      </w:r>
    </w:p>
    <w:p>
      <w:r>
        <w:t>Broad customer categories were not strong separators of churn. Membership tier, preferred channel, state and referral source had very small association effect sizes. Among customers who had support interactions, churned customers had longer resolution times, but the effect was small. These results support targeted behavioural retention strategies rather than blanket policies based on customer category.</w:t>
      </w:r>
    </w:p>
    <w:p>
      <w:r>
        <w:t>The final predictive model was a tuned Random Forest. On the untouched chronological test set it achieved 68.63% accuracy, 58.63% balanced accuracy, 72.25% precision, 87.03% recall, 78.95% F1, 65.15% ROC-AUC and 77.37% PR-AUC. The model is best treated as a prioritisation tool rather than a perfect churn detector because its false-positive rate is high.</w:t>
      </w:r>
    </w:p>
    <w:p>
      <w:r>
        <w:t>The model was applied to the 2,018 customers classified as active at the snapshot. Each customer received a churn probability, predicted class, risk segment and probability-weighted historical value-at-risk measure. The recommended operating approach is to combine predicted risk, customer value and intervention cost when deciding whom to contact.</w:t>
      </w:r>
    </w:p>
    <w:p>
      <w:pPr>
        <w:pStyle w:val="Heading1"/>
      </w:pPr>
      <w:r>
        <w:t>2. Business Problem</w:t>
      </w:r>
    </w:p>
    <w:p>
      <w:r>
        <w:t>Meridian Retail Group is a mid-sized retail/e-commerce business operating through website, mobile-app and in-store channels. The business needs evidence to quantify churn, understand behavioural patterns associated with inactivity, predict future churn risk and allocate retention resources cost-effectively.</w:t>
      </w:r>
    </w:p>
    <w:p>
      <w:r>
        <w:t>The analysis addresses three linked business questions:</w:t>
      </w:r>
    </w:p>
    <w:p>
      <w:pPr>
        <w:pStyle w:val="ListNumber"/>
      </w:pPr>
      <w:r>
        <w:t>How large is the customer-churn problem and what behavioural patterns distinguish active and churned customers?</w:t>
      </w:r>
    </w:p>
    <w:p>
      <w:pPr>
        <w:pStyle w:val="ListNumber"/>
      </w:pPr>
      <w:r>
        <w:t>Which customer characteristics and behavioural features provide useful evidence for predicting future churn?</w:t>
      </w:r>
    </w:p>
    <w:p>
      <w:pPr>
        <w:pStyle w:val="ListNumber"/>
      </w:pPr>
      <w:r>
        <w:t>How can Meridian prioritise retention activity while considering customer value and intervention cost?</w:t>
      </w:r>
    </w:p>
    <w:p>
      <w:pPr>
        <w:pStyle w:val="Heading1"/>
      </w:pPr>
      <w:r>
        <w:t>3. Objectives and KPIs</w:t>
      </w:r>
    </w:p>
    <w:p>
      <w:pPr>
        <w:pStyle w:val="ListBullet"/>
      </w:pPr>
      <w:r>
        <w:t>Quantify customer churn using the locked 180-day definition.</w:t>
      </w:r>
    </w:p>
    <w:p>
      <w:pPr>
        <w:pStyle w:val="ListBullet"/>
      </w:pPr>
      <w:r>
        <w:t>Identify behavioural and customer characteristics associated with churn.</w:t>
      </w:r>
    </w:p>
    <w:p>
      <w:pPr>
        <w:pStyle w:val="ListBullet"/>
      </w:pPr>
      <w:r>
        <w:t>Build a leakage-safe predictive model for future churn risk.</w:t>
      </w:r>
    </w:p>
    <w:p>
      <w:pPr>
        <w:pStyle w:val="ListBullet"/>
      </w:pPr>
      <w:r>
        <w:t>Score the current active customer population for retention prioritisation.</w:t>
      </w:r>
    </w:p>
    <w:p>
      <w:pPr>
        <w:pStyle w:val="ListBullet"/>
      </w:pPr>
      <w:r>
        <w:t>Combine churn probability with customer value to support practical intervention prioritisation.</w:t>
      </w:r>
    </w:p>
    <w:p>
      <w:pPr>
        <w:pStyle w:val="ListBullet"/>
      </w:pPr>
      <w:r>
        <w:t>Provide recommendations that distinguish statistical association from causation.</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KPI</w:t>
            </w:r>
          </w:p>
        </w:tc>
        <w:tc>
          <w:tcPr>
            <w:tcW w:type="dxa" w:w="4968"/>
            <w:shd w:fill="1F4E78"/>
          </w:tcPr>
          <w:p>
            <w:r>
              <w:rPr>
                <w:b/>
                <w:color w:val="FFFFFF"/>
              </w:rPr>
              <w:t>Result</w:t>
            </w:r>
          </w:p>
        </w:tc>
      </w:tr>
      <w:tr>
        <w:tc>
          <w:tcPr>
            <w:tcW w:type="dxa" w:w="4968"/>
            <w:vAlign w:val="center"/>
          </w:tcPr>
          <w:p>
            <w:r>
              <w:t>Total customers</w:t>
            </w:r>
          </w:p>
        </w:tc>
        <w:tc>
          <w:tcPr>
            <w:tcW w:type="dxa" w:w="4968"/>
            <w:vAlign w:val="center"/>
          </w:tcPr>
          <w:p>
            <w:r>
              <w:t>6,090</w:t>
            </w:r>
          </w:p>
        </w:tc>
      </w:tr>
      <w:tr>
        <w:tc>
          <w:tcPr>
            <w:tcW w:type="dxa" w:w="4968"/>
            <w:vAlign w:val="center"/>
          </w:tcPr>
          <w:p>
            <w:r>
              <w:t>Active customers</w:t>
            </w:r>
          </w:p>
        </w:tc>
        <w:tc>
          <w:tcPr>
            <w:tcW w:type="dxa" w:w="4968"/>
            <w:vAlign w:val="center"/>
          </w:tcPr>
          <w:p>
            <w:r>
              <w:t>2,018</w:t>
            </w:r>
          </w:p>
        </w:tc>
      </w:tr>
      <w:tr>
        <w:tc>
          <w:tcPr>
            <w:tcW w:type="dxa" w:w="4968"/>
            <w:vAlign w:val="center"/>
          </w:tcPr>
          <w:p>
            <w:r>
              <w:t>Churned customers</w:t>
            </w:r>
          </w:p>
        </w:tc>
        <w:tc>
          <w:tcPr>
            <w:tcW w:type="dxa" w:w="4968"/>
            <w:vAlign w:val="center"/>
          </w:tcPr>
          <w:p>
            <w:r>
              <w:t>4,072</w:t>
            </w:r>
          </w:p>
        </w:tc>
      </w:tr>
      <w:tr>
        <w:tc>
          <w:tcPr>
            <w:tcW w:type="dxa" w:w="4968"/>
            <w:vAlign w:val="center"/>
          </w:tcPr>
          <w:p>
            <w:r>
              <w:t>Overall churn rate</w:t>
            </w:r>
          </w:p>
        </w:tc>
        <w:tc>
          <w:tcPr>
            <w:tcW w:type="dxa" w:w="4968"/>
            <w:vAlign w:val="center"/>
          </w:tcPr>
          <w:p>
            <w:r>
              <w:t>66.86%</w:t>
            </w:r>
          </w:p>
        </w:tc>
      </w:tr>
      <w:tr>
        <w:tc>
          <w:tcPr>
            <w:tcW w:type="dxa" w:w="4968"/>
            <w:vAlign w:val="center"/>
          </w:tcPr>
          <w:p>
            <w:r>
              <w:t>Active median recency</w:t>
            </w:r>
          </w:p>
        </w:tc>
        <w:tc>
          <w:tcPr>
            <w:tcW w:type="dxa" w:w="4968"/>
            <w:vAlign w:val="center"/>
          </w:tcPr>
          <w:p>
            <w:r>
              <w:t>87 days</w:t>
            </w:r>
          </w:p>
        </w:tc>
      </w:tr>
      <w:tr>
        <w:tc>
          <w:tcPr>
            <w:tcW w:type="dxa" w:w="4968"/>
            <w:vAlign w:val="center"/>
          </w:tcPr>
          <w:p>
            <w:r>
              <w:t>Churned median recency</w:t>
            </w:r>
          </w:p>
        </w:tc>
        <w:tc>
          <w:tcPr>
            <w:tcW w:type="dxa" w:w="4968"/>
            <w:vAlign w:val="center"/>
          </w:tcPr>
          <w:p>
            <w:r>
              <w:t>454 days</w:t>
            </w:r>
          </w:p>
        </w:tc>
      </w:tr>
      <w:tr>
        <w:tc>
          <w:tcPr>
            <w:tcW w:type="dxa" w:w="4968"/>
            <w:vAlign w:val="center"/>
          </w:tcPr>
          <w:p>
            <w:r>
              <w:t>Active median frequency</w:t>
            </w:r>
          </w:p>
        </w:tc>
        <w:tc>
          <w:tcPr>
            <w:tcW w:type="dxa" w:w="4968"/>
            <w:vAlign w:val="center"/>
          </w:tcPr>
          <w:p>
            <w:r>
              <w:t>5 orders</w:t>
            </w:r>
          </w:p>
        </w:tc>
      </w:tr>
      <w:tr>
        <w:tc>
          <w:tcPr>
            <w:tcW w:type="dxa" w:w="4968"/>
            <w:vAlign w:val="center"/>
          </w:tcPr>
          <w:p>
            <w:r>
              <w:t>Churned median frequency</w:t>
            </w:r>
          </w:p>
        </w:tc>
        <w:tc>
          <w:tcPr>
            <w:tcW w:type="dxa" w:w="4968"/>
            <w:vAlign w:val="center"/>
          </w:tcPr>
          <w:p>
            <w:r>
              <w:t>4 orders</w:t>
            </w:r>
          </w:p>
        </w:tc>
      </w:tr>
      <w:tr>
        <w:tc>
          <w:tcPr>
            <w:tcW w:type="dxa" w:w="4968"/>
            <w:vAlign w:val="center"/>
          </w:tcPr>
          <w:p>
            <w:r>
              <w:t>Historical value associated with churned customers</w:t>
            </w:r>
          </w:p>
        </w:tc>
        <w:tc>
          <w:tcPr>
            <w:tcW w:type="dxa" w:w="4968"/>
            <w:vAlign w:val="center"/>
          </w:tcPr>
          <w:p>
            <w:r>
              <w:t>$23.61M / 61.17%</w:t>
            </w:r>
          </w:p>
        </w:tc>
      </w:tr>
    </w:tbl>
    <w:p/>
    <w:p>
      <w:pPr>
        <w:pStyle w:val="Heading1"/>
      </w:pPr>
      <w:r>
        <w:t>4. Data Sources and Analytical Governance</w:t>
      </w:r>
    </w:p>
    <w:p>
      <w:r>
        <w:t>Five supplied datasets were used: customers, products, orders, order_items and support_tickets. The Phase 6 processed CSVs are the governing source of truth for Phase 7 EDA and the machine-learning workflow.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tcPr>
          <w:p>
            <w:r>
              <w:rPr>
                <w:b/>
                <w:color w:val="FFFFFF"/>
              </w:rPr>
              <w:t>Dataset</w:t>
            </w:r>
          </w:p>
        </w:tc>
        <w:tc>
          <w:tcPr>
            <w:tcW w:type="dxa" w:w="2484"/>
            <w:shd w:fill="1F4E78"/>
          </w:tcPr>
          <w:p>
            <w:r>
              <w:rPr>
                <w:b/>
                <w:color w:val="FFFFFF"/>
              </w:rPr>
              <w:t>Rows</w:t>
            </w:r>
          </w:p>
        </w:tc>
        <w:tc>
          <w:tcPr>
            <w:tcW w:type="dxa" w:w="2484"/>
            <w:shd w:fill="1F4E78"/>
          </w:tcPr>
          <w:p>
            <w:r>
              <w:rPr>
                <w:b/>
                <w:color w:val="FFFFFF"/>
              </w:rPr>
              <w:t>Columns</w:t>
            </w:r>
          </w:p>
        </w:tc>
        <w:tc>
          <w:tcPr>
            <w:tcW w:type="dxa" w:w="2484"/>
            <w:shd w:fill="1F4E78"/>
          </w:tcPr>
          <w:p>
            <w:r>
              <w:rPr>
                <w:b/>
                <w:color w:val="FFFFFF"/>
              </w:rPr>
              <w:t>Primary analytical role</w:t>
            </w:r>
          </w:p>
        </w:tc>
      </w:tr>
      <w:tr>
        <w:tc>
          <w:tcPr>
            <w:tcW w:type="dxa" w:w="2484"/>
            <w:vAlign w:val="center"/>
          </w:tcPr>
          <w:p>
            <w:r>
              <w:t>customers</w:t>
            </w:r>
          </w:p>
        </w:tc>
        <w:tc>
          <w:tcPr>
            <w:tcW w:type="dxa" w:w="2484"/>
            <w:vAlign w:val="center"/>
          </w:tcPr>
          <w:p>
            <w:r>
              <w:t>6,090</w:t>
            </w:r>
          </w:p>
        </w:tc>
        <w:tc>
          <w:tcPr>
            <w:tcW w:type="dxa" w:w="2484"/>
            <w:vAlign w:val="center"/>
          </w:tcPr>
          <w:p>
            <w:r>
              <w:t>14</w:t>
            </w:r>
          </w:p>
        </w:tc>
        <w:tc>
          <w:tcPr>
            <w:tcW w:type="dxa" w:w="2484"/>
            <w:vAlign w:val="center"/>
          </w:tcPr>
          <w:p>
            <w:r>
              <w:t>Customer attributes and segmentation</w:t>
            </w:r>
          </w:p>
        </w:tc>
      </w:tr>
      <w:tr>
        <w:tc>
          <w:tcPr>
            <w:tcW w:type="dxa" w:w="2484"/>
            <w:vAlign w:val="center"/>
          </w:tcPr>
          <w:p>
            <w:r>
              <w:t>products</w:t>
            </w:r>
          </w:p>
        </w:tc>
        <w:tc>
          <w:tcPr>
            <w:tcW w:type="dxa" w:w="2484"/>
            <w:vAlign w:val="center"/>
          </w:tcPr>
          <w:p>
            <w:r>
              <w:t>220</w:t>
            </w:r>
          </w:p>
        </w:tc>
        <w:tc>
          <w:tcPr>
            <w:tcW w:type="dxa" w:w="2484"/>
            <w:vAlign w:val="center"/>
          </w:tcPr>
          <w:p>
            <w:r>
              <w:t>9</w:t>
            </w:r>
          </w:p>
        </w:tc>
        <w:tc>
          <w:tcPr>
            <w:tcW w:type="dxa" w:w="2484"/>
            <w:vAlign w:val="center"/>
          </w:tcPr>
          <w:p>
            <w:r>
              <w:t>Product catalogue and pricing</w:t>
            </w:r>
          </w:p>
        </w:tc>
      </w:tr>
      <w:tr>
        <w:tc>
          <w:tcPr>
            <w:tcW w:type="dxa" w:w="2484"/>
            <w:vAlign w:val="center"/>
          </w:tcPr>
          <w:p>
            <w:r>
              <w:t>orders</w:t>
            </w:r>
          </w:p>
        </w:tc>
        <w:tc>
          <w:tcPr>
            <w:tcW w:type="dxa" w:w="2484"/>
            <w:vAlign w:val="center"/>
          </w:tcPr>
          <w:p>
            <w:r>
              <w:t>28,252</w:t>
            </w:r>
          </w:p>
        </w:tc>
        <w:tc>
          <w:tcPr>
            <w:tcW w:type="dxa" w:w="2484"/>
            <w:vAlign w:val="center"/>
          </w:tcPr>
          <w:p>
            <w:r>
              <w:t>9</w:t>
            </w:r>
          </w:p>
        </w:tc>
        <w:tc>
          <w:tcPr>
            <w:tcW w:type="dxa" w:w="2484"/>
            <w:vAlign w:val="center"/>
          </w:tcPr>
          <w:p>
            <w:r>
              <w:t>Purchase transactions</w:t>
            </w:r>
          </w:p>
        </w:tc>
      </w:tr>
      <w:tr>
        <w:tc>
          <w:tcPr>
            <w:tcW w:type="dxa" w:w="2484"/>
            <w:vAlign w:val="center"/>
          </w:tcPr>
          <w:p>
            <w:r>
              <w:t>order_items</w:t>
            </w:r>
          </w:p>
        </w:tc>
        <w:tc>
          <w:tcPr>
            <w:tcW w:type="dxa" w:w="2484"/>
            <w:vAlign w:val="center"/>
          </w:tcPr>
          <w:p>
            <w:r>
              <w:t>73,405</w:t>
            </w:r>
          </w:p>
        </w:tc>
        <w:tc>
          <w:tcPr>
            <w:tcW w:type="dxa" w:w="2484"/>
            <w:vAlign w:val="center"/>
          </w:tcPr>
          <w:p>
            <w:r>
              <w:t>5</w:t>
            </w:r>
          </w:p>
        </w:tc>
        <w:tc>
          <w:tcPr>
            <w:tcW w:type="dxa" w:w="2484"/>
            <w:vAlign w:val="center"/>
          </w:tcPr>
          <w:p>
            <w:r>
              <w:t>Line-item purchasing detail</w:t>
            </w:r>
          </w:p>
        </w:tc>
      </w:tr>
      <w:tr>
        <w:tc>
          <w:tcPr>
            <w:tcW w:type="dxa" w:w="2484"/>
            <w:vAlign w:val="center"/>
          </w:tcPr>
          <w:p>
            <w:r>
              <w:t>support_tickets</w:t>
            </w:r>
          </w:p>
        </w:tc>
        <w:tc>
          <w:tcPr>
            <w:tcW w:type="dxa" w:w="2484"/>
            <w:vAlign w:val="center"/>
          </w:tcPr>
          <w:p>
            <w:r>
              <w:t>5,200</w:t>
            </w:r>
          </w:p>
        </w:tc>
        <w:tc>
          <w:tcPr>
            <w:tcW w:type="dxa" w:w="2484"/>
            <w:vAlign w:val="center"/>
          </w:tcPr>
          <w:p>
            <w:r>
              <w:t>8</w:t>
            </w:r>
          </w:p>
        </w:tc>
        <w:tc>
          <w:tcPr>
            <w:tcW w:type="dxa" w:w="2484"/>
            <w:vAlign w:val="center"/>
          </w:tcPr>
          <w:p>
            <w:r>
              <w:t>Customer support experience</w:t>
            </w:r>
          </w:p>
        </w:tc>
      </w:tr>
    </w:tbl>
    <w:p/>
    <w:p>
      <w:pPr>
        <w:pStyle w:val="Heading1"/>
      </w:pPr>
      <w:r>
        <w:t>5. Data Quality and Cleaning</w:t>
      </w:r>
    </w:p>
    <w:p>
      <w:r>
        <w:t>Phase 6 applied structured controls covering missing values, duplicates, categorical consistency, data types, invalid measurements, orphan records and outliers. The guiding principle was to correct clear data-entry errors while preserving legitimate observations wherever possible.</w:t>
      </w:r>
    </w:p>
    <w:p>
      <w:pPr>
        <w:pStyle w:val="ListBullet"/>
      </w:pPr>
      <w:r>
        <w:t>Customers: membership tiers and states were standardised; invalid/future dates of birth were handled; duplicate phone/name groups were documented as an entity-resolution limitation.</w:t>
      </w:r>
    </w:p>
    <w:p>
      <w:pPr>
        <w:pStyle w:val="ListBullet"/>
      </w:pPr>
      <w:r>
        <w:t>Products: currency-formatted prices were converted to numeric values; missing subcategories were retained; products with cost greater than price were retained pending an authoritative source.</w:t>
      </w:r>
    </w:p>
    <w:p>
      <w:pPr>
        <w:pStyle w:val="ListBullet"/>
      </w:pPr>
      <w:r>
        <w:t>Orders: exact duplicate records were removed; negative shipping costs were corrected; orphan customer records were removed; missing order dates were preserved rather than fabricated.</w:t>
      </w:r>
    </w:p>
    <w:p>
      <w:pPr>
        <w:pStyle w:val="ListBullet"/>
      </w:pPr>
      <w:r>
        <w:t>Order items: exact duplicates and orphan records were removed; negative quantities were treated as sign errors; missing historical purchase prices were preserved rather than replaced with current prices.</w:t>
      </w:r>
    </w:p>
    <w:p>
      <w:pPr>
        <w:pStyle w:val="ListBullet"/>
      </w:pPr>
      <w:r>
        <w:t>Support tickets: negative resolution times were treated as invalid and set to missing; missing satisfaction scores were retained.</w:t>
      </w:r>
    </w:p>
    <w:p>
      <w:r>
        <w:t>Final Phase 6 validation confirmed the expected dataset structures and key primary-key/foreign-key integrity checks.</w:t>
      </w:r>
    </w:p>
    <w:p>
      <w:pPr>
        <w:pStyle w:val="Heading1"/>
      </w:pPr>
      <w:r>
        <w:t>6. Phase 3 — Excel Analysis</w:t>
      </w:r>
    </w:p>
    <w:p>
      <w:r>
        <w:t>The completed Excel workbook demonstrated formula-based cleaning, standardisation, PivotTable/PivotChart analysis, descriptive statistics and a documented data-quality log. Formula-based transformations included TRIM/PROPER standardisation, state mapping and explicit flags for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Statistic</w:t>
            </w:r>
          </w:p>
        </w:tc>
        <w:tc>
          <w:tcPr>
            <w:tcW w:type="dxa" w:w="3312"/>
            <w:shd w:fill="1F4E78"/>
          </w:tcPr>
          <w:p>
            <w:r>
              <w:rPr>
                <w:b/>
                <w:color w:val="FFFFFF"/>
              </w:rPr>
              <w:t>Order value</w:t>
            </w:r>
          </w:p>
        </w:tc>
        <w:tc>
          <w:tcPr>
            <w:tcW w:type="dxa" w:w="3312"/>
            <w:shd w:fill="1F4E78"/>
          </w:tcPr>
          <w:p>
            <w:r>
              <w:rPr>
                <w:b/>
                <w:color w:val="FFFFFF"/>
              </w:rPr>
              <w:t>Shipping cost</w:t>
            </w:r>
          </w:p>
        </w:tc>
      </w:tr>
      <w:tr>
        <w:tc>
          <w:tcPr>
            <w:tcW w:type="dxa" w:w="3312"/>
            <w:vAlign w:val="center"/>
          </w:tcPr>
          <w:p>
            <w:r>
              <w:t>Mean</w:t>
            </w:r>
          </w:p>
        </w:tc>
        <w:tc>
          <w:tcPr>
            <w:tcW w:type="dxa" w:w="3312"/>
            <w:vAlign w:val="center"/>
          </w:tcPr>
          <w:p>
            <w:r>
              <w:t>1,547.30</w:t>
            </w:r>
          </w:p>
        </w:tc>
        <w:tc>
          <w:tcPr>
            <w:tcW w:type="dxa" w:w="3312"/>
            <w:vAlign w:val="center"/>
          </w:tcPr>
          <w:p>
            <w:r>
              <w:t>5.21</w:t>
            </w:r>
          </w:p>
        </w:tc>
      </w:tr>
      <w:tr>
        <w:tc>
          <w:tcPr>
            <w:tcW w:type="dxa" w:w="3312"/>
            <w:vAlign w:val="center"/>
          </w:tcPr>
          <w:p>
            <w:r>
              <w:t>Median</w:t>
            </w:r>
          </w:p>
        </w:tc>
        <w:tc>
          <w:tcPr>
            <w:tcW w:type="dxa" w:w="3312"/>
            <w:vAlign w:val="center"/>
          </w:tcPr>
          <w:p>
            <w:r>
              <w:t>1,278.85</w:t>
            </w:r>
          </w:p>
        </w:tc>
        <w:tc>
          <w:tcPr>
            <w:tcW w:type="dxa" w:w="3312"/>
            <w:vAlign w:val="center"/>
          </w:tcPr>
          <w:p>
            <w:r>
              <w:t>4.99</w:t>
            </w:r>
          </w:p>
        </w:tc>
      </w:tr>
      <w:tr>
        <w:tc>
          <w:tcPr>
            <w:tcW w:type="dxa" w:w="3312"/>
            <w:vAlign w:val="center"/>
          </w:tcPr>
          <w:p>
            <w:r>
              <w:t>Standard deviation</w:t>
            </w:r>
          </w:p>
        </w:tc>
        <w:tc>
          <w:tcPr>
            <w:tcW w:type="dxa" w:w="3312"/>
            <w:vAlign w:val="center"/>
          </w:tcPr>
          <w:p>
            <w:r>
              <w:t>1,178.77</w:t>
            </w:r>
          </w:p>
        </w:tc>
        <w:tc>
          <w:tcPr>
            <w:tcW w:type="dxa" w:w="3312"/>
            <w:vAlign w:val="center"/>
          </w:tcPr>
          <w:p>
            <w:r>
              <w:t>4.48</w:t>
            </w:r>
          </w:p>
        </w:tc>
      </w:tr>
      <w:tr>
        <w:tc>
          <w:tcPr>
            <w:tcW w:type="dxa" w:w="3312"/>
            <w:vAlign w:val="center"/>
          </w:tcPr>
          <w:p>
            <w:r>
              <w:t>Minimum</w:t>
            </w:r>
          </w:p>
        </w:tc>
        <w:tc>
          <w:tcPr>
            <w:tcW w:type="dxa" w:w="3312"/>
            <w:vAlign w:val="center"/>
          </w:tcPr>
          <w:p>
            <w:r>
              <w:t>12.10</w:t>
            </w:r>
          </w:p>
        </w:tc>
        <w:tc>
          <w:tcPr>
            <w:tcW w:type="dxa" w:w="3312"/>
            <w:vAlign w:val="center"/>
          </w:tcPr>
          <w:p>
            <w:r>
              <w:t>0.00</w:t>
            </w:r>
          </w:p>
        </w:tc>
      </w:tr>
      <w:tr>
        <w:tc>
          <w:tcPr>
            <w:tcW w:type="dxa" w:w="3312"/>
            <w:vAlign w:val="center"/>
          </w:tcPr>
          <w:p>
            <w:r>
              <w:t>Maximum</w:t>
            </w:r>
          </w:p>
        </w:tc>
        <w:tc>
          <w:tcPr>
            <w:tcW w:type="dxa" w:w="3312"/>
            <w:vAlign w:val="center"/>
          </w:tcPr>
          <w:p>
            <w:r>
              <w:t>8,688.53</w:t>
            </w:r>
          </w:p>
        </w:tc>
        <w:tc>
          <w:tcPr>
            <w:tcW w:type="dxa" w:w="3312"/>
            <w:vAlign w:val="center"/>
          </w:tcPr>
          <w:p>
            <w:r>
              <w:t>12.99</w:t>
            </w:r>
          </w:p>
        </w:tc>
      </w:tr>
    </w:tbl>
    <w:p/>
    <w:p>
      <w:r>
        <w:t>The workbook contains the required category/channel and revenue/state/tier PivotTable components and a PivotChart. Their cached displayed values were not treated as independently verified numerical evidence in this report; the report therefore avoids inventing PivotTable totals.</w:t>
      </w:r>
    </w:p>
    <w:p>
      <w:pPr>
        <w:pStyle w:val="Heading1"/>
      </w:pPr>
      <w:r>
        <w:t>7. Phase 4 — SQL Analysis</w:t>
      </w:r>
    </w:p>
    <w:p>
      <w:r>
        <w:t>The SQL phase implemented a constrained relational structure with primary keys, foreign keys, CHECK constraints and indexes. The completed student SQL script contains all 12 required analytical and database-engineering tasks.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Task area</w:t>
            </w:r>
          </w:p>
        </w:tc>
        <w:tc>
          <w:tcPr>
            <w:tcW w:type="dxa" w:w="4968"/>
            <w:shd w:fill="1F4E78"/>
          </w:tcPr>
          <w:p>
            <w:r>
              <w:rPr>
                <w:b/>
                <w:color w:val="FFFFFF"/>
              </w:rPr>
              <w:t>Coverage</w:t>
            </w:r>
          </w:p>
        </w:tc>
      </w:tr>
      <w:tr>
        <w:tc>
          <w:tcPr>
            <w:tcW w:type="dxa" w:w="4968"/>
            <w:vAlign w:val="center"/>
          </w:tcPr>
          <w:p>
            <w:r>
              <w:t>Recent completed orders</w:t>
            </w:r>
          </w:p>
        </w:tc>
        <w:tc>
          <w:tcPr>
            <w:tcW w:type="dxa" w:w="4968"/>
            <w:vAlign w:val="center"/>
          </w:tcPr>
          <w:p>
            <w:r>
              <w:t>Completed-order filtering and ordering</w:t>
            </w:r>
          </w:p>
        </w:tc>
      </w:tr>
      <w:tr>
        <w:tc>
          <w:tcPr>
            <w:tcW w:type="dxa" w:w="4968"/>
            <w:vAlign w:val="center"/>
          </w:tcPr>
          <w:p>
            <w:r>
              <w:t>Membership-tier analysis</w:t>
            </w:r>
          </w:p>
        </w:tc>
        <w:tc>
          <w:tcPr>
            <w:tcW w:type="dxa" w:w="4968"/>
            <w:vAlign w:val="center"/>
          </w:tcPr>
          <w:p>
            <w:r>
              <w:t>Customer count, revenue and AOV</w:t>
            </w:r>
          </w:p>
        </w:tc>
      </w:tr>
      <w:tr>
        <w:tc>
          <w:tcPr>
            <w:tcW w:type="dxa" w:w="4968"/>
            <w:vAlign w:val="center"/>
          </w:tcPr>
          <w:p>
            <w:r>
              <w:t>Product performance</w:t>
            </w:r>
          </w:p>
        </w:tc>
        <w:tc>
          <w:tcPr>
            <w:tcW w:type="dxa" w:w="4968"/>
            <w:vAlign w:val="center"/>
          </w:tcPr>
          <w:p>
            <w:r>
              <w:t>Top products by revenue</w:t>
            </w:r>
          </w:p>
        </w:tc>
      </w:tr>
      <w:tr>
        <w:tc>
          <w:tcPr>
            <w:tcW w:type="dxa" w:w="4968"/>
            <w:vAlign w:val="center"/>
          </w:tcPr>
          <w:p>
            <w:r>
              <w:t>Platinum customers</w:t>
            </w:r>
          </w:p>
        </w:tc>
        <w:tc>
          <w:tcPr>
            <w:tcW w:type="dxa" w:w="4968"/>
            <w:vAlign w:val="center"/>
          </w:tcPr>
          <w:p>
            <w:r>
              <w:t>Orders, spend and support tickets</w:t>
            </w:r>
          </w:p>
        </w:tc>
      </w:tr>
      <w:tr>
        <w:tc>
          <w:tcPr>
            <w:tcW w:type="dxa" w:w="4968"/>
            <w:vAlign w:val="center"/>
          </w:tcPr>
          <w:p>
            <w:r>
              <w:t>Above-average spend</w:t>
            </w:r>
          </w:p>
        </w:tc>
        <w:tc>
          <w:tcPr>
            <w:tcW w:type="dxa" w:w="4968"/>
            <w:vAlign w:val="center"/>
          </w:tcPr>
          <w:p>
            <w:r>
              <w:t>Subquery/aggregate comparison</w:t>
            </w:r>
          </w:p>
        </w:tc>
      </w:tr>
      <w:tr>
        <w:tc>
          <w:tcPr>
            <w:tcW w:type="dxa" w:w="4968"/>
            <w:vAlign w:val="center"/>
          </w:tcPr>
          <w:p>
            <w:r>
              <w:t>Never-ordered customers</w:t>
            </w:r>
          </w:p>
        </w:tc>
        <w:tc>
          <w:tcPr>
            <w:tcW w:type="dxa" w:w="4968"/>
            <w:vAlign w:val="center"/>
          </w:tcPr>
          <w:p>
            <w:r>
              <w:t>Customer/order relationship</w:t>
            </w:r>
          </w:p>
        </w:tc>
      </w:tr>
      <w:tr>
        <w:tc>
          <w:tcPr>
            <w:tcW w:type="dxa" w:w="4968"/>
            <w:vAlign w:val="center"/>
          </w:tcPr>
          <w:p>
            <w:r>
              <w:t>Order-value bands</w:t>
            </w:r>
          </w:p>
        </w:tc>
        <w:tc>
          <w:tcPr>
            <w:tcW w:type="dxa" w:w="4968"/>
            <w:vAlign w:val="center"/>
          </w:tcPr>
          <w:p>
            <w:r>
              <w:t>CASE-based segmentation</w:t>
            </w:r>
          </w:p>
        </w:tc>
      </w:tr>
      <w:tr>
        <w:tc>
          <w:tcPr>
            <w:tcW w:type="dxa" w:w="4968"/>
            <w:vAlign w:val="center"/>
          </w:tcPr>
          <w:p>
            <w:r>
              <w:t>Churn</w:t>
            </w:r>
          </w:p>
        </w:tc>
        <w:tc>
          <w:tcPr>
            <w:tcW w:type="dxa" w:w="4968"/>
            <w:vAlign w:val="center"/>
          </w:tcPr>
          <w:p>
            <w:r>
              <w:t>180-day snapshot calculation</w:t>
            </w:r>
          </w:p>
        </w:tc>
      </w:tr>
      <w:tr>
        <w:tc>
          <w:tcPr>
            <w:tcW w:type="dxa" w:w="4968"/>
            <w:vAlign w:val="center"/>
          </w:tcPr>
          <w:p>
            <w:r>
              <w:t>Category quantity</w:t>
            </w:r>
          </w:p>
        </w:tc>
        <w:tc>
          <w:tcPr>
            <w:tcW w:type="dxa" w:w="4968"/>
            <w:vAlign w:val="center"/>
          </w:tcPr>
          <w:p>
            <w:r>
              <w:t>Aggregation and HAVING</w:t>
            </w:r>
          </w:p>
        </w:tc>
      </w:tr>
      <w:tr>
        <w:tc>
          <w:tcPr>
            <w:tcW w:type="dxa" w:w="4968"/>
            <w:vAlign w:val="center"/>
          </w:tcPr>
          <w:p>
            <w:r>
              <w:t>Safe data modification</w:t>
            </w:r>
          </w:p>
        </w:tc>
        <w:tc>
          <w:tcPr>
            <w:tcW w:type="dxa" w:w="4968"/>
            <w:vAlign w:val="center"/>
          </w:tcPr>
          <w:p>
            <w:r>
              <w:t>UPDATE and DELETE examples</w:t>
            </w:r>
          </w:p>
        </w:tc>
      </w:tr>
      <w:tr>
        <w:tc>
          <w:tcPr>
            <w:tcW w:type="dxa" w:w="4968"/>
            <w:vAlign w:val="center"/>
          </w:tcPr>
          <w:p>
            <w:r>
              <w:t>Schema design</w:t>
            </w:r>
          </w:p>
        </w:tc>
        <w:tc>
          <w:tcPr>
            <w:tcW w:type="dxa" w:w="4968"/>
            <w:vAlign w:val="center"/>
          </w:tcPr>
          <w:p>
            <w:r>
              <w:t>PK/FK/CHECK rationale</w:t>
            </w:r>
          </w:p>
        </w:tc>
      </w:tr>
      <w:tr>
        <w:tc>
          <w:tcPr>
            <w:tcW w:type="dxa" w:w="4968"/>
            <w:vAlign w:val="center"/>
          </w:tcPr>
          <w:p>
            <w:r>
              <w:t>Performance</w:t>
            </w:r>
          </w:p>
        </w:tc>
        <w:tc>
          <w:tcPr>
            <w:tcW w:type="dxa" w:w="4968"/>
            <w:vAlign w:val="center"/>
          </w:tcPr>
          <w:p>
            <w:r>
              <w:t>Composite index and EXPLAIN</w:t>
            </w:r>
          </w:p>
        </w:tc>
      </w:tr>
    </w:tbl>
    <w:p/>
    <w:p>
      <w:r>
        <w:t>The Phase 4 cleaned database reproduced the following counts: 6,090 customers, 220 products, 27,821 orders, 72,213 order items and 5,194 support tickets.</w:t>
      </w:r>
    </w:p>
    <w:p>
      <w:r>
        <w:t>Phase 4 and Phase 6 have different row counts because their cleaning scopes were not identical. Phase 4 emphasised relational loading and constraint compliance, including exclusion of orphan records. Phase 6 used a broader analytical-preservation policy. This distinction is intentional and is documented rather than presented as an unexplained inconsistency.</w:t>
      </w:r>
    </w:p>
    <w:p>
      <w:r>
        <w:t>The SQL performance task also demonstrated that a composite index on order_status and order_date changes the relevant query plan from a scan using the date index to an index search on the composite index, while introducing the normal storage and write-maintenance trade-off of additional indexing.</w:t>
      </w:r>
    </w:p>
    <w:p>
      <w:pPr>
        <w:pStyle w:val="Heading1"/>
      </w:pPr>
      <w:r>
        <w:t>8. Churn Definition and Snapshot</w:t>
      </w:r>
    </w:p>
    <w:p>
      <w:r>
        <w:t>The project uses a fixed snapshot date of 1 July 2026. A customer is ACTIVE if they have at least one Completed order during the preceding 180 days (2 January 2026 through 1 July 2026). A customer is CHURNED if they have no Completed order during that period. Customers with no completed-order history are therefore also classified as churned. Orders after 1 July 2026 are excluded from the snapshot calculation.</w:t>
      </w:r>
    </w:p>
    <w:p>
      <w:pPr>
        <w:pStyle w:val="Heading1"/>
      </w:pPr>
      <w:r>
        <w:t>9. Exploratory Data Analysis</w:t>
      </w:r>
    </w:p>
    <w:p>
      <w:pPr>
        <w:pStyle w:val="Heading2"/>
      </w:pPr>
      <w:r>
        <w:t>9.1 Overall Churn</w:t>
      </w:r>
    </w:p>
    <w:p>
      <w:r>
        <w:t>4,072 of 6,090 customers were churned, giving 66.86% overall churn. 444 customers (7.29%) had no completed order history and were all classified as churned, while most churners had previously purchased.</w:t>
      </w:r>
    </w:p>
    <w:p>
      <w:pPr>
        <w:pStyle w:val="Heading2"/>
      </w:pPr>
      <w:r>
        <w:t>9.2 RFM Behaviour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Measure</w:t>
            </w:r>
          </w:p>
        </w:tc>
        <w:tc>
          <w:tcPr>
            <w:tcW w:type="dxa" w:w="3312"/>
            <w:shd w:fill="1F4E78"/>
          </w:tcPr>
          <w:p>
            <w:r>
              <w:rPr>
                <w:b/>
                <w:color w:val="FFFFFF"/>
              </w:rPr>
              <w:t>Active</w:t>
            </w:r>
          </w:p>
        </w:tc>
        <w:tc>
          <w:tcPr>
            <w:tcW w:type="dxa" w:w="3312"/>
            <w:shd w:fill="1F4E78"/>
          </w:tcPr>
          <w:p>
            <w:r>
              <w:rPr>
                <w:b/>
                <w:color w:val="FFFFFF"/>
              </w:rPr>
              <w:t>Churned</w:t>
            </w:r>
          </w:p>
        </w:tc>
      </w:tr>
      <w:tr>
        <w:tc>
          <w:tcPr>
            <w:tcW w:type="dxa" w:w="3312"/>
            <w:vAlign w:val="center"/>
          </w:tcPr>
          <w:p>
            <w:r>
              <w:t>Median recency</w:t>
            </w:r>
          </w:p>
        </w:tc>
        <w:tc>
          <w:tcPr>
            <w:tcW w:type="dxa" w:w="3312"/>
            <w:vAlign w:val="center"/>
          </w:tcPr>
          <w:p>
            <w:r>
              <w:t>87 days</w:t>
            </w:r>
          </w:p>
        </w:tc>
        <w:tc>
          <w:tcPr>
            <w:tcW w:type="dxa" w:w="3312"/>
            <w:vAlign w:val="center"/>
          </w:tcPr>
          <w:p>
            <w:r>
              <w:t>454 days</w:t>
            </w:r>
          </w:p>
        </w:tc>
      </w:tr>
      <w:tr>
        <w:tc>
          <w:tcPr>
            <w:tcW w:type="dxa" w:w="3312"/>
            <w:vAlign w:val="center"/>
          </w:tcPr>
          <w:p>
            <w:r>
              <w:t>Median frequency</w:t>
            </w:r>
          </w:p>
        </w:tc>
        <w:tc>
          <w:tcPr>
            <w:tcW w:type="dxa" w:w="3312"/>
            <w:vAlign w:val="center"/>
          </w:tcPr>
          <w:p>
            <w:r>
              <w:t>5</w:t>
            </w:r>
          </w:p>
        </w:tc>
        <w:tc>
          <w:tcPr>
            <w:tcW w:type="dxa" w:w="3312"/>
            <w:vAlign w:val="center"/>
          </w:tcPr>
          <w:p>
            <w:r>
              <w:t>4</w:t>
            </w:r>
          </w:p>
        </w:tc>
      </w:tr>
      <w:tr>
        <w:tc>
          <w:tcPr>
            <w:tcW w:type="dxa" w:w="3312"/>
            <w:vAlign w:val="center"/>
          </w:tcPr>
          <w:p>
            <w:r>
              <w:t>Median monetary total</w:t>
            </w:r>
          </w:p>
        </w:tc>
        <w:tc>
          <w:tcPr>
            <w:tcW w:type="dxa" w:w="3312"/>
            <w:vAlign w:val="center"/>
          </w:tcPr>
          <w:p>
            <w:r>
              <w:t>$6,981.66</w:t>
            </w:r>
          </w:p>
        </w:tc>
        <w:tc>
          <w:tcPr>
            <w:tcW w:type="dxa" w:w="3312"/>
            <w:vAlign w:val="center"/>
          </w:tcPr>
          <w:p>
            <w:r>
              <w:t>$5,426.34</w:t>
            </w:r>
          </w:p>
        </w:tc>
      </w:tr>
    </w:tbl>
    <w:p/>
    <w:p>
      <w:r>
        <w:t>Recency produced the clearest separation. The Mann–Whitney U test gave p &lt; 0.0001 and r = 0.8301. Frequency also differed significantly (p &lt; 0.0001, r = 0.2108). Monetary total differed significantly but with a smaller effect (p &lt; 0.0001, r = 0.1899). Monetary average did not meaningfully distinguish the groups (p = 0.2699, r = 0.0147).</w:t>
      </w:r>
    </w:p>
    <w:p>
      <w:pPr>
        <w:pStyle w:val="Heading2"/>
      </w:pPr>
      <w:r>
        <w:t>9.3 Customer Segments</w:t>
      </w:r>
    </w:p>
    <w:p>
      <w:r>
        <w:t>Membership tier showed no meaningful association with churn (p = 0.829, Cramer's V = 0.0121). Preferred channel was similarly weak (p = 0.3965, V = 0.0174). State and referral source also showed weak effect sizes (V = 0.0408 and 0.0381). The observed state range was 70.75% churn in Michigan versus 63.64% in Washington; this is descriptive and should not be interpreted causally.</w:t>
      </w:r>
    </w:p>
    <w:p>
      <w:pPr>
        <w:pStyle w:val="Heading2"/>
      </w:pPr>
      <w:r>
        <w:t>9.4 Support Experience</w:t>
      </w:r>
    </w:p>
    <w:p>
      <w:r>
        <w:t>Among customers with support interactions, churned customers had longer resolution times. The median difference was approximately 1.72 hours, with p = 0.0017 and r = 0.0529. The effect is statistically significant but small, so resolution time is better treated as a secondary signal rather than a dominant driver.</w:t>
      </w:r>
    </w:p>
    <w:p>
      <w:pPr>
        <w:pStyle w:val="Heading2"/>
      </w:pPr>
      <w:r>
        <w:t>9.5 Cohorts</w:t>
      </w:r>
    </w:p>
    <w:p>
      <w:r>
        <w:t>Observed churn was higher in older signup cohorts and lower in newer cohorts. The pattern must be interpreted cautiously because newer cohorts have had less time to accumulate a full 180-day observation period.</w:t>
      </w:r>
    </w:p>
    <w:p>
      <w:pPr>
        <w:pStyle w:val="Heading2"/>
      </w:pPr>
      <w:r>
        <w:t>9.6 Historical Value</w:t>
      </w:r>
    </w:p>
    <w:p>
      <w:r>
        <w:t>Active customers accounted for approximately $14.98M of historical monetary value and churned customers approximately $23.61M, meaning 61.17% of historical monetary value was associated with churned customers. This is historical value associated with churned customers, not confirmed future revenue loss.</w:t>
      </w:r>
    </w:p>
    <w:p>
      <w:pPr>
        <w:pStyle w:val="Heading1"/>
      </w:pPr>
      <w:r>
        <w:t>10. Machine Learning Methodology</w:t>
      </w:r>
    </w:p>
    <w:p>
      <w:r>
        <w:t>The machine-learning task was defined separately from the descriptive snapshot: for historical monthly prediction dates from July 2021 through January 2026, the target indicates whether a customer had no Completed order during the following 180 days. Predictors were restricted to information available on or before each prediction date to reduce target leakage.</w:t>
      </w:r>
    </w:p>
    <w:p>
      <w:r>
        <w:t>Predictors included membership tier, preferred channel, state, referral source, marketing opt-in, tenure, recency, frequency, monetary total, monetary average, support-ticket count, satisfaction average and resolution-time average.</w:t>
      </w:r>
    </w:p>
    <w:p>
      <w:r>
        <w:t>A chronological split was used: training July 2021–December 2024, validation January–June 2025, and untouched test July 2025–January 2026. This preserves temporal order and avoids random future-to-past leakage.</w:t>
      </w:r>
    </w:p>
    <w:p>
      <w:pPr>
        <w:pStyle w:val="Heading1"/>
      </w:pPr>
      <w:r>
        <w:t>11. Model Development and Selection</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Model</w:t>
            </w:r>
          </w:p>
        </w:tc>
        <w:tc>
          <w:tcPr>
            <w:tcW w:type="dxa" w:w="4968"/>
            <w:shd w:fill="1F4E78"/>
          </w:tcPr>
          <w:p>
            <w:r>
              <w:rPr>
                <w:b/>
                <w:color w:val="FFFFFF"/>
              </w:rPr>
              <w:t>Role</w:t>
            </w:r>
          </w:p>
        </w:tc>
      </w:tr>
      <w:tr>
        <w:tc>
          <w:tcPr>
            <w:tcW w:type="dxa" w:w="4968"/>
            <w:vAlign w:val="center"/>
          </w:tcPr>
          <w:p>
            <w:r>
              <w:t>Dummy baseline</w:t>
            </w:r>
          </w:p>
        </w:tc>
        <w:tc>
          <w:tcPr>
            <w:tcW w:type="dxa" w:w="4968"/>
            <w:vAlign w:val="center"/>
          </w:tcPr>
          <w:p>
            <w:r>
              <w:t>Reference performance</w:t>
            </w:r>
          </w:p>
        </w:tc>
      </w:tr>
      <w:tr>
        <w:tc>
          <w:tcPr>
            <w:tcW w:type="dxa" w:w="4968"/>
            <w:vAlign w:val="center"/>
          </w:tcPr>
          <w:p>
            <w:r>
              <w:t>Logistic Regression</w:t>
            </w:r>
          </w:p>
        </w:tc>
        <w:tc>
          <w:tcPr>
            <w:tcW w:type="dxa" w:w="4968"/>
            <w:vAlign w:val="center"/>
          </w:tcPr>
          <w:p>
            <w:r>
              <w:t>Linear baseline</w:t>
            </w:r>
          </w:p>
        </w:tc>
      </w:tr>
      <w:tr>
        <w:tc>
          <w:tcPr>
            <w:tcW w:type="dxa" w:w="4968"/>
            <w:vAlign w:val="center"/>
          </w:tcPr>
          <w:p>
            <w:r>
              <w:t>Random Forest</w:t>
            </w:r>
          </w:p>
        </w:tc>
        <w:tc>
          <w:tcPr>
            <w:tcW w:type="dxa" w:w="4968"/>
            <w:vAlign w:val="center"/>
          </w:tcPr>
          <w:p>
            <w:r>
              <w:t>Non-linear ensemble</w:t>
            </w:r>
          </w:p>
        </w:tc>
      </w:tr>
      <w:tr>
        <w:tc>
          <w:tcPr>
            <w:tcW w:type="dxa" w:w="4968"/>
            <w:vAlign w:val="center"/>
          </w:tcPr>
          <w:p>
            <w:r>
              <w:t>Gradient Boosting</w:t>
            </w:r>
          </w:p>
        </w:tc>
        <w:tc>
          <w:tcPr>
            <w:tcW w:type="dxa" w:w="4968"/>
            <w:vAlign w:val="center"/>
          </w:tcPr>
          <w:p>
            <w:r>
              <w:t>Boosted-tree comparison</w:t>
            </w:r>
          </w:p>
        </w:tc>
      </w:tr>
      <w:tr>
        <w:tc>
          <w:tcPr>
            <w:tcW w:type="dxa" w:w="4968"/>
            <w:vAlign w:val="center"/>
          </w:tcPr>
          <w:p>
            <w:r>
              <w:t>Tuned Random Forest</w:t>
            </w:r>
          </w:p>
        </w:tc>
        <w:tc>
          <w:tcPr>
            <w:tcW w:type="dxa" w:w="4968"/>
            <w:vAlign w:val="center"/>
          </w:tcPr>
          <w:p>
            <w:r>
              <w:t>Final candidate after CV tuning</w:t>
            </w:r>
          </w:p>
        </w:tc>
      </w:tr>
      <w:tr>
        <w:tc>
          <w:tcPr>
            <w:tcW w:type="dxa" w:w="4968"/>
            <w:vAlign w:val="center"/>
          </w:tcPr>
          <w:p>
            <w:r>
              <w:t>MLP neural network</w:t>
            </w:r>
          </w:p>
        </w:tc>
        <w:tc>
          <w:tcPr>
            <w:tcW w:type="dxa" w:w="4968"/>
            <w:vAlign w:val="center"/>
          </w:tcPr>
          <w:p>
            <w:r>
              <w:t>Neural-network comparison</w:t>
            </w:r>
          </w:p>
        </w:tc>
      </w:tr>
    </w:tbl>
    <w:p/>
    <w:p>
      <w:r>
        <w:t>RandomizedSearchCV with TimeSeriesSplit cross-validation was used to tune the Random Forest. The selected configuration used class_weight=None, max_depth=20, max_features='log2', min_samples_leaf=1, min_samples_split=4 and n_estimators=378. The best mean cross-validation ROC-AUC was approximately 0.6963.</w:t>
      </w:r>
    </w:p>
    <w:p>
      <w:r>
        <w:t>The tuned Random Forest was selected because its untouched-test recall, F1 and PR-AUC provided a useful balance for the business objective. Recall was given substantial weight because a false negative represents a customer who may be missed for retention intervention. Precision and false-positive burden were also considered because unnecessary interventions consume marketing resources.</w:t>
      </w:r>
    </w:p>
    <w:p>
      <w:pPr>
        <w:pStyle w:val="Heading1"/>
      </w:pPr>
      <w:r>
        <w:t>12. Final Model Performance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Metric</w:t>
            </w:r>
          </w:p>
        </w:tc>
        <w:tc>
          <w:tcPr>
            <w:tcW w:type="dxa" w:w="4968"/>
            <w:shd w:fill="1F4E78"/>
          </w:tcPr>
          <w:p>
            <w:r>
              <w:rPr>
                <w:b/>
                <w:color w:val="FFFFFF"/>
              </w:rPr>
              <w:t>Tuned Random Forest — Test</w:t>
            </w:r>
          </w:p>
        </w:tc>
      </w:tr>
      <w:tr>
        <w:tc>
          <w:tcPr>
            <w:tcW w:type="dxa" w:w="4968"/>
            <w:vAlign w:val="center"/>
          </w:tcPr>
          <w:p>
            <w:r>
              <w:t>Accuracy</w:t>
            </w:r>
          </w:p>
        </w:tc>
        <w:tc>
          <w:tcPr>
            <w:tcW w:type="dxa" w:w="4968"/>
            <w:vAlign w:val="center"/>
          </w:tcPr>
          <w:p>
            <w:r>
              <w:t>68.63%</w:t>
            </w:r>
          </w:p>
        </w:tc>
      </w:tr>
      <w:tr>
        <w:tc>
          <w:tcPr>
            <w:tcW w:type="dxa" w:w="4968"/>
            <w:vAlign w:val="center"/>
          </w:tcPr>
          <w:p>
            <w:r>
              <w:t>Balanced accuracy</w:t>
            </w:r>
          </w:p>
        </w:tc>
        <w:tc>
          <w:tcPr>
            <w:tcW w:type="dxa" w:w="4968"/>
            <w:vAlign w:val="center"/>
          </w:tcPr>
          <w:p>
            <w:r>
              <w:t>58.63%</w:t>
            </w:r>
          </w:p>
        </w:tc>
      </w:tr>
      <w:tr>
        <w:tc>
          <w:tcPr>
            <w:tcW w:type="dxa" w:w="4968"/>
            <w:vAlign w:val="center"/>
          </w:tcPr>
          <w:p>
            <w:r>
              <w:t>Precision</w:t>
            </w:r>
          </w:p>
        </w:tc>
        <w:tc>
          <w:tcPr>
            <w:tcW w:type="dxa" w:w="4968"/>
            <w:vAlign w:val="center"/>
          </w:tcPr>
          <w:p>
            <w:r>
              <w:t>72.25%</w:t>
            </w:r>
          </w:p>
        </w:tc>
      </w:tr>
      <w:tr>
        <w:tc>
          <w:tcPr>
            <w:tcW w:type="dxa" w:w="4968"/>
            <w:vAlign w:val="center"/>
          </w:tcPr>
          <w:p>
            <w:r>
              <w:t>Recall</w:t>
            </w:r>
          </w:p>
        </w:tc>
        <w:tc>
          <w:tcPr>
            <w:tcW w:type="dxa" w:w="4968"/>
            <w:vAlign w:val="center"/>
          </w:tcPr>
          <w:p>
            <w:r>
              <w:t>87.03%</w:t>
            </w:r>
          </w:p>
        </w:tc>
      </w:tr>
      <w:tr>
        <w:tc>
          <w:tcPr>
            <w:tcW w:type="dxa" w:w="4968"/>
            <w:vAlign w:val="center"/>
          </w:tcPr>
          <w:p>
            <w:r>
              <w:t>F1 score</w:t>
            </w:r>
          </w:p>
        </w:tc>
        <w:tc>
          <w:tcPr>
            <w:tcW w:type="dxa" w:w="4968"/>
            <w:vAlign w:val="center"/>
          </w:tcPr>
          <w:p>
            <w:r>
              <w:t>78.95%</w:t>
            </w:r>
          </w:p>
        </w:tc>
      </w:tr>
      <w:tr>
        <w:tc>
          <w:tcPr>
            <w:tcW w:type="dxa" w:w="4968"/>
            <w:vAlign w:val="center"/>
          </w:tcPr>
          <w:p>
            <w:r>
              <w:t>ROC-AUC</w:t>
            </w:r>
          </w:p>
        </w:tc>
        <w:tc>
          <w:tcPr>
            <w:tcW w:type="dxa" w:w="4968"/>
            <w:vAlign w:val="center"/>
          </w:tcPr>
          <w:p>
            <w:r>
              <w:t>65.15%</w:t>
            </w:r>
          </w:p>
        </w:tc>
      </w:tr>
      <w:tr>
        <w:tc>
          <w:tcPr>
            <w:tcW w:type="dxa" w:w="4968"/>
            <w:vAlign w:val="center"/>
          </w:tcPr>
          <w:p>
            <w:r>
              <w:t>PR-AUC</w:t>
            </w:r>
          </w:p>
        </w:tc>
        <w:tc>
          <w:tcPr>
            <w:tcW w:type="dxa" w:w="4968"/>
            <w:vAlign w:val="center"/>
          </w:tcPr>
          <w:p>
            <w:r>
              <w:t>77.37%</w:t>
            </w:r>
          </w:p>
        </w:tc>
      </w:tr>
    </w:tbl>
    <w:p/>
    <w:p>
      <w:r>
        <w:t>Error analysis on the test set produced 3,624 true negatives, 8,362 false positives, 3,243 false negatives and 21,767 true positives. The resulting false-positive rate was 69.76% and false-negative rate 12.97%. This reinforces the recommendation that model output should rank and prioritise customers rather than trigger an expensive intervention automatically.</w:t>
      </w:r>
    </w:p>
    <w:p>
      <w:pPr>
        <w:pStyle w:val="Heading1"/>
      </w:pPr>
      <w:r>
        <w:t>13. Model Interpretation</w:t>
      </w:r>
    </w:p>
    <w:p>
      <w:r>
        <w:t>Impurity-based importance ranked tenure, monetary total, recency, monetary average and frequency among the strongest features. Permutation importance highlighted tenure, state, referral source, frequency, monetary total, membership tier and preferred channel. These are predictive contributions, not causal effects.</w:t>
      </w:r>
    </w:p>
    <w:p>
      <w:r>
        <w:t>The practical interpretation is that customer lifecycle and purchasing behaviour provide more useful predictive information than a simple assumption that one membership tier or channel is responsible for churn.</w:t>
      </w:r>
    </w:p>
    <w:p>
      <w:pPr>
        <w:pStyle w:val="Heading1"/>
      </w:pPr>
      <w:r>
        <w:t>14. Current Customer Risk Scoring</w:t>
      </w:r>
    </w:p>
    <w:p>
      <w:r>
        <w:t>The final model was applied to the 2,018 customers classified as active at the 1 July 2026 snapshot. The saved scoring output contains churn probability, predicted class, status, risk segment, behavioural features and a probability-weighted expected historical value-at-risk measure.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Risk segment</w:t>
            </w:r>
          </w:p>
        </w:tc>
        <w:tc>
          <w:tcPr>
            <w:tcW w:type="dxa" w:w="4968"/>
            <w:shd w:fill="1F4E78"/>
          </w:tcPr>
          <w:p>
            <w:r>
              <w:rPr>
                <w:b/>
                <w:color w:val="FFFFFF"/>
              </w:rPr>
              <w:t>Probability rule</w:t>
            </w:r>
          </w:p>
        </w:tc>
      </w:tr>
      <w:tr>
        <w:tc>
          <w:tcPr>
            <w:tcW w:type="dxa" w:w="4968"/>
            <w:vAlign w:val="center"/>
          </w:tcPr>
          <w:p>
            <w:r>
              <w:t>Very High</w:t>
            </w:r>
          </w:p>
        </w:tc>
        <w:tc>
          <w:tcPr>
            <w:tcW w:type="dxa" w:w="4968"/>
            <w:vAlign w:val="center"/>
          </w:tcPr>
          <w:p>
            <w:r>
              <w:t>≥ 0.80</w:t>
            </w:r>
          </w:p>
        </w:tc>
      </w:tr>
      <w:tr>
        <w:tc>
          <w:tcPr>
            <w:tcW w:type="dxa" w:w="4968"/>
            <w:vAlign w:val="center"/>
          </w:tcPr>
          <w:p>
            <w:r>
              <w:t>High</w:t>
            </w:r>
          </w:p>
        </w:tc>
        <w:tc>
          <w:tcPr>
            <w:tcW w:type="dxa" w:w="4968"/>
            <w:vAlign w:val="center"/>
          </w:tcPr>
          <w:p>
            <w:r>
              <w:t>0.60–&lt;0.80</w:t>
            </w:r>
          </w:p>
        </w:tc>
      </w:tr>
      <w:tr>
        <w:tc>
          <w:tcPr>
            <w:tcW w:type="dxa" w:w="4968"/>
            <w:vAlign w:val="center"/>
          </w:tcPr>
          <w:p>
            <w:r>
              <w:t>Moderate</w:t>
            </w:r>
          </w:p>
        </w:tc>
        <w:tc>
          <w:tcPr>
            <w:tcW w:type="dxa" w:w="4968"/>
            <w:vAlign w:val="center"/>
          </w:tcPr>
          <w:p>
            <w:r>
              <w:t>0.40–&lt;0.60</w:t>
            </w:r>
          </w:p>
        </w:tc>
      </w:tr>
      <w:tr>
        <w:tc>
          <w:tcPr>
            <w:tcW w:type="dxa" w:w="4968"/>
            <w:vAlign w:val="center"/>
          </w:tcPr>
          <w:p>
            <w:r>
              <w:t>Lower</w:t>
            </w:r>
          </w:p>
        </w:tc>
        <w:tc>
          <w:tcPr>
            <w:tcW w:type="dxa" w:w="4968"/>
            <w:vAlign w:val="center"/>
          </w:tcPr>
          <w:p>
            <w:r>
              <w:t>&lt;0.40</w:t>
            </w:r>
          </w:p>
        </w:tc>
      </w:tr>
    </w:tbl>
    <w:p/>
    <w:p>
      <w:r>
        <w:t>Expected value at risk is calculated as churn probability multiplied by historical monetary value. It is a scenario-based prioritisation metric, not a guaranteed forecast of future revenue loss.</w:t>
      </w:r>
    </w:p>
    <w:p>
      <w:pPr>
        <w:pStyle w:val="Heading1"/>
      </w:pPr>
      <w:r>
        <w:t>15. Business Recommendations</w:t>
      </w:r>
    </w:p>
    <w:p>
      <w:pPr>
        <w:pStyle w:val="Heading2"/>
      </w:pPr>
      <w:r>
        <w:t>15.1 Build an Early-Warning Retention System</w:t>
      </w:r>
    </w:p>
    <w:p>
      <w:r>
        <w:t>Use recency as the primary early-warning signal. Customers whose purchase activity is visibly declining should enter retention journeys before they cross the 180-day inactivity boundary.</w:t>
      </w:r>
    </w:p>
    <w:p>
      <w:pPr>
        <w:pStyle w:val="Heading2"/>
      </w:pPr>
      <w:r>
        <w:t>15.2 Prioritise by Risk and Value</w:t>
      </w:r>
    </w:p>
    <w:p>
      <w:r>
        <w:t>Combine churn probability with historical customer value. Very-high-risk, high-value customers should receive the strongest human-reviewed interventions, while lower-value customers can receive lower-cost automated journeys.</w:t>
      </w:r>
    </w:p>
    <w:p>
      <w:pPr>
        <w:pStyle w:val="Heading2"/>
      </w:pPr>
      <w:r>
        <w:t>15.3 Use Tiered Intervention Costs</w:t>
      </w:r>
    </w:p>
    <w:p>
      <w:r>
        <w:t>Avoid offering expensive discounts to every predicted churner. Use proportionate actions such as reminders, personalised recommendations, loyalty benefits or service recovery before escalating to costly incentives.</w:t>
      </w:r>
    </w:p>
    <w:p>
      <w:pPr>
        <w:pStyle w:val="Heading2"/>
      </w:pPr>
      <w:r>
        <w:t>15.4 Strengthen Support Resolution Monitoring</w:t>
      </w:r>
    </w:p>
    <w:p>
      <w:r>
        <w:t>Track resolution time as a secondary retention signal. Because the observed effect was small, Meridian should validate any operational intervention through controlled measurement rather than assuming causality.</w:t>
      </w:r>
    </w:p>
    <w:p>
      <w:pPr>
        <w:pStyle w:val="Heading2"/>
      </w:pPr>
      <w:r>
        <w:t>15.5 Treat Segmentation as Context, Not Causation</w:t>
      </w:r>
    </w:p>
    <w:p>
      <w:r>
        <w:t>Membership tier, channel, state and referral source showed weak associations. They can support message customisation and delivery decisions but should not be used as blanket explanations for churn.</w:t>
      </w:r>
    </w:p>
    <w:p>
      <w:pPr>
        <w:pStyle w:val="Heading2"/>
      </w:pPr>
      <w:r>
        <w:t>15.6 Measure Business Outcomes</w:t>
      </w:r>
    </w:p>
    <w:p>
      <w:r>
        <w:t>Evaluate retention programmes using reactivation rate, repeat-purchase rate, retained customer value, campaign conversion and intervention cost. Predictive modelling identifies whom to prioritise; it does not prove that an intervention causes retention.</w:t>
      </w:r>
    </w:p>
    <w:p>
      <w:pPr>
        <w:pStyle w:val="Heading1"/>
      </w:pPr>
      <w:r>
        <w:t>16. Deployment and API</w:t>
      </w:r>
    </w:p>
    <w:p>
      <w:r>
        <w:t>The final tuned Random Forest pipeline was saved as a Joblib model and exposed through a FastAPI application with a POST /predict endpoint. Pydantic validation was used for input validation.</w:t>
      </w:r>
    </w:p>
    <w:p>
      <w:r>
        <w:t>Deployment tests confirmed that invalid inputs such as negative recency or satisfaction values outside the 1–5 range returned HTTP 422, while a valid request returned HTTP 200. The demonstrated valid request produced a churn probability of approximately 0.6936 and a predicted churn class of 1 at the 0.50 threshold.</w:t>
      </w:r>
    </w:p>
    <w:p>
      <w:pPr>
        <w:pStyle w:val="Heading1"/>
      </w:pPr>
      <w:r>
        <w:t>17. Limitations and Governance</w:t>
      </w:r>
    </w:p>
    <w:p>
      <w:pPr>
        <w:pStyle w:val="ListBullet"/>
      </w:pPr>
      <w:r>
        <w:t>The 180-day inactivity definition is a project-defined operational definition and should not automatically be interpreted as permanent customer loss.</w:t>
      </w:r>
    </w:p>
    <w:p>
      <w:pPr>
        <w:pStyle w:val="ListBullet"/>
      </w:pPr>
      <w:r>
        <w:t>The customer master does not contain complete historical versions of changing attributes, creating a temporal-governance limitation for some predictors.</w:t>
      </w:r>
    </w:p>
    <w:p>
      <w:pPr>
        <w:pStyle w:val="ListBullet"/>
      </w:pPr>
      <w:r>
        <w:t>Support satisfaction and resolution fields contain substantial missingness.</w:t>
      </w:r>
    </w:p>
    <w:p>
      <w:pPr>
        <w:pStyle w:val="ListBullet"/>
      </w:pPr>
      <w:r>
        <w:t>The final model has a high false-positive rate; operational deployment should incorporate intervention cost and customer value.</w:t>
      </w:r>
    </w:p>
    <w:p>
      <w:pPr>
        <w:pStyle w:val="ListBullet"/>
      </w:pPr>
      <w:r>
        <w:t>Statistical associations and model feature importance do not establish causation.</w:t>
      </w:r>
    </w:p>
    <w:p>
      <w:pPr>
        <w:pStyle w:val="ListBullet"/>
      </w:pPr>
      <w:r>
        <w:t>Newer signup cohorts have had less time to experience the full churn observation window.</w:t>
      </w:r>
    </w:p>
    <w:p>
      <w:pPr>
        <w:pStyle w:val="ListBullet"/>
      </w:pPr>
      <w:r>
        <w:t>Historical monetary value associated with churned customers is not equivalent to confirmed future revenue loss.</w:t>
      </w:r>
    </w:p>
    <w:p>
      <w:pPr>
        <w:pStyle w:val="Heading1"/>
      </w:pPr>
      <w:r>
        <w:t>18. Conclusion</w:t>
      </w:r>
    </w:p>
    <w:p>
      <w:r>
        <w:t>The analysis demonstrates that Meridian's churn problem is strongly connected to declining customer engagement, with recency providing the clearest behavioural signal. Purchase frequency adds useful but smaller information, while broad categorical segments do not meaningfully separate churned from active customers in this dataset.</w:t>
      </w:r>
    </w:p>
    <w:p>
      <w:r>
        <w:t>The final predictive workflow gives Meridian a practical mechanism for ranking current active customers by churn risk. The recommended operating model is to combine predicted risk, customer value and intervention cost when allocating retention resources. The model should be embedded in a measurement cycle so that Meridian can learn which interventions actually improve retention and retained customer value.</w:t>
      </w:r>
    </w:p>
    <w:p>
      <w:pPr>
        <w:pStyle w:val="Heading1"/>
      </w:pPr>
      <w:r>
        <w:t>19. Project Artifacts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Artifact</w:t>
            </w:r>
          </w:p>
        </w:tc>
        <w:tc>
          <w:tcPr>
            <w:tcW w:type="dxa" w:w="4968"/>
            <w:shd w:fill="1F4E78"/>
          </w:tcPr>
          <w:p>
            <w:r>
              <w:rPr>
                <w:b/>
                <w:color w:val="FFFFFF"/>
              </w:rPr>
              <w:t>Purpose</w:t>
            </w:r>
          </w:p>
        </w:tc>
      </w:tr>
      <w:tr>
        <w:tc>
          <w:tcPr>
            <w:tcW w:type="dxa" w:w="4968"/>
            <w:vAlign w:val="center"/>
          </w:tcPr>
          <w:p>
            <w:r>
              <w:t>02_Data_Acquisition_FINAL.ipynb</w:t>
            </w:r>
          </w:p>
        </w:tc>
        <w:tc>
          <w:tcPr>
            <w:tcW w:type="dxa" w:w="4968"/>
            <w:vAlign w:val="center"/>
          </w:tcPr>
          <w:p>
            <w:r>
              <w:t>Phase 2 data acquisition and profiling</w:t>
            </w:r>
          </w:p>
        </w:tc>
      </w:tr>
      <w:tr>
        <w:tc>
          <w:tcPr>
            <w:tcW w:type="dxa" w:w="4968"/>
            <w:vAlign w:val="center"/>
          </w:tcPr>
          <w:p>
            <w:r>
              <w:t>Meridian_Retail_Excel_Workbook_COMPLETED.xlsx</w:t>
            </w:r>
          </w:p>
        </w:tc>
        <w:tc>
          <w:tcPr>
            <w:tcW w:type="dxa" w:w="4968"/>
            <w:vAlign w:val="center"/>
          </w:tcPr>
          <w:p>
            <w:r>
              <w:t>Phase 3 Excel analysis</w:t>
            </w:r>
          </w:p>
        </w:tc>
      </w:tr>
      <w:tr>
        <w:tc>
          <w:tcPr>
            <w:tcW w:type="dxa" w:w="4968"/>
            <w:vAlign w:val="center"/>
          </w:tcPr>
          <w:p>
            <w:r>
              <w:t>student_sql_tasks_completed.sql</w:t>
            </w:r>
          </w:p>
        </w:tc>
        <w:tc>
          <w:tcPr>
            <w:tcW w:type="dxa" w:w="4968"/>
            <w:vAlign w:val="center"/>
          </w:tcPr>
          <w:p>
            <w:r>
              <w:t>Phase 4 SQL tasks</w:t>
            </w:r>
          </w:p>
        </w:tc>
      </w:tr>
      <w:tr>
        <w:tc>
          <w:tcPr>
            <w:tcW w:type="dxa" w:w="4968"/>
            <w:vAlign w:val="center"/>
          </w:tcPr>
          <w:p>
            <w:r>
              <w:t>phase4_schema.sql</w:t>
            </w:r>
          </w:p>
        </w:tc>
        <w:tc>
          <w:tcPr>
            <w:tcW w:type="dxa" w:w="4968"/>
            <w:vAlign w:val="center"/>
          </w:tcPr>
          <w:p>
            <w:r>
              <w:t>Phase 4 relational schema</w:t>
            </w:r>
          </w:p>
        </w:tc>
      </w:tr>
      <w:tr>
        <w:tc>
          <w:tcPr>
            <w:tcW w:type="dxa" w:w="4968"/>
            <w:vAlign w:val="center"/>
          </w:tcPr>
          <w:p>
            <w:r>
              <w:t>Phase 7–9 final notebook</w:t>
            </w:r>
          </w:p>
        </w:tc>
        <w:tc>
          <w:tcPr>
            <w:tcW w:type="dxa" w:w="4968"/>
            <w:vAlign w:val="center"/>
          </w:tcPr>
          <w:p>
            <w:r>
              <w:t>EDA, visualization, ML and deployment workflow</w:t>
            </w:r>
          </w:p>
        </w:tc>
      </w:tr>
      <w:tr>
        <w:tc>
          <w:tcPr>
            <w:tcW w:type="dxa" w:w="4968"/>
            <w:vAlign w:val="center"/>
          </w:tcPr>
          <w:p>
            <w:r>
              <w:t>customers_clean.csv / products_clean.csv</w:t>
            </w:r>
          </w:p>
        </w:tc>
        <w:tc>
          <w:tcPr>
            <w:tcW w:type="dxa" w:w="4968"/>
            <w:vAlign w:val="center"/>
          </w:tcPr>
          <w:p>
            <w:r>
              <w:t>Phase 6 processed datasets</w:t>
            </w:r>
          </w:p>
        </w:tc>
      </w:tr>
      <w:tr>
        <w:tc>
          <w:tcPr>
            <w:tcW w:type="dxa" w:w="4968"/>
            <w:vAlign w:val="center"/>
          </w:tcPr>
          <w:p>
            <w:r>
              <w:t>orders_clean.csv / order_items_clean.csv</w:t>
            </w:r>
          </w:p>
        </w:tc>
        <w:tc>
          <w:tcPr>
            <w:tcW w:type="dxa" w:w="4968"/>
            <w:vAlign w:val="center"/>
          </w:tcPr>
          <w:p>
            <w:r>
              <w:t>Phase 6 processed transaction data</w:t>
            </w:r>
          </w:p>
        </w:tc>
      </w:tr>
      <w:tr>
        <w:tc>
          <w:tcPr>
            <w:tcW w:type="dxa" w:w="4968"/>
            <w:vAlign w:val="center"/>
          </w:tcPr>
          <w:p>
            <w:r>
              <w:t>support_tickets_clean.csv</w:t>
            </w:r>
          </w:p>
        </w:tc>
        <w:tc>
          <w:tcPr>
            <w:tcW w:type="dxa" w:w="4968"/>
            <w:vAlign w:val="center"/>
          </w:tcPr>
          <w:p>
            <w:r>
              <w:t>Phase 6 processed support data</w:t>
            </w:r>
          </w:p>
        </w:tc>
      </w:tr>
      <w:tr>
        <w:tc>
          <w:tcPr>
            <w:tcW w:type="dxa" w:w="4968"/>
            <w:vAlign w:val="center"/>
          </w:tcPr>
          <w:p>
            <w:r>
              <w:t>tuned_random_forest_churn_pipeline.joblib</w:t>
            </w:r>
          </w:p>
        </w:tc>
        <w:tc>
          <w:tcPr>
            <w:tcW w:type="dxa" w:w="4968"/>
            <w:vAlign w:val="center"/>
          </w:tcPr>
          <w:p>
            <w:r>
              <w:t>Final saved ML pipeline</w:t>
            </w:r>
          </w:p>
        </w:tc>
      </w:tr>
      <w:tr>
        <w:tc>
          <w:tcPr>
            <w:tcW w:type="dxa" w:w="4968"/>
            <w:vAlign w:val="center"/>
          </w:tcPr>
          <w:p>
            <w:r>
              <w:t>current_customer_churn_scores_2026-07-01.csv</w:t>
            </w:r>
          </w:p>
        </w:tc>
        <w:tc>
          <w:tcPr>
            <w:tcW w:type="dxa" w:w="4968"/>
            <w:vAlign w:val="center"/>
          </w:tcPr>
          <w:p>
            <w:r>
              <w:t>Current active-customer risk scores</w:t>
            </w:r>
          </w:p>
        </w:tc>
      </w:tr>
      <w:tr>
        <w:tc>
          <w:tcPr>
            <w:tcW w:type="dxa" w:w="4968"/>
            <w:vAlign w:val="center"/>
          </w:tcPr>
          <w:p>
            <w:r>
              <w:t>api/app.py</w:t>
            </w:r>
          </w:p>
        </w:tc>
        <w:tc>
          <w:tcPr>
            <w:tcW w:type="dxa" w:w="4968"/>
            <w:vAlign w:val="center"/>
          </w:tcPr>
          <w:p>
            <w:r>
              <w:t>FastAPI deployment</w:t>
            </w:r>
          </w:p>
        </w:tc>
      </w:tr>
      <w:tr>
        <w:tc>
          <w:tcPr>
            <w:tcW w:type="dxa" w:w="4968"/>
            <w:vAlign w:val="center"/>
          </w:tcPr>
          <w:p>
            <w:r>
              <w:t>api/api_demo_example.json</w:t>
            </w:r>
          </w:p>
        </w:tc>
        <w:tc>
          <w:tcPr>
            <w:tcW w:type="dxa" w:w="4968"/>
            <w:vAlign w:val="center"/>
          </w:tcPr>
          <w:p>
            <w:r>
              <w:t>API demonstration payload/result</w:t>
            </w:r>
          </w:p>
        </w:tc>
      </w:tr>
    </w:tbl>
    <w:p/>
    <w:p>
      <w:pPr>
        <w:pStyle w:val="Heading1"/>
      </w:pPr>
      <w:r>
        <w:t>20. Rubric Coverage Summary</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Rubric area</w:t>
            </w:r>
          </w:p>
        </w:tc>
        <w:tc>
          <w:tcPr>
            <w:tcW w:type="dxa" w:w="4968"/>
            <w:shd w:fill="1F4E78"/>
          </w:tcPr>
          <w:p>
            <w:r>
              <w:rPr>
                <w:b/>
                <w:color w:val="FFFFFF"/>
              </w:rPr>
              <w:t>Evidence in project</w:t>
            </w:r>
          </w:p>
        </w:tc>
      </w:tr>
      <w:tr>
        <w:tc>
          <w:tcPr>
            <w:tcW w:type="dxa" w:w="4968"/>
            <w:vAlign w:val="center"/>
          </w:tcPr>
          <w:p>
            <w:r>
              <w:t>Business Understanding — 5</w:t>
            </w:r>
          </w:p>
        </w:tc>
        <w:tc>
          <w:tcPr>
            <w:tcW w:type="dxa" w:w="4968"/>
            <w:vAlign w:val="center"/>
          </w:tcPr>
          <w:p>
            <w:r>
              <w:t>Objectives, KPIs, business questions and recommendations</w:t>
            </w:r>
          </w:p>
        </w:tc>
      </w:tr>
      <w:tr>
        <w:tc>
          <w:tcPr>
            <w:tcW w:type="dxa" w:w="4968"/>
            <w:vAlign w:val="center"/>
          </w:tcPr>
          <w:p>
            <w:r>
              <w:t>Excel — 10</w:t>
            </w:r>
          </w:p>
        </w:tc>
        <w:tc>
          <w:tcPr>
            <w:tcW w:type="dxa" w:w="4968"/>
            <w:vAlign w:val="center"/>
          </w:tcPr>
          <w:p>
            <w:r>
              <w:t>Formula cleaning, PivotTables/PivotChart, descriptive statistics, quality log</w:t>
            </w:r>
          </w:p>
        </w:tc>
      </w:tr>
      <w:tr>
        <w:tc>
          <w:tcPr>
            <w:tcW w:type="dxa" w:w="4968"/>
            <w:vAlign w:val="center"/>
          </w:tcPr>
          <w:p>
            <w:r>
              <w:t>SQL — 12</w:t>
            </w:r>
          </w:p>
        </w:tc>
        <w:tc>
          <w:tcPr>
            <w:tcW w:type="dxa" w:w="4968"/>
            <w:vAlign w:val="center"/>
          </w:tcPr>
          <w:p>
            <w:r>
              <w:t>12 tasks, relational schema, constraints, safe modification, index/EXPLAIN</w:t>
            </w:r>
          </w:p>
        </w:tc>
      </w:tr>
      <w:tr>
        <w:tc>
          <w:tcPr>
            <w:tcW w:type="dxa" w:w="4968"/>
            <w:vAlign w:val="center"/>
          </w:tcPr>
          <w:p>
            <w:r>
              <w:t>Python — 8</w:t>
            </w:r>
          </w:p>
        </w:tc>
        <w:tc>
          <w:tcPr>
            <w:tcW w:type="dxa" w:w="4968"/>
            <w:vAlign w:val="center"/>
          </w:tcPr>
          <w:p>
            <w:r>
              <w:t>Functions, loops, conditionals, exceptions, comprehensions, lambda</w:t>
            </w:r>
          </w:p>
        </w:tc>
      </w:tr>
      <w:tr>
        <w:tc>
          <w:tcPr>
            <w:tcW w:type="dxa" w:w="4968"/>
            <w:vAlign w:val="center"/>
          </w:tcPr>
          <w:p>
            <w:r>
              <w:t>NumPy &amp; Pandas — 8</w:t>
            </w:r>
          </w:p>
        </w:tc>
        <w:tc>
          <w:tcPr>
            <w:tcW w:type="dxa" w:w="4968"/>
            <w:vAlign w:val="center"/>
          </w:tcPr>
          <w:p>
            <w:r>
              <w:t>Vectorisation, merge, groupby, pivot and dataframe processing</w:t>
            </w:r>
          </w:p>
        </w:tc>
      </w:tr>
      <w:tr>
        <w:tc>
          <w:tcPr>
            <w:tcW w:type="dxa" w:w="4968"/>
            <w:vAlign w:val="center"/>
          </w:tcPr>
          <w:p>
            <w:r>
              <w:t>Cleaning — 10</w:t>
            </w:r>
          </w:p>
        </w:tc>
        <w:tc>
          <w:tcPr>
            <w:tcW w:type="dxa" w:w="4968"/>
            <w:vAlign w:val="center"/>
          </w:tcPr>
          <w:p>
            <w:r>
              <w:t>Missing data, duplicates, outliers, categories, dtypes and transformations</w:t>
            </w:r>
          </w:p>
        </w:tc>
      </w:tr>
      <w:tr>
        <w:tc>
          <w:tcPr>
            <w:tcW w:type="dxa" w:w="4968"/>
            <w:vAlign w:val="center"/>
          </w:tcPr>
          <w:p>
            <w:r>
              <w:t>EDA &amp; Visualization — 10</w:t>
            </w:r>
          </w:p>
        </w:tc>
        <w:tc>
          <w:tcPr>
            <w:tcW w:type="dxa" w:w="4968"/>
            <w:vAlign w:val="center"/>
          </w:tcPr>
          <w:p>
            <w:r>
              <w:t>Churn segmentation, RFM, support analysis, statistical tests and charts</w:t>
            </w:r>
          </w:p>
        </w:tc>
      </w:tr>
      <w:tr>
        <w:tc>
          <w:tcPr>
            <w:tcW w:type="dxa" w:w="4968"/>
            <w:vAlign w:val="center"/>
          </w:tcPr>
          <w:p>
            <w:r>
              <w:t>Machine Learning — 18</w:t>
            </w:r>
          </w:p>
        </w:tc>
        <w:tc>
          <w:tcPr>
            <w:tcW w:type="dxa" w:w="4968"/>
            <w:vAlign w:val="center"/>
          </w:tcPr>
          <w:p>
            <w:r>
              <w:t>Leakage-safe target, chronological split, baseline, multiple models, tuning and final model</w:t>
            </w:r>
          </w:p>
        </w:tc>
      </w:tr>
      <w:tr>
        <w:tc>
          <w:tcPr>
            <w:tcW w:type="dxa" w:w="4968"/>
            <w:vAlign w:val="center"/>
          </w:tcPr>
          <w:p>
            <w:r>
              <w:t>Interpretation — 4</w:t>
            </w:r>
          </w:p>
        </w:tc>
        <w:tc>
          <w:tcPr>
            <w:tcW w:type="dxa" w:w="4968"/>
            <w:vAlign w:val="center"/>
          </w:tcPr>
          <w:p>
            <w:r>
              <w:t>Feature/permutation importance, limitations and FP/FN consequences</w:t>
            </w:r>
          </w:p>
        </w:tc>
      </w:tr>
      <w:tr>
        <w:tc>
          <w:tcPr>
            <w:tcW w:type="dxa" w:w="4968"/>
            <w:vAlign w:val="center"/>
          </w:tcPr>
          <w:p>
            <w:r>
              <w:t>Deployment/API — 5</w:t>
            </w:r>
          </w:p>
        </w:tc>
        <w:tc>
          <w:tcPr>
            <w:tcW w:type="dxa" w:w="4968"/>
            <w:vAlign w:val="center"/>
          </w:tcPr>
          <w:p>
            <w:r>
              <w:t>Saved model, FastAPI POST /predict, validation and demo</w:t>
            </w:r>
          </w:p>
        </w:tc>
      </w:tr>
      <w:tr>
        <w:tc>
          <w:tcPr>
            <w:tcW w:type="dxa" w:w="4968"/>
            <w:vAlign w:val="center"/>
          </w:tcPr>
          <w:p>
            <w:r>
              <w:t>Documentation — 5</w:t>
            </w:r>
          </w:p>
        </w:tc>
        <w:tc>
          <w:tcPr>
            <w:tcW w:type="dxa" w:w="4968"/>
            <w:vAlign w:val="center"/>
          </w:tcPr>
          <w:p>
            <w:r>
              <w:t>Technical report and project artifacts</w:t>
            </w:r>
          </w:p>
        </w:tc>
      </w:tr>
      <w:tr>
        <w:tc>
          <w:tcPr>
            <w:tcW w:type="dxa" w:w="4968"/>
            <w:vAlign w:val="center"/>
          </w:tcPr>
          <w:p>
            <w:r>
              <w:t>Presentation — 5</w:t>
            </w:r>
          </w:p>
        </w:tc>
        <w:tc>
          <w:tcPr>
            <w:tcW w:type="dxa" w:w="4968"/>
            <w:vAlign w:val="center"/>
          </w:tcPr>
          <w:p>
            <w:r>
              <w:t>Report provides the evidence base for the required 10–15 slide presentation</w:t>
            </w:r>
          </w:p>
        </w:tc>
      </w:tr>
    </w:tbl>
    <w:p/>
    <w:p>
      <w:pPr>
        <w:pStyle w:val="Heading1"/>
      </w:pPr>
      <w:r>
        <w:t>Appendix A — Key Model-Selection Reasoning</w:t>
      </w:r>
    </w:p>
    <w:p>
      <w:r>
        <w:t>The project distinguishes descriptive churn measurement from future-churn prediction. The 1 July 2026 snapshot answers who is currently inactive under the project definition, while the ML target asks whether a customer will have no completed order during the following 180 days. This separation is important for avoiding target leakage and for making the model operationally meaningful.</w:t>
      </w:r>
    </w:p>
    <w:p>
      <w:r>
        <w:t>The final threshold of 0.50 was retained as the standard classification threshold for the deployed demonstration. Threshold analysis showed that increasing the threshold improves precision but reduces recall, while lowering it captures more potential churners at the cost of substantially more false positives. A production threshold should ultimately be selected using Meridian's actual intervention capacity and the relative costs of false positives and false negatives.</w:t>
      </w:r>
    </w:p>
    <w:p>
      <w:pPr>
        <w:pStyle w:val="Heading1"/>
      </w:pPr>
      <w:r>
        <w:t>Appendix B — Final Submission Note</w:t>
      </w:r>
    </w:p>
    <w:p>
      <w:r>
        <w:t>This report is intentionally conservative where an artifact did not provide independently verifiable numerical evidence. In particular, PivotTable cached values and individual SQL query result tables were not reconstructed as unsupported numbers. The analytical conclusions reported here are based on verified project outputs and the governing Phase 6/Phase 7–9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Meridian Retail Group — Final Technical Report | PORA Tech Academy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