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NutriClass</w:t>
      </w:r>
    </w:p>
    <w:p>
      <w:pPr>
        <w:jc w:val="center"/>
      </w:pPr>
      <w:r>
        <w:rPr>
          <w:rFonts w:ascii="Aptos Display" w:hAnsi="Aptos Display"/>
          <w:b/>
          <w:sz w:val="38"/>
        </w:rPr>
        <w:t>Food Classification Using Nutritional Data</w:t>
      </w:r>
    </w:p>
    <w:p>
      <w:pPr>
        <w:jc w:val="center"/>
      </w:pPr>
      <w:r>
        <w:rPr>
          <w:i/>
          <w:sz w:val="28"/>
        </w:rPr>
        <w:t>Final Project Report</w:t>
      </w:r>
    </w:p>
    <w:p/>
    <w:p/>
    <w:p/>
    <w:p>
      <w:pPr>
        <w:jc w:val="center"/>
      </w:pPr>
      <w:r>
        <w:rPr>
          <w:sz w:val="24"/>
        </w:rPr>
        <w:t>Domain: Food &amp; Nutrition / Machine Learning</w:t>
      </w:r>
    </w:p>
    <w:p>
      <w:pPr>
        <w:jc w:val="center"/>
      </w:pPr>
      <w:r>
        <w:rPr>
          <w:sz w:val="22"/>
        </w:rPr>
        <w:t>Skills: Data Preprocessing • Feature Engineering • Multi-class Classification • Evaluation Metrics</w:t>
      </w:r>
    </w:p>
    <w:p/>
    <w:p/>
    <w:p/>
    <w:p/>
    <w:p/>
    <w:p>
      <w:pPr>
        <w:jc w:val="center"/>
      </w:pPr>
      <w:r>
        <w:rPr>
          <w:sz w:val="18"/>
        </w:rPr>
        <w:t>Prepared from the finalized NutriClass notebook and project specification</w:t>
      </w:r>
    </w:p>
    <w:p>
      <w:r>
        <w:br w:type="page"/>
      </w:r>
    </w:p>
    <w:p>
      <w:pPr>
        <w:pStyle w:val="Heading1"/>
      </w:pPr>
      <w:r>
        <w:t>1. Executive Summary</w:t>
      </w:r>
    </w:p>
    <w:p>
      <w:r>
        <w:t>NutriClass is a multi-class machine learning system that classifies a food profile into one of ten predefined food categories using nutritional, dietary, meal, and preparation attributes. The project follows an end-to-end workflow covering data understanding, exploratory data analysis, data cleaning, outlier treatment, preprocessing, feature selection, model benchmarking, cross-validation, interpretability, and prediction.</w:t>
      </w:r>
    </w:p>
    <w:p>
      <w:r>
        <w:t>The raw dataset contained 31,700 records and 16 columns. After removing records with completely missing nutritional inputs and duplicate rows, 31,260 records remained. The final modelling workflow used an 80/20 stratified split, training-only IQR bounds for outlier capping, StandardScaler for numerical variables, OneHotEncoder for categorical variables, and a Gradient Boosting classifier.</w:t>
      </w:r>
    </w:p>
    <w:p>
      <w:r>
        <w:t>Seven required classifiers were benchmarked. The final Gradient Boosting model with outlier capping achieved 99.50% accuracy and 99.52% Macro F1 on the 6,252-record holdout set. Five-fold stratified cross-validation produced a mean Macro F1 of 99.5361% with a standard deviation of 0.0886 percentage points, indicating stable performance.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sz w:val="18"/>
              </w:rPr>
              <w:t>Final measure</w:t>
            </w:r>
          </w:p>
        </w:tc>
        <w:tc>
          <w:tcPr>
            <w:tcW w:type="dxa" w:w="5040"/>
            <w:shd w:fill="1F4E78"/>
          </w:tcPr>
          <w:p>
            <w:r>
              <w:rPr>
                <w:b/>
                <w:color w:val="FFFFFF"/>
                <w:sz w:val="18"/>
              </w:rPr>
              <w:t>Result</w:t>
            </w:r>
          </w:p>
        </w:tc>
      </w:tr>
      <w:tr>
        <w:tc>
          <w:tcPr>
            <w:tcW w:type="dxa" w:w="5040"/>
            <w:vAlign w:val="center"/>
            <w:shd w:fill="F2F6FA"/>
          </w:tcPr>
          <w:p>
            <w:r>
              <w:rPr>
                <w:sz w:val="18"/>
              </w:rPr>
              <w:t>Clean records</w:t>
            </w:r>
          </w:p>
        </w:tc>
        <w:tc>
          <w:tcPr>
            <w:tcW w:type="dxa" w:w="5040"/>
            <w:vAlign w:val="center"/>
            <w:shd w:fill="F2F6FA"/>
          </w:tcPr>
          <w:p>
            <w:r>
              <w:rPr>
                <w:sz w:val="18"/>
              </w:rPr>
              <w:t>31,260</w:t>
            </w:r>
          </w:p>
        </w:tc>
      </w:tr>
      <w:tr>
        <w:tc>
          <w:tcPr>
            <w:tcW w:type="dxa" w:w="5040"/>
            <w:vAlign w:val="center"/>
          </w:tcPr>
          <w:p>
            <w:r>
              <w:rPr>
                <w:sz w:val="18"/>
              </w:rPr>
              <w:t>Final test records</w:t>
            </w:r>
          </w:p>
        </w:tc>
        <w:tc>
          <w:tcPr>
            <w:tcW w:type="dxa" w:w="5040"/>
            <w:vAlign w:val="center"/>
          </w:tcPr>
          <w:p>
            <w:r>
              <w:rPr>
                <w:sz w:val="18"/>
              </w:rPr>
              <w:t>6,252</w:t>
            </w:r>
          </w:p>
        </w:tc>
      </w:tr>
      <w:tr>
        <w:tc>
          <w:tcPr>
            <w:tcW w:type="dxa" w:w="5040"/>
            <w:vAlign w:val="center"/>
            <w:shd w:fill="F2F6FA"/>
          </w:tcPr>
          <w:p>
            <w:r>
              <w:rPr>
                <w:sz w:val="18"/>
              </w:rPr>
              <w:t>Final model</w:t>
            </w:r>
          </w:p>
        </w:tc>
        <w:tc>
          <w:tcPr>
            <w:tcW w:type="dxa" w:w="5040"/>
            <w:vAlign w:val="center"/>
            <w:shd w:fill="F2F6FA"/>
          </w:tcPr>
          <w:p>
            <w:r>
              <w:rPr>
                <w:sz w:val="18"/>
              </w:rPr>
              <w:t>Gradient Boosting + IQR capping</w:t>
            </w:r>
          </w:p>
        </w:tc>
      </w:tr>
      <w:tr>
        <w:tc>
          <w:tcPr>
            <w:tcW w:type="dxa" w:w="5040"/>
            <w:vAlign w:val="center"/>
          </w:tcPr>
          <w:p>
            <w:r>
              <w:rPr>
                <w:sz w:val="18"/>
              </w:rPr>
              <w:t>Holdout Accuracy</w:t>
            </w:r>
          </w:p>
        </w:tc>
        <w:tc>
          <w:tcPr>
            <w:tcW w:type="dxa" w:w="5040"/>
            <w:vAlign w:val="center"/>
          </w:tcPr>
          <w:p>
            <w:r>
              <w:rPr>
                <w:sz w:val="18"/>
              </w:rPr>
              <w:t>99.50%</w:t>
            </w:r>
          </w:p>
        </w:tc>
      </w:tr>
      <w:tr>
        <w:tc>
          <w:tcPr>
            <w:tcW w:type="dxa" w:w="5040"/>
            <w:vAlign w:val="center"/>
            <w:shd w:fill="F2F6FA"/>
          </w:tcPr>
          <w:p>
            <w:r>
              <w:rPr>
                <w:sz w:val="18"/>
              </w:rPr>
              <w:t>Holdout Macro F1</w:t>
            </w:r>
          </w:p>
        </w:tc>
        <w:tc>
          <w:tcPr>
            <w:tcW w:type="dxa" w:w="5040"/>
            <w:vAlign w:val="center"/>
            <w:shd w:fill="F2F6FA"/>
          </w:tcPr>
          <w:p>
            <w:r>
              <w:rPr>
                <w:sz w:val="18"/>
              </w:rPr>
              <w:t>99.52%</w:t>
            </w:r>
          </w:p>
        </w:tc>
      </w:tr>
      <w:tr>
        <w:tc>
          <w:tcPr>
            <w:tcW w:type="dxa" w:w="5040"/>
            <w:vAlign w:val="center"/>
          </w:tcPr>
          <w:p>
            <w:r>
              <w:rPr>
                <w:sz w:val="18"/>
              </w:rPr>
              <w:t>5-fold CV Mean Macro F1</w:t>
            </w:r>
          </w:p>
        </w:tc>
        <w:tc>
          <w:tcPr>
            <w:tcW w:type="dxa" w:w="5040"/>
            <w:vAlign w:val="center"/>
          </w:tcPr>
          <w:p>
            <w:r>
              <w:rPr>
                <w:sz w:val="18"/>
              </w:rPr>
              <w:t>99.54%</w:t>
            </w:r>
          </w:p>
        </w:tc>
      </w:tr>
      <w:tr>
        <w:tc>
          <w:tcPr>
            <w:tcW w:type="dxa" w:w="5040"/>
            <w:vAlign w:val="center"/>
            <w:shd w:fill="F2F6FA"/>
          </w:tcPr>
          <w:p>
            <w:r>
              <w:rPr>
                <w:sz w:val="18"/>
              </w:rPr>
              <w:t>5-fold CV Std. Dev.</w:t>
            </w:r>
          </w:p>
        </w:tc>
        <w:tc>
          <w:tcPr>
            <w:tcW w:type="dxa" w:w="5040"/>
            <w:vAlign w:val="center"/>
            <w:shd w:fill="F2F6FA"/>
          </w:tcPr>
          <w:p>
            <w:r>
              <w:rPr>
                <w:sz w:val="18"/>
              </w:rPr>
              <w:t>0.09 percentage points</w:t>
            </w:r>
          </w:p>
        </w:tc>
      </w:tr>
      <w:tr>
        <w:tc>
          <w:tcPr>
            <w:tcW w:type="dxa" w:w="5040"/>
            <w:vAlign w:val="center"/>
          </w:tcPr>
          <w:p>
            <w:r>
              <w:rPr>
                <w:sz w:val="18"/>
              </w:rPr>
              <w:t>Misclassifications</w:t>
            </w:r>
          </w:p>
        </w:tc>
        <w:tc>
          <w:tcPr>
            <w:tcW w:type="dxa" w:w="5040"/>
            <w:vAlign w:val="center"/>
          </w:tcPr>
          <w:p>
            <w:r>
              <w:rPr>
                <w:sz w:val="18"/>
              </w:rPr>
              <w:t>31</w:t>
            </w:r>
          </w:p>
        </w:tc>
      </w:tr>
    </w:tbl>
    <w:p/>
    <w:p>
      <w:pPr>
        <w:pStyle w:val="Heading1"/>
      </w:pPr>
      <w:r>
        <w:t>2. Problem Statement and Objective</w:t>
      </w:r>
    </w:p>
    <w:p>
      <w:r>
        <w:t>Increasing dietary awareness creates a need for automated food-classification capabilities. NutriClass aims to learn the relationship between nutritional profiles and predefined food categories so that a new structured profile can be classified automatically.</w:t>
      </w:r>
    </w:p>
    <w:p>
      <w:r>
        <w:t>The target variable is Food_Name. Nutritional metrics and related categorical or Boolean attributes are treated as predictors. This framing follows the assigned project requirement to predict one precise food category rather than building a separate recommendation or optimization engine.</w:t>
      </w:r>
    </w:p>
    <w:p>
      <w:pPr>
        <w:pStyle w:val="Heading2"/>
      </w:pPr>
      <w:r>
        <w:t>2.1 Business Use Cases</w:t>
      </w:r>
    </w:p>
    <w:p>
      <w:pPr>
        <w:pStyle w:val="ListBullet"/>
        <w:ind w:left="0"/>
      </w:pPr>
      <w:r>
        <w:t>Smart dietary applications: classify structured food profiles within nutrition-oriented workflows.</w:t>
      </w:r>
    </w:p>
    <w:p>
      <w:pPr>
        <w:pStyle w:val="ListBullet"/>
        <w:ind w:left="0"/>
      </w:pPr>
      <w:r>
        <w:t>Health monitoring tools: support nutritionists and diet-planning workflows with automated classification.</w:t>
      </w:r>
    </w:p>
    <w:p>
      <w:pPr>
        <w:pStyle w:val="ListBullet"/>
        <w:ind w:left="0"/>
      </w:pPr>
      <w:r>
        <w:t>Food logging systems: classify user-entered food profiles for tracking applications.</w:t>
      </w:r>
    </w:p>
    <w:p>
      <w:pPr>
        <w:pStyle w:val="ListBullet"/>
        <w:ind w:left="0"/>
      </w:pPr>
      <w:r>
        <w:t>Educational platforms: demonstrate relationships between nutritional attributes and food categories.</w:t>
      </w:r>
    </w:p>
    <w:p>
      <w:pPr>
        <w:pStyle w:val="ListBullet"/>
        <w:ind w:left="0"/>
      </w:pPr>
      <w:r>
        <w:t>Grocery and meal-planning applications: provide a classification layer that can support same-category replacement workflows.</w:t>
      </w:r>
    </w:p>
    <w:p>
      <w:pPr>
        <w:pStyle w:val="Heading2"/>
      </w:pPr>
      <w:r>
        <w:t>2.2 Scope Clarification</w:t>
      </w:r>
    </w:p>
    <w:p>
      <w:r>
        <w:t>The implemented system is a classifier. It predicts the most likely predefined food category from a supplied profile. It does not independently solve a constrained meal-planning or recommendation optimization problem; such a layer could be added later on top of the classifier.</w:t>
      </w:r>
    </w:p>
    <w:p>
      <w:pPr>
        <w:pStyle w:val="Heading1"/>
      </w:pPr>
      <w:r>
        <w:t>3. Dataset Description</w:t>
      </w:r>
    </w:p>
    <w:p>
      <w:r>
        <w:t>The project dataset is a synthetic tabular food dataset with 31,700 records and 16 columns.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sz w:val="18"/>
              </w:rPr>
              <w:t>Feature group</w:t>
            </w:r>
          </w:p>
        </w:tc>
        <w:tc>
          <w:tcPr>
            <w:tcW w:type="dxa" w:w="5040"/>
            <w:shd w:fill="1F4E78"/>
          </w:tcPr>
          <w:p>
            <w:r>
              <w:rPr>
                <w:b/>
                <w:color w:val="FFFFFF"/>
                <w:sz w:val="18"/>
              </w:rPr>
              <w:t>Columns</w:t>
            </w:r>
          </w:p>
        </w:tc>
      </w:tr>
      <w:tr>
        <w:tc>
          <w:tcPr>
            <w:tcW w:type="dxa" w:w="5040"/>
            <w:vAlign w:val="center"/>
            <w:shd w:fill="F2F6FA"/>
          </w:tcPr>
          <w:p>
            <w:r>
              <w:rPr>
                <w:sz w:val="18"/>
              </w:rPr>
              <w:t>Numerical</w:t>
            </w:r>
          </w:p>
        </w:tc>
        <w:tc>
          <w:tcPr>
            <w:tcW w:type="dxa" w:w="5040"/>
            <w:vAlign w:val="center"/>
            <w:shd w:fill="F2F6FA"/>
          </w:tcPr>
          <w:p>
            <w:r>
              <w:rPr>
                <w:sz w:val="18"/>
              </w:rPr>
              <w:t>Calories, Protein, Fat, Carbs, Sugar, Fiber, Sodium, Cholesterol, Glycemic_Index, Water_Content, Serving_Size</w:t>
            </w:r>
          </w:p>
        </w:tc>
      </w:tr>
      <w:tr>
        <w:tc>
          <w:tcPr>
            <w:tcW w:type="dxa" w:w="5040"/>
            <w:vAlign w:val="center"/>
          </w:tcPr>
          <w:p>
            <w:r>
              <w:rPr>
                <w:sz w:val="18"/>
              </w:rPr>
              <w:t>Categorical</w:t>
            </w:r>
          </w:p>
        </w:tc>
        <w:tc>
          <w:tcPr>
            <w:tcW w:type="dxa" w:w="5040"/>
            <w:vAlign w:val="center"/>
          </w:tcPr>
          <w:p>
            <w:r>
              <w:rPr>
                <w:sz w:val="18"/>
              </w:rPr>
              <w:t>Meal_Type, Preparation_Method</w:t>
            </w:r>
          </w:p>
        </w:tc>
      </w:tr>
      <w:tr>
        <w:tc>
          <w:tcPr>
            <w:tcW w:type="dxa" w:w="5040"/>
            <w:vAlign w:val="center"/>
            <w:shd w:fill="F2F6FA"/>
          </w:tcPr>
          <w:p>
            <w:r>
              <w:rPr>
                <w:sz w:val="18"/>
              </w:rPr>
              <w:t>Boolean</w:t>
            </w:r>
          </w:p>
        </w:tc>
        <w:tc>
          <w:tcPr>
            <w:tcW w:type="dxa" w:w="5040"/>
            <w:vAlign w:val="center"/>
            <w:shd w:fill="F2F6FA"/>
          </w:tcPr>
          <w:p>
            <w:r>
              <w:rPr>
                <w:sz w:val="18"/>
              </w:rPr>
              <w:t>Is_Vegan, Is_Gluten_Free</w:t>
            </w:r>
          </w:p>
        </w:tc>
      </w:tr>
      <w:tr>
        <w:tc>
          <w:tcPr>
            <w:tcW w:type="dxa" w:w="5040"/>
            <w:vAlign w:val="center"/>
          </w:tcPr>
          <w:p>
            <w:r>
              <w:rPr>
                <w:sz w:val="18"/>
              </w:rPr>
              <w:t>Target</w:t>
            </w:r>
          </w:p>
        </w:tc>
        <w:tc>
          <w:tcPr>
            <w:tcW w:type="dxa" w:w="5040"/>
            <w:vAlign w:val="center"/>
          </w:tcPr>
          <w:p>
            <w:r>
              <w:rPr>
                <w:sz w:val="18"/>
              </w:rPr>
              <w:t>Food_Name</w:t>
            </w:r>
          </w:p>
        </w:tc>
      </w:tr>
    </w:tbl>
    <w:p/>
    <w:p>
      <w:r>
        <w:t>The target contains ten food classes: Apple, Banana, Burger, Donut, Ice Cream, Pasta, Pizza, Salad, Steak, and Sushi.</w:t>
      </w:r>
    </w:p>
    <w:p>
      <w:pPr>
        <w:pStyle w:val="Heading1"/>
      </w:pPr>
      <w:r>
        <w:t>4. Data Understanding and Exploratory Data Analysis</w:t>
      </w:r>
    </w:p>
    <w:p>
      <w:r>
        <w:t>EDA focused on dataset size, data types, missingness, duplicates, target balance, categorical distributions, correlations, and class-level nutritional differences.</w:t>
      </w:r>
    </w:p>
    <w:p>
      <w:pPr>
        <w:jc w:val="center"/>
      </w:pPr>
      <w:r>
        <w:drawing>
          <wp:inline xmlns:a="http://schemas.openxmlformats.org/drawingml/2006/main" xmlns:pic="http://schemas.openxmlformats.org/drawingml/2006/picture">
            <wp:extent cx="5852160" cy="3491177"/>
            <wp:docPr id="1" name="Picture 1"/>
            <wp:cNvGraphicFramePr>
              <a:graphicFrameLocks noChangeAspect="1"/>
            </wp:cNvGraphicFramePr>
            <a:graphic>
              <a:graphicData uri="http://schemas.openxmlformats.org/drawingml/2006/picture">
                <pic:pic>
                  <pic:nvPicPr>
                    <pic:cNvPr id="0" name="cell_49_0.png"/>
                    <pic:cNvPicPr/>
                  </pic:nvPicPr>
                  <pic:blipFill>
                    <a:blip r:embed="rId9"/>
                    <a:stretch>
                      <a:fillRect/>
                    </a:stretch>
                  </pic:blipFill>
                  <pic:spPr>
                    <a:xfrm>
                      <a:off x="0" y="0"/>
                      <a:ext cx="5852160" cy="3491177"/>
                    </a:xfrm>
                    <a:prstGeom prst="rect"/>
                  </pic:spPr>
                </pic:pic>
              </a:graphicData>
            </a:graphic>
          </wp:inline>
        </w:drawing>
      </w:r>
    </w:p>
    <w:p>
      <w:pPr>
        <w:pStyle w:val="CaptionSmall"/>
        <w:jc w:val="center"/>
      </w:pPr>
      <w:r>
        <w:t>Figure 1. Food-class distribution. The target is imbalanced, with Pizza as the largest class and Salad as the smallest.</w:t>
      </w:r>
    </w:p>
    <w:p>
      <w:r>
        <w:t>The class distribution is uneven: Pizza has 6,000 records while Salad has 1,000. Because of this imbalance, model evaluation uses Macro F1 in addition to accuracy and weighted metrics.</w:t>
      </w:r>
    </w:p>
    <w:p>
      <w:pPr>
        <w:jc w:val="center"/>
      </w:pPr>
      <w:r>
        <w:drawing>
          <wp:inline xmlns:a="http://schemas.openxmlformats.org/drawingml/2006/main" xmlns:pic="http://schemas.openxmlformats.org/drawingml/2006/picture">
            <wp:extent cx="5120640" cy="3176093"/>
            <wp:docPr id="2" name="Picture 2"/>
            <wp:cNvGraphicFramePr>
              <a:graphicFrameLocks noChangeAspect="1"/>
            </wp:cNvGraphicFramePr>
            <a:graphic>
              <a:graphicData uri="http://schemas.openxmlformats.org/drawingml/2006/picture">
                <pic:pic>
                  <pic:nvPicPr>
                    <pic:cNvPr id="0" name="cell_53_0.png"/>
                    <pic:cNvPicPr/>
                  </pic:nvPicPr>
                  <pic:blipFill>
                    <a:blip r:embed="rId10"/>
                    <a:stretch>
                      <a:fillRect/>
                    </a:stretch>
                  </pic:blipFill>
                  <pic:spPr>
                    <a:xfrm>
                      <a:off x="0" y="0"/>
                      <a:ext cx="5120640" cy="3176093"/>
                    </a:xfrm>
                    <a:prstGeom prst="rect"/>
                  </pic:spPr>
                </pic:pic>
              </a:graphicData>
            </a:graphic>
          </wp:inline>
        </w:drawing>
      </w:r>
    </w:p>
    <w:p>
      <w:pPr>
        <w:pStyle w:val="CaptionSmall"/>
        <w:jc w:val="center"/>
      </w:pPr>
      <w:r>
        <w:t>Figure 2. Meal-type distribution. Breakfast, lunch, dinner, and snack are represented with broadly similar frequencies.</w:t>
      </w:r>
    </w:p>
    <w:p>
      <w:pPr>
        <w:jc w:val="center"/>
      </w:pPr>
      <w:r>
        <w:drawing>
          <wp:inline xmlns:a="http://schemas.openxmlformats.org/drawingml/2006/main" xmlns:pic="http://schemas.openxmlformats.org/drawingml/2006/picture">
            <wp:extent cx="5120640" cy="2537021"/>
            <wp:docPr id="3" name="Picture 3"/>
            <wp:cNvGraphicFramePr>
              <a:graphicFrameLocks noChangeAspect="1"/>
            </wp:cNvGraphicFramePr>
            <a:graphic>
              <a:graphicData uri="http://schemas.openxmlformats.org/drawingml/2006/picture">
                <pic:pic>
                  <pic:nvPicPr>
                    <pic:cNvPr id="0" name="cell_56_0.png"/>
                    <pic:cNvPicPr/>
                  </pic:nvPicPr>
                  <pic:blipFill>
                    <a:blip r:embed="rId11"/>
                    <a:stretch>
                      <a:fillRect/>
                    </a:stretch>
                  </pic:blipFill>
                  <pic:spPr>
                    <a:xfrm>
                      <a:off x="0" y="0"/>
                      <a:ext cx="5120640" cy="2537021"/>
                    </a:xfrm>
                    <a:prstGeom prst="rect"/>
                  </pic:spPr>
                </pic:pic>
              </a:graphicData>
            </a:graphic>
          </wp:inline>
        </w:drawing>
      </w:r>
    </w:p>
    <w:p>
      <w:pPr>
        <w:pStyle w:val="CaptionSmall"/>
        <w:jc w:val="center"/>
      </w:pPr>
      <w:r>
        <w:t>Figure 3. Preparation-method distribution. Baked, grilled, raw, and fried are broadly balanced.</w:t>
      </w:r>
    </w:p>
    <w:p>
      <w:pPr>
        <w:jc w:val="center"/>
      </w:pPr>
      <w:r>
        <w:drawing>
          <wp:inline xmlns:a="http://schemas.openxmlformats.org/drawingml/2006/main" xmlns:pic="http://schemas.openxmlformats.org/drawingml/2006/picture">
            <wp:extent cx="5669280" cy="2336373"/>
            <wp:docPr id="4" name="Picture 4"/>
            <wp:cNvGraphicFramePr>
              <a:graphicFrameLocks noChangeAspect="1"/>
            </wp:cNvGraphicFramePr>
            <a:graphic>
              <a:graphicData uri="http://schemas.openxmlformats.org/drawingml/2006/picture">
                <pic:pic>
                  <pic:nvPicPr>
                    <pic:cNvPr id="0" name="cell_59_0.png"/>
                    <pic:cNvPicPr/>
                  </pic:nvPicPr>
                  <pic:blipFill>
                    <a:blip r:embed="rId12"/>
                    <a:stretch>
                      <a:fillRect/>
                    </a:stretch>
                  </pic:blipFill>
                  <pic:spPr>
                    <a:xfrm>
                      <a:off x="0" y="0"/>
                      <a:ext cx="5669280" cy="2336373"/>
                    </a:xfrm>
                    <a:prstGeom prst="rect"/>
                  </pic:spPr>
                </pic:pic>
              </a:graphicData>
            </a:graphic>
          </wp:inline>
        </w:drawing>
      </w:r>
    </w:p>
    <w:p>
      <w:pPr>
        <w:pStyle w:val="CaptionSmall"/>
        <w:jc w:val="center"/>
      </w:pPr>
      <w:r>
        <w:t>Figure 4. Boolean feature distributions. Is_Vegan is strongly imbalanced; Is_Gluten_Free is more broadly distributed.</w:t>
      </w:r>
    </w:p>
    <w:p>
      <w:pPr>
        <w:jc w:val="center"/>
      </w:pPr>
      <w:r>
        <w:drawing>
          <wp:inline xmlns:a="http://schemas.openxmlformats.org/drawingml/2006/main" xmlns:pic="http://schemas.openxmlformats.org/drawingml/2006/picture">
            <wp:extent cx="5852160" cy="4222106"/>
            <wp:docPr id="5" name="Picture 5"/>
            <wp:cNvGraphicFramePr>
              <a:graphicFrameLocks noChangeAspect="1"/>
            </wp:cNvGraphicFramePr>
            <a:graphic>
              <a:graphicData uri="http://schemas.openxmlformats.org/drawingml/2006/picture">
                <pic:pic>
                  <pic:nvPicPr>
                    <pic:cNvPr id="0" name="cell_62_0.png"/>
                    <pic:cNvPicPr/>
                  </pic:nvPicPr>
                  <pic:blipFill>
                    <a:blip r:embed="rId13"/>
                    <a:stretch>
                      <a:fillRect/>
                    </a:stretch>
                  </pic:blipFill>
                  <pic:spPr>
                    <a:xfrm>
                      <a:off x="0" y="0"/>
                      <a:ext cx="5852160" cy="4222106"/>
                    </a:xfrm>
                    <a:prstGeom prst="rect"/>
                  </pic:spPr>
                </pic:pic>
              </a:graphicData>
            </a:graphic>
          </wp:inline>
        </w:drawing>
      </w:r>
    </w:p>
    <w:p>
      <w:pPr>
        <w:pStyle w:val="CaptionSmall"/>
        <w:jc w:val="center"/>
      </w:pPr>
      <w:r>
        <w:t>Figure 5. Correlation matrix of numerical nutritional variables. Strong relationships include Calories–Protein, Calories–Fat, Protein–Cholesterol, Fat–Cholesterol, and Carbs–Glycemic Index.</w:t>
      </w:r>
    </w:p>
    <w:p>
      <w:pPr>
        <w:jc w:val="center"/>
      </w:pPr>
      <w:r>
        <w:drawing>
          <wp:inline xmlns:a="http://schemas.openxmlformats.org/drawingml/2006/main" xmlns:pic="http://schemas.openxmlformats.org/drawingml/2006/picture">
            <wp:extent cx="5852160" cy="3491177"/>
            <wp:docPr id="6" name="Picture 6"/>
            <wp:cNvGraphicFramePr>
              <a:graphicFrameLocks noChangeAspect="1"/>
            </wp:cNvGraphicFramePr>
            <a:graphic>
              <a:graphicData uri="http://schemas.openxmlformats.org/drawingml/2006/picture">
                <pic:pic>
                  <pic:nvPicPr>
                    <pic:cNvPr id="0" name="cell_71_0.png"/>
                    <pic:cNvPicPr/>
                  </pic:nvPicPr>
                  <pic:blipFill>
                    <a:blip r:embed="rId14"/>
                    <a:stretch>
                      <a:fillRect/>
                    </a:stretch>
                  </pic:blipFill>
                  <pic:spPr>
                    <a:xfrm>
                      <a:off x="0" y="0"/>
                      <a:ext cx="5852160" cy="3491177"/>
                    </a:xfrm>
                    <a:prstGeom prst="rect"/>
                  </pic:spPr>
                </pic:pic>
              </a:graphicData>
            </a:graphic>
          </wp:inline>
        </w:drawing>
      </w:r>
    </w:p>
    <w:p>
      <w:pPr>
        <w:pStyle w:val="CaptionSmall"/>
        <w:jc w:val="center"/>
      </w:pPr>
      <w:r>
        <w:t>Figure 6. Protein distributions by food category.</w:t>
      </w:r>
    </w:p>
    <w:p>
      <w:pPr>
        <w:jc w:val="center"/>
      </w:pPr>
      <w:r>
        <w:drawing>
          <wp:inline xmlns:a="http://schemas.openxmlformats.org/drawingml/2006/main" xmlns:pic="http://schemas.openxmlformats.org/drawingml/2006/picture">
            <wp:extent cx="5852160" cy="3491177"/>
            <wp:docPr id="7" name="Picture 7"/>
            <wp:cNvGraphicFramePr>
              <a:graphicFrameLocks noChangeAspect="1"/>
            </wp:cNvGraphicFramePr>
            <a:graphic>
              <a:graphicData uri="http://schemas.openxmlformats.org/drawingml/2006/picture">
                <pic:pic>
                  <pic:nvPicPr>
                    <pic:cNvPr id="0" name="cell_74_0.png"/>
                    <pic:cNvPicPr/>
                  </pic:nvPicPr>
                  <pic:blipFill>
                    <a:blip r:embed="rId15"/>
                    <a:stretch>
                      <a:fillRect/>
                    </a:stretch>
                  </pic:blipFill>
                  <pic:spPr>
                    <a:xfrm>
                      <a:off x="0" y="0"/>
                      <a:ext cx="5852160" cy="3491177"/>
                    </a:xfrm>
                    <a:prstGeom prst="rect"/>
                  </pic:spPr>
                </pic:pic>
              </a:graphicData>
            </a:graphic>
          </wp:inline>
        </w:drawing>
      </w:r>
    </w:p>
    <w:p>
      <w:pPr>
        <w:pStyle w:val="CaptionSmall"/>
        <w:jc w:val="center"/>
      </w:pPr>
      <w:r>
        <w:t>Figure 7. Sugar distributions by food category.</w:t>
      </w:r>
    </w:p>
    <w:p>
      <w:pPr>
        <w:pStyle w:val="Heading1"/>
      </w:pPr>
      <w:r>
        <w:t>5. Data Cleaning and Preprocessing</w:t>
      </w:r>
    </w:p>
    <w:p>
      <w:pPr>
        <w:pStyle w:val="Heading2"/>
      </w:pPr>
      <w:r>
        <w:t>5.1 Missing Values</w:t>
      </w:r>
    </w:p>
    <w:p>
      <w:r>
        <w:t>Each of the 11 numerical nutritional variables contained 375 missing values (1.18%). The categorical, Boolean, and target columns had no missing values. The incomplete records had all numerical nutritional fields missing simultaneously. Because only 1.18% of records were affected and there was insufficient numerical information for reliable imputation, these records were removed.</w:t>
      </w:r>
    </w:p>
    <w:p>
      <w:pPr>
        <w:pStyle w:val="Heading2"/>
      </w:pPr>
      <w:r>
        <w:t>5.2 Duplicate Records</w:t>
      </w:r>
    </w:p>
    <w:p>
      <w:r>
        <w:t>The original dataset contained 313 duplicate rows. After the missing-record removal step, 65 additional exact duplicates remained and were removed. The resulting clean dataset contains 31,260 records.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sz w:val="18"/>
              </w:rPr>
              <w:t>Stage</w:t>
            </w:r>
          </w:p>
        </w:tc>
        <w:tc>
          <w:tcPr>
            <w:tcW w:type="dxa" w:w="3360"/>
            <w:shd w:fill="1F4E78"/>
          </w:tcPr>
          <w:p>
            <w:r>
              <w:rPr>
                <w:b/>
                <w:color w:val="FFFFFF"/>
                <w:sz w:val="18"/>
              </w:rPr>
              <w:t>Rows</w:t>
            </w:r>
          </w:p>
        </w:tc>
        <w:tc>
          <w:tcPr>
            <w:tcW w:type="dxa" w:w="3360"/>
            <w:shd w:fill="1F4E78"/>
          </w:tcPr>
          <w:p>
            <w:r>
              <w:rPr>
                <w:b/>
                <w:color w:val="FFFFFF"/>
                <w:sz w:val="18"/>
              </w:rPr>
              <w:t>Change</w:t>
            </w:r>
          </w:p>
        </w:tc>
      </w:tr>
      <w:tr>
        <w:tc>
          <w:tcPr>
            <w:tcW w:type="dxa" w:w="3360"/>
            <w:vAlign w:val="center"/>
            <w:shd w:fill="F2F6FA"/>
          </w:tcPr>
          <w:p>
            <w:r>
              <w:rPr>
                <w:sz w:val="18"/>
              </w:rPr>
              <w:t>Original</w:t>
            </w:r>
          </w:p>
        </w:tc>
        <w:tc>
          <w:tcPr>
            <w:tcW w:type="dxa" w:w="3360"/>
            <w:vAlign w:val="center"/>
            <w:shd w:fill="F2F6FA"/>
          </w:tcPr>
          <w:p>
            <w:r>
              <w:rPr>
                <w:sz w:val="18"/>
              </w:rPr>
              <w:t>31,700</w:t>
            </w:r>
          </w:p>
        </w:tc>
        <w:tc>
          <w:tcPr>
            <w:tcW w:type="dxa" w:w="3360"/>
            <w:vAlign w:val="center"/>
            <w:shd w:fill="F2F6FA"/>
          </w:tcPr>
          <w:p>
            <w:r>
              <w:rPr>
                <w:sz w:val="18"/>
              </w:rPr>
              <w:t>—</w:t>
            </w:r>
          </w:p>
        </w:tc>
      </w:tr>
      <w:tr>
        <w:tc>
          <w:tcPr>
            <w:tcW w:type="dxa" w:w="3360"/>
            <w:vAlign w:val="center"/>
          </w:tcPr>
          <w:p>
            <w:r>
              <w:rPr>
                <w:sz w:val="18"/>
              </w:rPr>
              <w:t>After missing-value removal</w:t>
            </w:r>
          </w:p>
        </w:tc>
        <w:tc>
          <w:tcPr>
            <w:tcW w:type="dxa" w:w="3360"/>
            <w:vAlign w:val="center"/>
          </w:tcPr>
          <w:p>
            <w:r>
              <w:rPr>
                <w:sz w:val="18"/>
              </w:rPr>
              <w:t>31,325</w:t>
            </w:r>
          </w:p>
        </w:tc>
        <w:tc>
          <w:tcPr>
            <w:tcW w:type="dxa" w:w="3360"/>
            <w:vAlign w:val="center"/>
          </w:tcPr>
          <w:p>
            <w:r>
              <w:rPr>
                <w:sz w:val="18"/>
              </w:rPr>
              <w:t>-375</w:t>
            </w:r>
          </w:p>
        </w:tc>
      </w:tr>
      <w:tr>
        <w:tc>
          <w:tcPr>
            <w:tcW w:type="dxa" w:w="3360"/>
            <w:vAlign w:val="center"/>
            <w:shd w:fill="F2F6FA"/>
          </w:tcPr>
          <w:p>
            <w:r>
              <w:rPr>
                <w:sz w:val="18"/>
              </w:rPr>
              <w:t>After duplicate removal</w:t>
            </w:r>
          </w:p>
        </w:tc>
        <w:tc>
          <w:tcPr>
            <w:tcW w:type="dxa" w:w="3360"/>
            <w:vAlign w:val="center"/>
            <w:shd w:fill="F2F6FA"/>
          </w:tcPr>
          <w:p>
            <w:r>
              <w:rPr>
                <w:sz w:val="18"/>
              </w:rPr>
              <w:t>31,260</w:t>
            </w:r>
          </w:p>
        </w:tc>
        <w:tc>
          <w:tcPr>
            <w:tcW w:type="dxa" w:w="3360"/>
            <w:vAlign w:val="center"/>
            <w:shd w:fill="F2F6FA"/>
          </w:tcPr>
          <w:p>
            <w:r>
              <w:rPr>
                <w:sz w:val="18"/>
              </w:rPr>
              <w:t>-65 from the post-missing dataset</w:t>
            </w:r>
          </w:p>
        </w:tc>
      </w:tr>
    </w:tbl>
    <w:p/>
    <w:p>
      <w:pPr>
        <w:pStyle w:val="Heading2"/>
      </w:pPr>
      <w:r>
        <w:t>5.3 Outlier Detection and Treatment</w:t>
      </w:r>
    </w:p>
    <w:p>
      <w:r>
        <w:t>Outliers were initially identified using the IQR method. Global IQR counts were high for several variables because food categories naturally occupy different nutritional ranges. Class-wise analysis showed that many flagged observations were plausible within their food categories.</w:t>
      </w:r>
    </w:p>
    <w:p>
      <w:r>
        <w:t>For the final modelling refinement, IQR capping was applied instead of deletion. Lower and upper bounds were calculated from the training data only, then applied to both training and test sets. This prevented test-set information from influencing preprocessing while preserving all observations.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sz w:val="18"/>
              </w:rPr>
              <w:t>Feature</w:t>
            </w:r>
          </w:p>
        </w:tc>
        <w:tc>
          <w:tcPr>
            <w:tcW w:type="dxa" w:w="3360"/>
            <w:shd w:fill="1F4E78"/>
          </w:tcPr>
          <w:p>
            <w:r>
              <w:rPr>
                <w:b/>
                <w:color w:val="FFFFFF"/>
                <w:sz w:val="18"/>
              </w:rPr>
              <w:t>Before max</w:t>
            </w:r>
          </w:p>
        </w:tc>
        <w:tc>
          <w:tcPr>
            <w:tcW w:type="dxa" w:w="3360"/>
            <w:shd w:fill="1F4E78"/>
          </w:tcPr>
          <w:p>
            <w:r>
              <w:rPr>
                <w:b/>
                <w:color w:val="FFFFFF"/>
                <w:sz w:val="18"/>
              </w:rPr>
              <w:t>After cap max</w:t>
            </w:r>
          </w:p>
        </w:tc>
      </w:tr>
      <w:tr>
        <w:tc>
          <w:tcPr>
            <w:tcW w:type="dxa" w:w="3360"/>
            <w:vAlign w:val="center"/>
            <w:shd w:fill="F2F6FA"/>
          </w:tcPr>
          <w:p>
            <w:r>
              <w:rPr>
                <w:sz w:val="18"/>
              </w:rPr>
              <w:t>Calories</w:t>
            </w:r>
          </w:p>
        </w:tc>
        <w:tc>
          <w:tcPr>
            <w:tcW w:type="dxa" w:w="3360"/>
            <w:vAlign w:val="center"/>
            <w:shd w:fill="F2F6FA"/>
          </w:tcPr>
          <w:p>
            <w:r>
              <w:rPr>
                <w:sz w:val="18"/>
              </w:rPr>
              <w:t>1289.96</w:t>
            </w:r>
          </w:p>
        </w:tc>
        <w:tc>
          <w:tcPr>
            <w:tcW w:type="dxa" w:w="3360"/>
            <w:vAlign w:val="center"/>
            <w:shd w:fill="F2F6FA"/>
          </w:tcPr>
          <w:p>
            <w:r>
              <w:rPr>
                <w:sz w:val="18"/>
              </w:rPr>
              <w:t>508.33</w:t>
            </w:r>
          </w:p>
        </w:tc>
      </w:tr>
      <w:tr>
        <w:tc>
          <w:tcPr>
            <w:tcW w:type="dxa" w:w="3360"/>
            <w:vAlign w:val="center"/>
          </w:tcPr>
          <w:p>
            <w:r>
              <w:rPr>
                <w:sz w:val="18"/>
              </w:rPr>
              <w:t>Protein</w:t>
            </w:r>
          </w:p>
        </w:tc>
        <w:tc>
          <w:tcPr>
            <w:tcW w:type="dxa" w:w="3360"/>
            <w:vAlign w:val="center"/>
          </w:tcPr>
          <w:p>
            <w:r>
              <w:rPr>
                <w:sz w:val="18"/>
              </w:rPr>
              <w:t>81.76</w:t>
            </w:r>
          </w:p>
        </w:tc>
        <w:tc>
          <w:tcPr>
            <w:tcW w:type="dxa" w:w="3360"/>
            <w:vAlign w:val="center"/>
          </w:tcPr>
          <w:p>
            <w:r>
              <w:rPr>
                <w:sz w:val="18"/>
              </w:rPr>
              <w:t>25.90</w:t>
            </w:r>
          </w:p>
        </w:tc>
      </w:tr>
      <w:tr>
        <w:tc>
          <w:tcPr>
            <w:tcW w:type="dxa" w:w="3360"/>
            <w:vAlign w:val="center"/>
            <w:shd w:fill="F2F6FA"/>
          </w:tcPr>
          <w:p>
            <w:r>
              <w:rPr>
                <w:sz w:val="18"/>
              </w:rPr>
              <w:t>Fat</w:t>
            </w:r>
          </w:p>
        </w:tc>
        <w:tc>
          <w:tcPr>
            <w:tcW w:type="dxa" w:w="3360"/>
            <w:vAlign w:val="center"/>
            <w:shd w:fill="F2F6FA"/>
          </w:tcPr>
          <w:p>
            <w:r>
              <w:rPr>
                <w:sz w:val="18"/>
              </w:rPr>
              <w:t>88.62</w:t>
            </w:r>
          </w:p>
        </w:tc>
        <w:tc>
          <w:tcPr>
            <w:tcW w:type="dxa" w:w="3360"/>
            <w:vAlign w:val="center"/>
            <w:shd w:fill="F2F6FA"/>
          </w:tcPr>
          <w:p>
            <w:r>
              <w:rPr>
                <w:sz w:val="18"/>
              </w:rPr>
              <w:t>27.06</w:t>
            </w:r>
          </w:p>
        </w:tc>
      </w:tr>
      <w:tr>
        <w:tc>
          <w:tcPr>
            <w:tcW w:type="dxa" w:w="3360"/>
            <w:vAlign w:val="center"/>
          </w:tcPr>
          <w:p>
            <w:r>
              <w:rPr>
                <w:sz w:val="18"/>
              </w:rPr>
              <w:t>Carbs</w:t>
            </w:r>
          </w:p>
        </w:tc>
        <w:tc>
          <w:tcPr>
            <w:tcW w:type="dxa" w:w="3360"/>
            <w:vAlign w:val="center"/>
          </w:tcPr>
          <w:p>
            <w:r>
              <w:rPr>
                <w:sz w:val="18"/>
              </w:rPr>
              <w:t>140.59</w:t>
            </w:r>
          </w:p>
        </w:tc>
        <w:tc>
          <w:tcPr>
            <w:tcW w:type="dxa" w:w="3360"/>
            <w:vAlign w:val="center"/>
          </w:tcPr>
          <w:p>
            <w:r>
              <w:rPr>
                <w:sz w:val="18"/>
              </w:rPr>
              <w:t>48.86</w:t>
            </w:r>
          </w:p>
        </w:tc>
      </w:tr>
      <w:tr>
        <w:tc>
          <w:tcPr>
            <w:tcW w:type="dxa" w:w="3360"/>
            <w:vAlign w:val="center"/>
            <w:shd w:fill="F2F6FA"/>
          </w:tcPr>
          <w:p>
            <w:r>
              <w:rPr>
                <w:sz w:val="18"/>
              </w:rPr>
              <w:t>Sugar</w:t>
            </w:r>
          </w:p>
        </w:tc>
        <w:tc>
          <w:tcPr>
            <w:tcW w:type="dxa" w:w="3360"/>
            <w:vAlign w:val="center"/>
            <w:shd w:fill="F2F6FA"/>
          </w:tcPr>
          <w:p>
            <w:r>
              <w:rPr>
                <w:sz w:val="18"/>
              </w:rPr>
              <w:t>78.55</w:t>
            </w:r>
          </w:p>
        </w:tc>
        <w:tc>
          <w:tcPr>
            <w:tcW w:type="dxa" w:w="3360"/>
            <w:vAlign w:val="center"/>
            <w:shd w:fill="F2F6FA"/>
          </w:tcPr>
          <w:p>
            <w:r>
              <w:rPr>
                <w:sz w:val="18"/>
              </w:rPr>
              <w:t>30.22</w:t>
            </w:r>
          </w:p>
        </w:tc>
      </w:tr>
      <w:tr>
        <w:tc>
          <w:tcPr>
            <w:tcW w:type="dxa" w:w="3360"/>
            <w:vAlign w:val="center"/>
          </w:tcPr>
          <w:p>
            <w:r>
              <w:rPr>
                <w:sz w:val="18"/>
              </w:rPr>
              <w:t>Fiber</w:t>
            </w:r>
          </w:p>
        </w:tc>
        <w:tc>
          <w:tcPr>
            <w:tcW w:type="dxa" w:w="3360"/>
            <w:vAlign w:val="center"/>
          </w:tcPr>
          <w:p>
            <w:r>
              <w:rPr>
                <w:sz w:val="18"/>
              </w:rPr>
              <w:t>18.89</w:t>
            </w:r>
          </w:p>
        </w:tc>
        <w:tc>
          <w:tcPr>
            <w:tcW w:type="dxa" w:w="3360"/>
            <w:vAlign w:val="center"/>
          </w:tcPr>
          <w:p>
            <w:r>
              <w:rPr>
                <w:sz w:val="18"/>
              </w:rPr>
              <w:t>5.56</w:t>
            </w:r>
          </w:p>
        </w:tc>
      </w:tr>
      <w:tr>
        <w:tc>
          <w:tcPr>
            <w:tcW w:type="dxa" w:w="3360"/>
            <w:vAlign w:val="center"/>
            <w:shd w:fill="F2F6FA"/>
          </w:tcPr>
          <w:p>
            <w:r>
              <w:rPr>
                <w:sz w:val="18"/>
              </w:rPr>
              <w:t>Sodium</w:t>
            </w:r>
          </w:p>
        </w:tc>
        <w:tc>
          <w:tcPr>
            <w:tcW w:type="dxa" w:w="3360"/>
            <w:vAlign w:val="center"/>
            <w:shd w:fill="F2F6FA"/>
          </w:tcPr>
          <w:p>
            <w:r>
              <w:rPr>
                <w:sz w:val="18"/>
              </w:rPr>
              <w:t>2724.24</w:t>
            </w:r>
          </w:p>
        </w:tc>
        <w:tc>
          <w:tcPr>
            <w:tcW w:type="dxa" w:w="3360"/>
            <w:vAlign w:val="center"/>
            <w:shd w:fill="F2F6FA"/>
          </w:tcPr>
          <w:p>
            <w:r>
              <w:rPr>
                <w:sz w:val="18"/>
              </w:rPr>
              <w:t>1482.54</w:t>
            </w:r>
          </w:p>
        </w:tc>
      </w:tr>
      <w:tr>
        <w:tc>
          <w:tcPr>
            <w:tcW w:type="dxa" w:w="3360"/>
            <w:vAlign w:val="center"/>
          </w:tcPr>
          <w:p>
            <w:r>
              <w:rPr>
                <w:sz w:val="18"/>
              </w:rPr>
              <w:t>Cholesterol</w:t>
            </w:r>
          </w:p>
        </w:tc>
        <w:tc>
          <w:tcPr>
            <w:tcW w:type="dxa" w:w="3360"/>
            <w:vAlign w:val="center"/>
          </w:tcPr>
          <w:p>
            <w:r>
              <w:rPr>
                <w:sz w:val="18"/>
              </w:rPr>
              <w:t>260.15</w:t>
            </w:r>
          </w:p>
        </w:tc>
        <w:tc>
          <w:tcPr>
            <w:tcW w:type="dxa" w:w="3360"/>
            <w:vAlign w:val="center"/>
          </w:tcPr>
          <w:p>
            <w:r>
              <w:rPr>
                <w:sz w:val="18"/>
              </w:rPr>
              <w:t>68.58</w:t>
            </w:r>
          </w:p>
        </w:tc>
      </w:tr>
      <w:tr>
        <w:tc>
          <w:tcPr>
            <w:tcW w:type="dxa" w:w="3360"/>
            <w:vAlign w:val="center"/>
            <w:shd w:fill="F2F6FA"/>
          </w:tcPr>
          <w:p>
            <w:r>
              <w:rPr>
                <w:sz w:val="18"/>
              </w:rPr>
              <w:t>Glycemic Index</w:t>
            </w:r>
          </w:p>
        </w:tc>
        <w:tc>
          <w:tcPr>
            <w:tcW w:type="dxa" w:w="3360"/>
            <w:vAlign w:val="center"/>
            <w:shd w:fill="F2F6FA"/>
          </w:tcPr>
          <w:p>
            <w:r>
              <w:rPr>
                <w:sz w:val="18"/>
              </w:rPr>
              <w:t>286.13</w:t>
            </w:r>
          </w:p>
        </w:tc>
        <w:tc>
          <w:tcPr>
            <w:tcW w:type="dxa" w:w="3360"/>
            <w:vAlign w:val="center"/>
            <w:shd w:fill="F2F6FA"/>
          </w:tcPr>
          <w:p>
            <w:r>
              <w:rPr>
                <w:sz w:val="18"/>
              </w:rPr>
              <w:t>98.47</w:t>
            </w:r>
          </w:p>
        </w:tc>
      </w:tr>
      <w:tr>
        <w:tc>
          <w:tcPr>
            <w:tcW w:type="dxa" w:w="3360"/>
            <w:vAlign w:val="center"/>
          </w:tcPr>
          <w:p>
            <w:r>
              <w:rPr>
                <w:sz w:val="18"/>
              </w:rPr>
              <w:t>Water Content</w:t>
            </w:r>
          </w:p>
        </w:tc>
        <w:tc>
          <w:tcPr>
            <w:tcW w:type="dxa" w:w="3360"/>
            <w:vAlign w:val="center"/>
          </w:tcPr>
          <w:p>
            <w:r>
              <w:rPr>
                <w:sz w:val="18"/>
              </w:rPr>
              <w:t>251.84</w:t>
            </w:r>
          </w:p>
        </w:tc>
        <w:tc>
          <w:tcPr>
            <w:tcW w:type="dxa" w:w="3360"/>
            <w:vAlign w:val="center"/>
          </w:tcPr>
          <w:p>
            <w:r>
              <w:rPr>
                <w:sz w:val="18"/>
              </w:rPr>
              <w:t>72.35</w:t>
            </w:r>
          </w:p>
        </w:tc>
      </w:tr>
      <w:tr>
        <w:tc>
          <w:tcPr>
            <w:tcW w:type="dxa" w:w="3360"/>
            <w:vAlign w:val="center"/>
            <w:shd w:fill="F2F6FA"/>
          </w:tcPr>
          <w:p>
            <w:r>
              <w:rPr>
                <w:sz w:val="18"/>
              </w:rPr>
              <w:t>Serving Size</w:t>
            </w:r>
          </w:p>
        </w:tc>
        <w:tc>
          <w:tcPr>
            <w:tcW w:type="dxa" w:w="3360"/>
            <w:vAlign w:val="center"/>
            <w:shd w:fill="F2F6FA"/>
          </w:tcPr>
          <w:p>
            <w:r>
              <w:rPr>
                <w:sz w:val="18"/>
              </w:rPr>
              <w:t>554.72</w:t>
            </w:r>
          </w:p>
        </w:tc>
        <w:tc>
          <w:tcPr>
            <w:tcW w:type="dxa" w:w="3360"/>
            <w:vAlign w:val="center"/>
            <w:shd w:fill="F2F6FA"/>
          </w:tcPr>
          <w:p>
            <w:r>
              <w:rPr>
                <w:sz w:val="18"/>
              </w:rPr>
              <w:t>308.18</w:t>
            </w:r>
          </w:p>
        </w:tc>
      </w:tr>
    </w:tbl>
    <w:p/>
    <w:p>
      <w:pPr>
        <w:pStyle w:val="Heading1"/>
      </w:pPr>
      <w:r>
        <w:t>6. Feature Engineering and Preprocessing</w:t>
      </w:r>
    </w:p>
    <w:p>
      <w:r>
        <w:t>The 15 predictor columns consist of 11 numerical variables, two categorical variables, and two Boolean variables. A ColumnTransformer/Pipeline architecture was used so that preprocessing is reproducible and identical during training and prediction.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sz w:val="18"/>
              </w:rPr>
              <w:t>Component</w:t>
            </w:r>
          </w:p>
        </w:tc>
        <w:tc>
          <w:tcPr>
            <w:tcW w:type="dxa" w:w="3360"/>
            <w:shd w:fill="1F4E78"/>
          </w:tcPr>
          <w:p>
            <w:r>
              <w:rPr>
                <w:b/>
                <w:color w:val="FFFFFF"/>
                <w:sz w:val="18"/>
              </w:rPr>
              <w:t>Method</w:t>
            </w:r>
          </w:p>
        </w:tc>
        <w:tc>
          <w:tcPr>
            <w:tcW w:type="dxa" w:w="3360"/>
            <w:shd w:fill="1F4E78"/>
          </w:tcPr>
          <w:p>
            <w:r>
              <w:rPr>
                <w:b/>
                <w:color w:val="FFFFFF"/>
                <w:sz w:val="18"/>
              </w:rPr>
              <w:t>Purpose</w:t>
            </w:r>
          </w:p>
        </w:tc>
      </w:tr>
      <w:tr>
        <w:tc>
          <w:tcPr>
            <w:tcW w:type="dxa" w:w="3360"/>
            <w:vAlign w:val="center"/>
            <w:shd w:fill="F2F6FA"/>
          </w:tcPr>
          <w:p>
            <w:r>
              <w:rPr>
                <w:sz w:val="18"/>
              </w:rPr>
              <w:t>Numerical variables</w:t>
            </w:r>
          </w:p>
        </w:tc>
        <w:tc>
          <w:tcPr>
            <w:tcW w:type="dxa" w:w="3360"/>
            <w:vAlign w:val="center"/>
            <w:shd w:fill="F2F6FA"/>
          </w:tcPr>
          <w:p>
            <w:r>
              <w:rPr>
                <w:sz w:val="18"/>
              </w:rPr>
              <w:t>StandardScaler</w:t>
            </w:r>
          </w:p>
        </w:tc>
        <w:tc>
          <w:tcPr>
            <w:tcW w:type="dxa" w:w="3360"/>
            <w:vAlign w:val="center"/>
            <w:shd w:fill="F2F6FA"/>
          </w:tcPr>
          <w:p>
            <w:r>
              <w:rPr>
                <w:sz w:val="18"/>
              </w:rPr>
              <w:t>Put numerical features on comparable scales for scale-sensitive algorithms such as Logistic Regression, KNN, and SVM.</w:t>
            </w:r>
          </w:p>
        </w:tc>
      </w:tr>
      <w:tr>
        <w:tc>
          <w:tcPr>
            <w:tcW w:type="dxa" w:w="3360"/>
            <w:vAlign w:val="center"/>
          </w:tcPr>
          <w:p>
            <w:r>
              <w:rPr>
                <w:sz w:val="18"/>
              </w:rPr>
              <w:t>Categorical variables</w:t>
            </w:r>
          </w:p>
        </w:tc>
        <w:tc>
          <w:tcPr>
            <w:tcW w:type="dxa" w:w="3360"/>
            <w:vAlign w:val="center"/>
          </w:tcPr>
          <w:p>
            <w:r>
              <w:rPr>
                <w:sz w:val="18"/>
              </w:rPr>
              <w:t>OneHotEncoder(handle_unknown="ignore")</w:t>
            </w:r>
          </w:p>
        </w:tc>
        <w:tc>
          <w:tcPr>
            <w:tcW w:type="dxa" w:w="3360"/>
            <w:vAlign w:val="center"/>
          </w:tcPr>
          <w:p>
            <w:r>
              <w:rPr>
                <w:sz w:val="18"/>
              </w:rPr>
              <w:t>Convert Meal_Type and Preparation_Method into model-ready indicator features.</w:t>
            </w:r>
          </w:p>
        </w:tc>
      </w:tr>
      <w:tr>
        <w:tc>
          <w:tcPr>
            <w:tcW w:type="dxa" w:w="3360"/>
            <w:vAlign w:val="center"/>
            <w:shd w:fill="F2F6FA"/>
          </w:tcPr>
          <w:p>
            <w:r>
              <w:rPr>
                <w:sz w:val="18"/>
              </w:rPr>
              <w:t>Boolean variables</w:t>
            </w:r>
          </w:p>
        </w:tc>
        <w:tc>
          <w:tcPr>
            <w:tcW w:type="dxa" w:w="3360"/>
            <w:vAlign w:val="center"/>
            <w:shd w:fill="F2F6FA"/>
          </w:tcPr>
          <w:p>
            <w:r>
              <w:rPr>
                <w:sz w:val="18"/>
              </w:rPr>
              <w:t>Pass through</w:t>
            </w:r>
          </w:p>
        </w:tc>
        <w:tc>
          <w:tcPr>
            <w:tcW w:type="dxa" w:w="3360"/>
            <w:vAlign w:val="center"/>
            <w:shd w:fill="F2F6FA"/>
          </w:tcPr>
          <w:p>
            <w:r>
              <w:rPr>
                <w:sz w:val="18"/>
              </w:rPr>
              <w:t>Retain Is_Vegan and Is_Gluten_Free as binary predictors.</w:t>
            </w:r>
          </w:p>
        </w:tc>
      </w:tr>
      <w:tr>
        <w:tc>
          <w:tcPr>
            <w:tcW w:type="dxa" w:w="3360"/>
            <w:vAlign w:val="center"/>
          </w:tcPr>
          <w:p>
            <w:r>
              <w:rPr>
                <w:sz w:val="18"/>
              </w:rPr>
              <w:t>Target</w:t>
            </w:r>
          </w:p>
        </w:tc>
        <w:tc>
          <w:tcPr>
            <w:tcW w:type="dxa" w:w="3360"/>
            <w:vAlign w:val="center"/>
          </w:tcPr>
          <w:p>
            <w:r>
              <w:rPr>
                <w:sz w:val="18"/>
              </w:rPr>
              <w:t>LabelEncoder</w:t>
            </w:r>
          </w:p>
        </w:tc>
        <w:tc>
          <w:tcPr>
            <w:tcW w:type="dxa" w:w="3360"/>
            <w:vAlign w:val="center"/>
          </w:tcPr>
          <w:p>
            <w:r>
              <w:rPr>
                <w:sz w:val="18"/>
              </w:rPr>
              <w:t>Convert Food_Name into class labels for model training/evaluation.</w:t>
            </w:r>
          </w:p>
        </w:tc>
      </w:tr>
    </w:tbl>
    <w:p/>
    <w:p>
      <w:r>
        <w:t>The preprocessing transformation expands the original 15 predictors to 21 processed features.</w:t>
      </w:r>
    </w:p>
    <w:p>
      <w:pPr>
        <w:pStyle w:val="Heading1"/>
      </w:pPr>
      <w:r>
        <w:t>7. Model Selection and Training</w:t>
      </w:r>
    </w:p>
    <w:p>
      <w:r>
        <w:t>Seven classifiers required by the project specification were trained and evaluated using the same benchmark split and metric framework: Logistic Regression, Decision Tree, Random Forest, K-Nearest Neighbors, Support Vector Machine, XGBoost, and Gradient Boosting.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1F4E78"/>
          </w:tcPr>
          <w:p>
            <w:r>
              <w:rPr>
                <w:b/>
                <w:color w:val="FFFFFF"/>
                <w:sz w:val="18"/>
              </w:rPr>
              <w:t>Model</w:t>
            </w:r>
          </w:p>
        </w:tc>
        <w:tc>
          <w:tcPr>
            <w:tcW w:type="dxa" w:w="1680"/>
            <w:shd w:fill="1F4E78"/>
          </w:tcPr>
          <w:p>
            <w:r>
              <w:rPr>
                <w:b/>
                <w:color w:val="FFFFFF"/>
                <w:sz w:val="18"/>
              </w:rPr>
              <w:t>Accuracy</w:t>
            </w:r>
          </w:p>
        </w:tc>
        <w:tc>
          <w:tcPr>
            <w:tcW w:type="dxa" w:w="1680"/>
            <w:shd w:fill="1F4E78"/>
          </w:tcPr>
          <w:p>
            <w:r>
              <w:rPr>
                <w:b/>
                <w:color w:val="FFFFFF"/>
                <w:sz w:val="18"/>
              </w:rPr>
              <w:t>Precision</w:t>
            </w:r>
          </w:p>
        </w:tc>
        <w:tc>
          <w:tcPr>
            <w:tcW w:type="dxa" w:w="1680"/>
            <w:shd w:fill="1F4E78"/>
          </w:tcPr>
          <w:p>
            <w:r>
              <w:rPr>
                <w:b/>
                <w:color w:val="FFFFFF"/>
                <w:sz w:val="18"/>
              </w:rPr>
              <w:t>Recall</w:t>
            </w:r>
          </w:p>
        </w:tc>
        <w:tc>
          <w:tcPr>
            <w:tcW w:type="dxa" w:w="1680"/>
            <w:shd w:fill="1F4E78"/>
          </w:tcPr>
          <w:p>
            <w:r>
              <w:rPr>
                <w:b/>
                <w:color w:val="FFFFFF"/>
                <w:sz w:val="18"/>
              </w:rPr>
              <w:t>Weighted F1</w:t>
            </w:r>
          </w:p>
        </w:tc>
        <w:tc>
          <w:tcPr>
            <w:tcW w:type="dxa" w:w="1680"/>
            <w:shd w:fill="1F4E78"/>
          </w:tcPr>
          <w:p>
            <w:r>
              <w:rPr>
                <w:b/>
                <w:color w:val="FFFFFF"/>
                <w:sz w:val="18"/>
              </w:rPr>
              <w:t>Macro F1</w:t>
            </w:r>
          </w:p>
        </w:tc>
      </w:tr>
      <w:tr>
        <w:tc>
          <w:tcPr>
            <w:tcW w:type="dxa" w:w="1680"/>
            <w:vAlign w:val="center"/>
            <w:shd w:fill="F2F6FA"/>
          </w:tcPr>
          <w:p>
            <w:r>
              <w:rPr>
                <w:sz w:val="18"/>
              </w:rPr>
              <w:t>Logistic Regression</w:t>
            </w:r>
          </w:p>
        </w:tc>
        <w:tc>
          <w:tcPr>
            <w:tcW w:type="dxa" w:w="1680"/>
            <w:vAlign w:val="center"/>
            <w:shd w:fill="F2F6FA"/>
          </w:tcPr>
          <w:p>
            <w:r>
              <w:rPr>
                <w:sz w:val="18"/>
              </w:rPr>
              <w:t>99.39%</w:t>
            </w:r>
          </w:p>
        </w:tc>
        <w:tc>
          <w:tcPr>
            <w:tcW w:type="dxa" w:w="1680"/>
            <w:vAlign w:val="center"/>
            <w:shd w:fill="F2F6FA"/>
          </w:tcPr>
          <w:p>
            <w:r>
              <w:rPr>
                <w:sz w:val="18"/>
              </w:rPr>
              <w:t>99.40%</w:t>
            </w:r>
          </w:p>
        </w:tc>
        <w:tc>
          <w:tcPr>
            <w:tcW w:type="dxa" w:w="1680"/>
            <w:vAlign w:val="center"/>
            <w:shd w:fill="F2F6FA"/>
          </w:tcPr>
          <w:p>
            <w:r>
              <w:rPr>
                <w:sz w:val="18"/>
              </w:rPr>
              <w:t>99.39%</w:t>
            </w:r>
          </w:p>
        </w:tc>
        <w:tc>
          <w:tcPr>
            <w:tcW w:type="dxa" w:w="1680"/>
            <w:vAlign w:val="center"/>
            <w:shd w:fill="F2F6FA"/>
          </w:tcPr>
          <w:p>
            <w:r>
              <w:rPr>
                <w:sz w:val="18"/>
              </w:rPr>
              <w:t>99.39%</w:t>
            </w:r>
          </w:p>
        </w:tc>
        <w:tc>
          <w:tcPr>
            <w:tcW w:type="dxa" w:w="1680"/>
            <w:vAlign w:val="center"/>
            <w:shd w:fill="F2F6FA"/>
          </w:tcPr>
          <w:p>
            <w:r>
              <w:rPr>
                <w:sz w:val="18"/>
              </w:rPr>
              <w:t>99.37%</w:t>
            </w:r>
          </w:p>
        </w:tc>
      </w:tr>
      <w:tr>
        <w:tc>
          <w:tcPr>
            <w:tcW w:type="dxa" w:w="1680"/>
            <w:vAlign w:val="center"/>
          </w:tcPr>
          <w:p>
            <w:r>
              <w:rPr>
                <w:sz w:val="18"/>
              </w:rPr>
              <w:t>Decision Tree</w:t>
            </w:r>
          </w:p>
        </w:tc>
        <w:tc>
          <w:tcPr>
            <w:tcW w:type="dxa" w:w="1680"/>
            <w:vAlign w:val="center"/>
          </w:tcPr>
          <w:p>
            <w:r>
              <w:rPr>
                <w:sz w:val="18"/>
              </w:rPr>
              <w:t>98.72%</w:t>
            </w:r>
          </w:p>
        </w:tc>
        <w:tc>
          <w:tcPr>
            <w:tcW w:type="dxa" w:w="1680"/>
            <w:vAlign w:val="center"/>
          </w:tcPr>
          <w:p>
            <w:r>
              <w:rPr>
                <w:sz w:val="18"/>
              </w:rPr>
              <w:t>98.72%</w:t>
            </w:r>
          </w:p>
        </w:tc>
        <w:tc>
          <w:tcPr>
            <w:tcW w:type="dxa" w:w="1680"/>
            <w:vAlign w:val="center"/>
          </w:tcPr>
          <w:p>
            <w:r>
              <w:rPr>
                <w:sz w:val="18"/>
              </w:rPr>
              <w:t>98.72%</w:t>
            </w:r>
          </w:p>
        </w:tc>
        <w:tc>
          <w:tcPr>
            <w:tcW w:type="dxa" w:w="1680"/>
            <w:vAlign w:val="center"/>
          </w:tcPr>
          <w:p>
            <w:r>
              <w:rPr>
                <w:sz w:val="18"/>
              </w:rPr>
              <w:t>98.72%</w:t>
            </w:r>
          </w:p>
        </w:tc>
        <w:tc>
          <w:tcPr>
            <w:tcW w:type="dxa" w:w="1680"/>
            <w:vAlign w:val="center"/>
          </w:tcPr>
          <w:p>
            <w:r>
              <w:rPr>
                <w:sz w:val="18"/>
              </w:rPr>
              <w:t>98.87%</w:t>
            </w:r>
          </w:p>
        </w:tc>
      </w:tr>
      <w:tr>
        <w:tc>
          <w:tcPr>
            <w:tcW w:type="dxa" w:w="1680"/>
            <w:vAlign w:val="center"/>
            <w:shd w:fill="F2F6FA"/>
          </w:tcPr>
          <w:p>
            <w:r>
              <w:rPr>
                <w:sz w:val="18"/>
              </w:rPr>
              <w:t>Random Forest</w:t>
            </w:r>
          </w:p>
        </w:tc>
        <w:tc>
          <w:tcPr>
            <w:tcW w:type="dxa" w:w="1680"/>
            <w:vAlign w:val="center"/>
            <w:shd w:fill="F2F6FA"/>
          </w:tcPr>
          <w:p>
            <w:r>
              <w:rPr>
                <w:sz w:val="18"/>
              </w:rPr>
              <w:t>99.46%</w:t>
            </w:r>
          </w:p>
        </w:tc>
        <w:tc>
          <w:tcPr>
            <w:tcW w:type="dxa" w:w="1680"/>
            <w:vAlign w:val="center"/>
            <w:shd w:fill="F2F6FA"/>
          </w:tcPr>
          <w:p>
            <w:r>
              <w:rPr>
                <w:sz w:val="18"/>
              </w:rPr>
              <w:t>99.46%</w:t>
            </w:r>
          </w:p>
        </w:tc>
        <w:tc>
          <w:tcPr>
            <w:tcW w:type="dxa" w:w="1680"/>
            <w:vAlign w:val="center"/>
            <w:shd w:fill="F2F6FA"/>
          </w:tcPr>
          <w:p>
            <w:r>
              <w:rPr>
                <w:sz w:val="18"/>
              </w:rPr>
              <w:t>99.46%</w:t>
            </w:r>
          </w:p>
        </w:tc>
        <w:tc>
          <w:tcPr>
            <w:tcW w:type="dxa" w:w="1680"/>
            <w:vAlign w:val="center"/>
            <w:shd w:fill="F2F6FA"/>
          </w:tcPr>
          <w:p>
            <w:r>
              <w:rPr>
                <w:sz w:val="18"/>
              </w:rPr>
              <w:t>99.46%</w:t>
            </w:r>
          </w:p>
        </w:tc>
        <w:tc>
          <w:tcPr>
            <w:tcW w:type="dxa" w:w="1680"/>
            <w:vAlign w:val="center"/>
            <w:shd w:fill="F2F6FA"/>
          </w:tcPr>
          <w:p>
            <w:r>
              <w:rPr>
                <w:sz w:val="18"/>
              </w:rPr>
              <w:t>99.48%</w:t>
            </w:r>
          </w:p>
        </w:tc>
      </w:tr>
      <w:tr>
        <w:tc>
          <w:tcPr>
            <w:tcW w:type="dxa" w:w="1680"/>
            <w:vAlign w:val="center"/>
          </w:tcPr>
          <w:p>
            <w:r>
              <w:rPr>
                <w:sz w:val="18"/>
              </w:rPr>
              <w:t>KNN</w:t>
            </w:r>
          </w:p>
        </w:tc>
        <w:tc>
          <w:tcPr>
            <w:tcW w:type="dxa" w:w="1680"/>
            <w:vAlign w:val="center"/>
          </w:tcPr>
          <w:p>
            <w:r>
              <w:rPr>
                <w:sz w:val="18"/>
              </w:rPr>
              <w:t>99.25%</w:t>
            </w:r>
          </w:p>
        </w:tc>
        <w:tc>
          <w:tcPr>
            <w:tcW w:type="dxa" w:w="1680"/>
            <w:vAlign w:val="center"/>
          </w:tcPr>
          <w:p>
            <w:r>
              <w:rPr>
                <w:sz w:val="18"/>
              </w:rPr>
              <w:t>99.25%</w:t>
            </w:r>
          </w:p>
        </w:tc>
        <w:tc>
          <w:tcPr>
            <w:tcW w:type="dxa" w:w="1680"/>
            <w:vAlign w:val="center"/>
          </w:tcPr>
          <w:p>
            <w:r>
              <w:rPr>
                <w:sz w:val="18"/>
              </w:rPr>
              <w:t>99.25%</w:t>
            </w:r>
          </w:p>
        </w:tc>
        <w:tc>
          <w:tcPr>
            <w:tcW w:type="dxa" w:w="1680"/>
            <w:vAlign w:val="center"/>
          </w:tcPr>
          <w:p>
            <w:r>
              <w:rPr>
                <w:sz w:val="18"/>
              </w:rPr>
              <w:t>99.25%</w:t>
            </w:r>
          </w:p>
        </w:tc>
        <w:tc>
          <w:tcPr>
            <w:tcW w:type="dxa" w:w="1680"/>
            <w:vAlign w:val="center"/>
          </w:tcPr>
          <w:p>
            <w:r>
              <w:rPr>
                <w:sz w:val="18"/>
              </w:rPr>
              <w:t>99.23%</w:t>
            </w:r>
          </w:p>
        </w:tc>
      </w:tr>
      <w:tr>
        <w:tc>
          <w:tcPr>
            <w:tcW w:type="dxa" w:w="1680"/>
            <w:vAlign w:val="center"/>
            <w:shd w:fill="F2F6FA"/>
          </w:tcPr>
          <w:p>
            <w:r>
              <w:rPr>
                <w:sz w:val="18"/>
              </w:rPr>
              <w:t>SVM</w:t>
            </w:r>
          </w:p>
        </w:tc>
        <w:tc>
          <w:tcPr>
            <w:tcW w:type="dxa" w:w="1680"/>
            <w:vAlign w:val="center"/>
            <w:shd w:fill="F2F6FA"/>
          </w:tcPr>
          <w:p>
            <w:r>
              <w:rPr>
                <w:sz w:val="18"/>
              </w:rPr>
              <w:t>99.46%</w:t>
            </w:r>
          </w:p>
        </w:tc>
        <w:tc>
          <w:tcPr>
            <w:tcW w:type="dxa" w:w="1680"/>
            <w:vAlign w:val="center"/>
            <w:shd w:fill="F2F6FA"/>
          </w:tcPr>
          <w:p>
            <w:r>
              <w:rPr>
                <w:sz w:val="18"/>
              </w:rPr>
              <w:t>99.46%</w:t>
            </w:r>
          </w:p>
        </w:tc>
        <w:tc>
          <w:tcPr>
            <w:tcW w:type="dxa" w:w="1680"/>
            <w:vAlign w:val="center"/>
            <w:shd w:fill="F2F6FA"/>
          </w:tcPr>
          <w:p>
            <w:r>
              <w:rPr>
                <w:sz w:val="18"/>
              </w:rPr>
              <w:t>99.46%</w:t>
            </w:r>
          </w:p>
        </w:tc>
        <w:tc>
          <w:tcPr>
            <w:tcW w:type="dxa" w:w="1680"/>
            <w:vAlign w:val="center"/>
            <w:shd w:fill="F2F6FA"/>
          </w:tcPr>
          <w:p>
            <w:r>
              <w:rPr>
                <w:sz w:val="18"/>
              </w:rPr>
              <w:t>99.46%</w:t>
            </w:r>
          </w:p>
        </w:tc>
        <w:tc>
          <w:tcPr>
            <w:tcW w:type="dxa" w:w="1680"/>
            <w:vAlign w:val="center"/>
            <w:shd w:fill="F2F6FA"/>
          </w:tcPr>
          <w:p>
            <w:r>
              <w:rPr>
                <w:sz w:val="18"/>
              </w:rPr>
              <w:t>99.44%</w:t>
            </w:r>
          </w:p>
        </w:tc>
      </w:tr>
      <w:tr>
        <w:tc>
          <w:tcPr>
            <w:tcW w:type="dxa" w:w="1680"/>
            <w:vAlign w:val="center"/>
          </w:tcPr>
          <w:p>
            <w:r>
              <w:rPr>
                <w:sz w:val="18"/>
              </w:rPr>
              <w:t>XGBoost</w:t>
            </w:r>
          </w:p>
        </w:tc>
        <w:tc>
          <w:tcPr>
            <w:tcW w:type="dxa" w:w="1680"/>
            <w:vAlign w:val="center"/>
          </w:tcPr>
          <w:p>
            <w:r>
              <w:rPr>
                <w:sz w:val="18"/>
              </w:rPr>
              <w:t>99.46%</w:t>
            </w:r>
          </w:p>
        </w:tc>
        <w:tc>
          <w:tcPr>
            <w:tcW w:type="dxa" w:w="1680"/>
            <w:vAlign w:val="center"/>
          </w:tcPr>
          <w:p>
            <w:r>
              <w:rPr>
                <w:sz w:val="18"/>
              </w:rPr>
              <w:t>99.46%</w:t>
            </w:r>
          </w:p>
        </w:tc>
        <w:tc>
          <w:tcPr>
            <w:tcW w:type="dxa" w:w="1680"/>
            <w:vAlign w:val="center"/>
          </w:tcPr>
          <w:p>
            <w:r>
              <w:rPr>
                <w:sz w:val="18"/>
              </w:rPr>
              <w:t>99.46%</w:t>
            </w:r>
          </w:p>
        </w:tc>
        <w:tc>
          <w:tcPr>
            <w:tcW w:type="dxa" w:w="1680"/>
            <w:vAlign w:val="center"/>
          </w:tcPr>
          <w:p>
            <w:r>
              <w:rPr>
                <w:sz w:val="18"/>
              </w:rPr>
              <w:t>99.46%</w:t>
            </w:r>
          </w:p>
        </w:tc>
        <w:tc>
          <w:tcPr>
            <w:tcW w:type="dxa" w:w="1680"/>
            <w:vAlign w:val="center"/>
          </w:tcPr>
          <w:p>
            <w:r>
              <w:rPr>
                <w:sz w:val="18"/>
              </w:rPr>
              <w:t>99.49%</w:t>
            </w:r>
          </w:p>
        </w:tc>
      </w:tr>
      <w:tr>
        <w:tc>
          <w:tcPr>
            <w:tcW w:type="dxa" w:w="1680"/>
            <w:vAlign w:val="center"/>
            <w:shd w:fill="F2F6FA"/>
          </w:tcPr>
          <w:p>
            <w:r>
              <w:rPr>
                <w:sz w:val="18"/>
              </w:rPr>
              <w:t>Gradient Boosting (initial benchmark)</w:t>
            </w:r>
          </w:p>
        </w:tc>
        <w:tc>
          <w:tcPr>
            <w:tcW w:type="dxa" w:w="1680"/>
            <w:vAlign w:val="center"/>
            <w:shd w:fill="F2F6FA"/>
          </w:tcPr>
          <w:p>
            <w:r>
              <w:rPr>
                <w:sz w:val="18"/>
              </w:rPr>
              <w:t>99.52%</w:t>
            </w:r>
          </w:p>
        </w:tc>
        <w:tc>
          <w:tcPr>
            <w:tcW w:type="dxa" w:w="1680"/>
            <w:vAlign w:val="center"/>
            <w:shd w:fill="F2F6FA"/>
          </w:tcPr>
          <w:p>
            <w:r>
              <w:rPr>
                <w:sz w:val="18"/>
              </w:rPr>
              <w:t>99.52%</w:t>
            </w:r>
          </w:p>
        </w:tc>
        <w:tc>
          <w:tcPr>
            <w:tcW w:type="dxa" w:w="1680"/>
            <w:vAlign w:val="center"/>
            <w:shd w:fill="F2F6FA"/>
          </w:tcPr>
          <w:p>
            <w:r>
              <w:rPr>
                <w:sz w:val="18"/>
              </w:rPr>
              <w:t>99.52%</w:t>
            </w:r>
          </w:p>
        </w:tc>
        <w:tc>
          <w:tcPr>
            <w:tcW w:type="dxa" w:w="1680"/>
            <w:vAlign w:val="center"/>
            <w:shd w:fill="F2F6FA"/>
          </w:tcPr>
          <w:p>
            <w:r>
              <w:rPr>
                <w:sz w:val="18"/>
              </w:rPr>
              <w:t>99.52%</w:t>
            </w:r>
          </w:p>
        </w:tc>
        <w:tc>
          <w:tcPr>
            <w:tcW w:type="dxa" w:w="1680"/>
            <w:vAlign w:val="center"/>
            <w:shd w:fill="F2F6FA"/>
          </w:tcPr>
          <w:p>
            <w:r>
              <w:rPr>
                <w:sz w:val="18"/>
              </w:rPr>
              <w:t>99.53%</w:t>
            </w:r>
          </w:p>
        </w:tc>
      </w:tr>
    </w:tbl>
    <w:p/>
    <w:p>
      <w:pPr>
        <w:jc w:val="center"/>
      </w:pPr>
      <w:r>
        <w:drawing>
          <wp:inline xmlns:a="http://schemas.openxmlformats.org/drawingml/2006/main" xmlns:pic="http://schemas.openxmlformats.org/drawingml/2006/picture">
            <wp:extent cx="5852160" cy="2902941"/>
            <wp:docPr id="8" name="Picture 8"/>
            <wp:cNvGraphicFramePr>
              <a:graphicFrameLocks noChangeAspect="1"/>
            </wp:cNvGraphicFramePr>
            <a:graphic>
              <a:graphicData uri="http://schemas.openxmlformats.org/drawingml/2006/picture">
                <pic:pic>
                  <pic:nvPicPr>
                    <pic:cNvPr id="0" name="cell_140_0.png"/>
                    <pic:cNvPicPr/>
                  </pic:nvPicPr>
                  <pic:blipFill>
                    <a:blip r:embed="rId16"/>
                    <a:stretch>
                      <a:fillRect/>
                    </a:stretch>
                  </pic:blipFill>
                  <pic:spPr>
                    <a:xfrm>
                      <a:off x="0" y="0"/>
                      <a:ext cx="5852160" cy="2902941"/>
                    </a:xfrm>
                    <a:prstGeom prst="rect"/>
                  </pic:spPr>
                </pic:pic>
              </a:graphicData>
            </a:graphic>
          </wp:inline>
        </w:drawing>
      </w:r>
    </w:p>
    <w:p>
      <w:pPr>
        <w:pStyle w:val="CaptionSmall"/>
        <w:jc w:val="center"/>
      </w:pPr>
      <w:r>
        <w:t>Figure 8. Benchmark comparison across accuracy, precision, recall, weighted F1, and Macro F1.</w:t>
      </w:r>
    </w:p>
    <w:p>
      <w:pPr>
        <w:jc w:val="center"/>
      </w:pPr>
      <w:r>
        <w:drawing>
          <wp:inline xmlns:a="http://schemas.openxmlformats.org/drawingml/2006/main" xmlns:pic="http://schemas.openxmlformats.org/drawingml/2006/picture">
            <wp:extent cx="5852160" cy="3491177"/>
            <wp:docPr id="9" name="Picture 9"/>
            <wp:cNvGraphicFramePr>
              <a:graphicFrameLocks noChangeAspect="1"/>
            </wp:cNvGraphicFramePr>
            <a:graphic>
              <a:graphicData uri="http://schemas.openxmlformats.org/drawingml/2006/picture">
                <pic:pic>
                  <pic:nvPicPr>
                    <pic:cNvPr id="0" name="cell_142_0.png"/>
                    <pic:cNvPicPr/>
                  </pic:nvPicPr>
                  <pic:blipFill>
                    <a:blip r:embed="rId17"/>
                    <a:stretch>
                      <a:fillRect/>
                    </a:stretch>
                  </pic:blipFill>
                  <pic:spPr>
                    <a:xfrm>
                      <a:off x="0" y="0"/>
                      <a:ext cx="5852160" cy="3491177"/>
                    </a:xfrm>
                    <a:prstGeom prst="rect"/>
                  </pic:spPr>
                </pic:pic>
              </a:graphicData>
            </a:graphic>
          </wp:inline>
        </w:drawing>
      </w:r>
    </w:p>
    <w:p>
      <w:pPr>
        <w:pStyle w:val="CaptionSmall"/>
        <w:jc w:val="center"/>
      </w:pPr>
      <w:r>
        <w:t>Figure 9. Initial benchmark ranking by Macro F1.</w:t>
      </w:r>
    </w:p>
    <w:p>
      <w:r>
        <w:t>The leading models were very close. Gradient Boosting was selected as the candidate for final refinement because it achieved the strongest initial benchmark performance while providing a tree-based non-linear modelling approach.</w:t>
      </w:r>
    </w:p>
    <w:p>
      <w:pPr>
        <w:pStyle w:val="Heading1"/>
      </w:pPr>
      <w:r>
        <w:t>8. Model Evaluation</w:t>
      </w:r>
    </w:p>
    <w:p>
      <w:pPr>
        <w:pStyle w:val="Heading2"/>
      </w:pPr>
      <w:r>
        <w:t>8.1 Confusion Matrices for All Seven Models</w:t>
      </w:r>
    </w:p>
    <w:p>
      <w:pPr>
        <w:jc w:val="center"/>
      </w:pPr>
      <w:r>
        <w:drawing>
          <wp:inline xmlns:a="http://schemas.openxmlformats.org/drawingml/2006/main" xmlns:pic="http://schemas.openxmlformats.org/drawingml/2006/picture">
            <wp:extent cx="5669280" cy="5262548"/>
            <wp:docPr id="10" name="Picture 10"/>
            <wp:cNvGraphicFramePr>
              <a:graphicFrameLocks noChangeAspect="1"/>
            </wp:cNvGraphicFramePr>
            <a:graphic>
              <a:graphicData uri="http://schemas.openxmlformats.org/drawingml/2006/picture">
                <pic:pic>
                  <pic:nvPicPr>
                    <pic:cNvPr id="0" name="cell_144_0.png"/>
                    <pic:cNvPicPr/>
                  </pic:nvPicPr>
                  <pic:blipFill>
                    <a:blip r:embed="rId18"/>
                    <a:stretch>
                      <a:fillRect/>
                    </a:stretch>
                  </pic:blipFill>
                  <pic:spPr>
                    <a:xfrm>
                      <a:off x="0" y="0"/>
                      <a:ext cx="5669280" cy="5262548"/>
                    </a:xfrm>
                    <a:prstGeom prst="rect"/>
                  </pic:spPr>
                </pic:pic>
              </a:graphicData>
            </a:graphic>
          </wp:inline>
        </w:drawing>
      </w:r>
    </w:p>
    <w:p>
      <w:pPr>
        <w:pStyle w:val="CaptionSmall"/>
        <w:jc w:val="center"/>
      </w:pPr>
      <w:r>
        <w:t>Figure 10. Confusion matrices for all seven benchmark models. Diagonal values indicate correct classifications; off-diagonal values indicate class confusion.</w:t>
      </w:r>
    </w:p>
    <w:p>
      <w:r>
        <w:t>The matrices show that nearly all predictions lie on the diagonal for every model, matching the high accuracy and F1 scores. This also satisfies the requirement to evaluate each classifier using a confusion matrix.</w:t>
      </w:r>
    </w:p>
    <w:p>
      <w:pPr>
        <w:pStyle w:val="Heading1"/>
      </w:pPr>
      <w:r>
        <w:t>9. Feature Selection Experiment</w:t>
      </w:r>
    </w:p>
    <w:p>
      <w:r>
        <w:t>Feature selection was explicitly required by the project specification. SelectKBest with the ANOVA F-test reduced the 21 processed features to 15 selected features.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8"/>
          </w:tcPr>
          <w:p>
            <w:r>
              <w:rPr>
                <w:b/>
                <w:color w:val="FFFFFF"/>
                <w:sz w:val="18"/>
              </w:rPr>
              <w:t>Experiment</w:t>
            </w:r>
          </w:p>
        </w:tc>
        <w:tc>
          <w:tcPr>
            <w:tcW w:type="dxa" w:w="2016"/>
            <w:shd w:fill="1F4E78"/>
          </w:tcPr>
          <w:p>
            <w:r>
              <w:rPr>
                <w:b/>
                <w:color w:val="FFFFFF"/>
                <w:sz w:val="18"/>
              </w:rPr>
              <w:t>Processed features</w:t>
            </w:r>
          </w:p>
        </w:tc>
        <w:tc>
          <w:tcPr>
            <w:tcW w:type="dxa" w:w="2016"/>
            <w:shd w:fill="1F4E78"/>
          </w:tcPr>
          <w:p>
            <w:r>
              <w:rPr>
                <w:b/>
                <w:color w:val="FFFFFF"/>
                <w:sz w:val="18"/>
              </w:rPr>
              <w:t>Accuracy</w:t>
            </w:r>
          </w:p>
        </w:tc>
        <w:tc>
          <w:tcPr>
            <w:tcW w:type="dxa" w:w="2016"/>
            <w:shd w:fill="1F4E78"/>
          </w:tcPr>
          <w:p>
            <w:r>
              <w:rPr>
                <w:b/>
                <w:color w:val="FFFFFF"/>
                <w:sz w:val="18"/>
              </w:rPr>
              <w:t>Macro F1</w:t>
            </w:r>
          </w:p>
        </w:tc>
        <w:tc>
          <w:tcPr>
            <w:tcW w:type="dxa" w:w="2016"/>
            <w:shd w:fill="1F4E78"/>
          </w:tcPr>
          <w:p>
            <w:r>
              <w:rPr>
                <w:b/>
                <w:color w:val="FFFFFF"/>
                <w:sz w:val="18"/>
              </w:rPr>
              <w:t>Decision</w:t>
            </w:r>
          </w:p>
        </w:tc>
      </w:tr>
      <w:tr>
        <w:tc>
          <w:tcPr>
            <w:tcW w:type="dxa" w:w="2016"/>
            <w:vAlign w:val="center"/>
            <w:shd w:fill="F2F6FA"/>
          </w:tcPr>
          <w:p>
            <w:r>
              <w:rPr>
                <w:sz w:val="18"/>
              </w:rPr>
              <w:t>Full processed feature set</w:t>
            </w:r>
          </w:p>
        </w:tc>
        <w:tc>
          <w:tcPr>
            <w:tcW w:type="dxa" w:w="2016"/>
            <w:vAlign w:val="center"/>
            <w:shd w:fill="F2F6FA"/>
          </w:tcPr>
          <w:p>
            <w:r>
              <w:rPr>
                <w:sz w:val="18"/>
              </w:rPr>
              <w:t>21</w:t>
            </w:r>
          </w:p>
        </w:tc>
        <w:tc>
          <w:tcPr>
            <w:tcW w:type="dxa" w:w="2016"/>
            <w:vAlign w:val="center"/>
            <w:shd w:fill="F2F6FA"/>
          </w:tcPr>
          <w:p>
            <w:r>
              <w:rPr>
                <w:sz w:val="18"/>
              </w:rPr>
              <w:t>99.50% (final capped model)</w:t>
            </w:r>
          </w:p>
        </w:tc>
        <w:tc>
          <w:tcPr>
            <w:tcW w:type="dxa" w:w="2016"/>
            <w:vAlign w:val="center"/>
            <w:shd w:fill="F2F6FA"/>
          </w:tcPr>
          <w:p>
            <w:r>
              <w:rPr>
                <w:sz w:val="18"/>
              </w:rPr>
              <w:t>99.52%</w:t>
            </w:r>
          </w:p>
        </w:tc>
        <w:tc>
          <w:tcPr>
            <w:tcW w:type="dxa" w:w="2016"/>
            <w:vAlign w:val="center"/>
            <w:shd w:fill="F2F6FA"/>
          </w:tcPr>
          <w:p>
            <w:r>
              <w:rPr>
                <w:sz w:val="18"/>
              </w:rPr>
              <w:t>Retained for final system</w:t>
            </w:r>
          </w:p>
        </w:tc>
      </w:tr>
      <w:tr>
        <w:tc>
          <w:tcPr>
            <w:tcW w:type="dxa" w:w="2016"/>
            <w:vAlign w:val="center"/>
          </w:tcPr>
          <w:p>
            <w:r>
              <w:rPr>
                <w:sz w:val="18"/>
              </w:rPr>
              <w:t>SelectKBest + Gradient Boosting</w:t>
            </w:r>
          </w:p>
        </w:tc>
        <w:tc>
          <w:tcPr>
            <w:tcW w:type="dxa" w:w="2016"/>
            <w:vAlign w:val="center"/>
          </w:tcPr>
          <w:p>
            <w:r>
              <w:rPr>
                <w:sz w:val="18"/>
              </w:rPr>
              <w:t>15</w:t>
            </w:r>
          </w:p>
        </w:tc>
        <w:tc>
          <w:tcPr>
            <w:tcW w:type="dxa" w:w="2016"/>
            <w:vAlign w:val="center"/>
          </w:tcPr>
          <w:p>
            <w:r>
              <w:rPr>
                <w:sz w:val="18"/>
              </w:rPr>
              <w:t>99.46%</w:t>
            </w:r>
          </w:p>
        </w:tc>
        <w:tc>
          <w:tcPr>
            <w:tcW w:type="dxa" w:w="2016"/>
            <w:vAlign w:val="center"/>
          </w:tcPr>
          <w:p>
            <w:r>
              <w:rPr>
                <w:sz w:val="18"/>
              </w:rPr>
              <w:t>99.54%</w:t>
            </w:r>
          </w:p>
        </w:tc>
        <w:tc>
          <w:tcPr>
            <w:tcW w:type="dxa" w:w="2016"/>
            <w:vAlign w:val="center"/>
          </w:tcPr>
          <w:p>
            <w:r>
              <w:rPr>
                <w:sz w:val="18"/>
              </w:rPr>
              <w:t>Documented as experiment</w:t>
            </w:r>
          </w:p>
        </w:tc>
      </w:tr>
    </w:tbl>
    <w:p/>
    <w:p>
      <w:r>
        <w:t>The selected features were all 11 numerical nutritional variables, Meal_Type dinner, Meal_Type lunch, Is_Vegan, and Is_Gluten_Free. Preparation Method was not selected. The feature-selected model slightly improved Macro F1 but reduced accuracy, so the full-feature final model was retained.</w:t>
      </w:r>
    </w:p>
    <w:p>
      <w:pPr>
        <w:pStyle w:val="Heading1"/>
      </w:pPr>
      <w:r>
        <w:t>10. Final Model and Validation</w:t>
      </w:r>
    </w:p>
    <w:p>
      <w:pPr>
        <w:pStyle w:val="Heading2"/>
      </w:pPr>
      <w:r>
        <w:t>10.1 Final Model Definition</w:t>
      </w:r>
    </w:p>
    <w:p>
      <w:r>
        <w:t>The final implementation is a Gradient Boosting classifier trained on the outlier-capped training data using all 21 processed features. The model uses 200 boosting estimators, learning_rate=0.1, max_depth=3, and random_state=42.</w:t>
      </w:r>
    </w:p>
    <w:p>
      <w:pPr>
        <w:pStyle w:val="Heading2"/>
      </w:pPr>
      <w:r>
        <w:t>10.2 Holdout Performance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sz w:val="18"/>
              </w:rPr>
              <w:t>Metric</w:t>
            </w:r>
          </w:p>
        </w:tc>
        <w:tc>
          <w:tcPr>
            <w:tcW w:type="dxa" w:w="5040"/>
            <w:shd w:fill="1F4E78"/>
          </w:tcPr>
          <w:p>
            <w:r>
              <w:rPr>
                <w:b/>
                <w:color w:val="FFFFFF"/>
                <w:sz w:val="18"/>
              </w:rPr>
              <w:t>Result</w:t>
            </w:r>
          </w:p>
        </w:tc>
      </w:tr>
      <w:tr>
        <w:tc>
          <w:tcPr>
            <w:tcW w:type="dxa" w:w="5040"/>
            <w:vAlign w:val="center"/>
            <w:shd w:fill="F2F6FA"/>
          </w:tcPr>
          <w:p>
            <w:r>
              <w:rPr>
                <w:sz w:val="18"/>
              </w:rPr>
              <w:t>Accuracy</w:t>
            </w:r>
          </w:p>
        </w:tc>
        <w:tc>
          <w:tcPr>
            <w:tcW w:type="dxa" w:w="5040"/>
            <w:vAlign w:val="center"/>
            <w:shd w:fill="F2F6FA"/>
          </w:tcPr>
          <w:p>
            <w:r>
              <w:rPr>
                <w:sz w:val="18"/>
              </w:rPr>
              <w:t>99.50%</w:t>
            </w:r>
          </w:p>
        </w:tc>
      </w:tr>
      <w:tr>
        <w:tc>
          <w:tcPr>
            <w:tcW w:type="dxa" w:w="5040"/>
            <w:vAlign w:val="center"/>
          </w:tcPr>
          <w:p>
            <w:r>
              <w:rPr>
                <w:sz w:val="18"/>
              </w:rPr>
              <w:t>Precision</w:t>
            </w:r>
          </w:p>
        </w:tc>
        <w:tc>
          <w:tcPr>
            <w:tcW w:type="dxa" w:w="5040"/>
            <w:vAlign w:val="center"/>
          </w:tcPr>
          <w:p>
            <w:r>
              <w:rPr>
                <w:sz w:val="18"/>
              </w:rPr>
              <w:t>99.50%</w:t>
            </w:r>
          </w:p>
        </w:tc>
      </w:tr>
      <w:tr>
        <w:tc>
          <w:tcPr>
            <w:tcW w:type="dxa" w:w="5040"/>
            <w:vAlign w:val="center"/>
            <w:shd w:fill="F2F6FA"/>
          </w:tcPr>
          <w:p>
            <w:r>
              <w:rPr>
                <w:sz w:val="18"/>
              </w:rPr>
              <w:t>Recall</w:t>
            </w:r>
          </w:p>
        </w:tc>
        <w:tc>
          <w:tcPr>
            <w:tcW w:type="dxa" w:w="5040"/>
            <w:vAlign w:val="center"/>
            <w:shd w:fill="F2F6FA"/>
          </w:tcPr>
          <w:p>
            <w:r>
              <w:rPr>
                <w:sz w:val="18"/>
              </w:rPr>
              <w:t>99.50%</w:t>
            </w:r>
          </w:p>
        </w:tc>
      </w:tr>
      <w:tr>
        <w:tc>
          <w:tcPr>
            <w:tcW w:type="dxa" w:w="5040"/>
            <w:vAlign w:val="center"/>
          </w:tcPr>
          <w:p>
            <w:r>
              <w:rPr>
                <w:sz w:val="18"/>
              </w:rPr>
              <w:t>Weighted F1</w:t>
            </w:r>
          </w:p>
        </w:tc>
        <w:tc>
          <w:tcPr>
            <w:tcW w:type="dxa" w:w="5040"/>
            <w:vAlign w:val="center"/>
          </w:tcPr>
          <w:p>
            <w:r>
              <w:rPr>
                <w:sz w:val="18"/>
              </w:rPr>
              <w:t>99.50%</w:t>
            </w:r>
          </w:p>
        </w:tc>
      </w:tr>
      <w:tr>
        <w:tc>
          <w:tcPr>
            <w:tcW w:type="dxa" w:w="5040"/>
            <w:vAlign w:val="center"/>
            <w:shd w:fill="F2F6FA"/>
          </w:tcPr>
          <w:p>
            <w:r>
              <w:rPr>
                <w:sz w:val="18"/>
              </w:rPr>
              <w:t>Macro F1</w:t>
            </w:r>
          </w:p>
        </w:tc>
        <w:tc>
          <w:tcPr>
            <w:tcW w:type="dxa" w:w="5040"/>
            <w:vAlign w:val="center"/>
            <w:shd w:fill="F2F6FA"/>
          </w:tcPr>
          <w:p>
            <w:r>
              <w:rPr>
                <w:sz w:val="18"/>
              </w:rPr>
              <w:t>99.52%</w:t>
            </w:r>
          </w:p>
        </w:tc>
      </w:tr>
    </w:tbl>
    <w:p/>
    <w:p>
      <w:r>
        <w:t>The final test set contains 6,252 records. The model correctly classified 6,221 and misclassified 31. The most noticeable confusion is between Burger and Pizza, which have relatively similar nutritional profiles in the dataset.</w:t>
      </w:r>
    </w:p>
    <w:p>
      <w:pPr>
        <w:jc w:val="center"/>
      </w:pPr>
      <w:r>
        <w:drawing>
          <wp:inline xmlns:a="http://schemas.openxmlformats.org/drawingml/2006/main" xmlns:pic="http://schemas.openxmlformats.org/drawingml/2006/picture">
            <wp:extent cx="5852160" cy="4965850"/>
            <wp:docPr id="11" name="Picture 11"/>
            <wp:cNvGraphicFramePr>
              <a:graphicFrameLocks noChangeAspect="1"/>
            </wp:cNvGraphicFramePr>
            <a:graphic>
              <a:graphicData uri="http://schemas.openxmlformats.org/drawingml/2006/picture">
                <pic:pic>
                  <pic:nvPicPr>
                    <pic:cNvPr id="0" name="cell_203_0.png"/>
                    <pic:cNvPicPr/>
                  </pic:nvPicPr>
                  <pic:blipFill>
                    <a:blip r:embed="rId19"/>
                    <a:stretch>
                      <a:fillRect/>
                    </a:stretch>
                  </pic:blipFill>
                  <pic:spPr>
                    <a:xfrm>
                      <a:off x="0" y="0"/>
                      <a:ext cx="5852160" cy="4965850"/>
                    </a:xfrm>
                    <a:prstGeom prst="rect"/>
                  </pic:spPr>
                </pic:pic>
              </a:graphicData>
            </a:graphic>
          </wp:inline>
        </w:drawing>
      </w:r>
    </w:p>
    <w:p>
      <w:pPr>
        <w:pStyle w:val="CaptionSmall"/>
        <w:jc w:val="center"/>
      </w:pPr>
      <w:r>
        <w:t>Figure 11. Final confusion matrix for Gradient Boosting with outlier capping.</w:t>
      </w:r>
    </w:p>
    <w:p>
      <w:pPr>
        <w:pStyle w:val="Heading2"/>
      </w:pPr>
      <w:r>
        <w:t>10.3 Five-Fold Stratified Cross-Validation</w:t>
      </w:r>
    </w:p>
    <w:p>
      <w:r>
        <w:t>The final capped model was validated with 5-fold stratified cross-validation using Macro F1 as the scoring metric. Stratification preserves the class distribution across folds.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sz w:val="18"/>
              </w:rPr>
              <w:t>Fold</w:t>
            </w:r>
          </w:p>
        </w:tc>
        <w:tc>
          <w:tcPr>
            <w:tcW w:type="dxa" w:w="5040"/>
            <w:shd w:fill="1F4E78"/>
          </w:tcPr>
          <w:p>
            <w:r>
              <w:rPr>
                <w:b/>
                <w:color w:val="FFFFFF"/>
                <w:sz w:val="18"/>
              </w:rPr>
              <w:t>Macro F1</w:t>
            </w:r>
          </w:p>
        </w:tc>
      </w:tr>
      <w:tr>
        <w:tc>
          <w:tcPr>
            <w:tcW w:type="dxa" w:w="5040"/>
            <w:vAlign w:val="center"/>
            <w:shd w:fill="F2F6FA"/>
          </w:tcPr>
          <w:p>
            <w:r>
              <w:rPr>
                <w:sz w:val="18"/>
              </w:rPr>
              <w:t>1</w:t>
            </w:r>
          </w:p>
        </w:tc>
        <w:tc>
          <w:tcPr>
            <w:tcW w:type="dxa" w:w="5040"/>
            <w:vAlign w:val="center"/>
            <w:shd w:fill="F2F6FA"/>
          </w:tcPr>
          <w:p>
            <w:r>
              <w:rPr>
                <w:sz w:val="18"/>
              </w:rPr>
              <w:t>99.4927%</w:t>
            </w:r>
          </w:p>
        </w:tc>
      </w:tr>
      <w:tr>
        <w:tc>
          <w:tcPr>
            <w:tcW w:type="dxa" w:w="5040"/>
            <w:vAlign w:val="center"/>
          </w:tcPr>
          <w:p>
            <w:r>
              <w:rPr>
                <w:sz w:val="18"/>
              </w:rPr>
              <w:t>2</w:t>
            </w:r>
          </w:p>
        </w:tc>
        <w:tc>
          <w:tcPr>
            <w:tcW w:type="dxa" w:w="5040"/>
            <w:vAlign w:val="center"/>
          </w:tcPr>
          <w:p>
            <w:r>
              <w:rPr>
                <w:sz w:val="18"/>
              </w:rPr>
              <w:t>99.5434%</w:t>
            </w:r>
          </w:p>
        </w:tc>
      </w:tr>
      <w:tr>
        <w:tc>
          <w:tcPr>
            <w:tcW w:type="dxa" w:w="5040"/>
            <w:vAlign w:val="center"/>
            <w:shd w:fill="F2F6FA"/>
          </w:tcPr>
          <w:p>
            <w:r>
              <w:rPr>
                <w:sz w:val="18"/>
              </w:rPr>
              <w:t>3</w:t>
            </w:r>
          </w:p>
        </w:tc>
        <w:tc>
          <w:tcPr>
            <w:tcW w:type="dxa" w:w="5040"/>
            <w:vAlign w:val="center"/>
            <w:shd w:fill="F2F6FA"/>
          </w:tcPr>
          <w:p>
            <w:r>
              <w:rPr>
                <w:sz w:val="18"/>
              </w:rPr>
              <w:t>99.6904%</w:t>
            </w:r>
          </w:p>
        </w:tc>
      </w:tr>
      <w:tr>
        <w:tc>
          <w:tcPr>
            <w:tcW w:type="dxa" w:w="5040"/>
            <w:vAlign w:val="center"/>
          </w:tcPr>
          <w:p>
            <w:r>
              <w:rPr>
                <w:sz w:val="18"/>
              </w:rPr>
              <w:t>4</w:t>
            </w:r>
          </w:p>
        </w:tc>
        <w:tc>
          <w:tcPr>
            <w:tcW w:type="dxa" w:w="5040"/>
            <w:vAlign w:val="center"/>
          </w:tcPr>
          <w:p>
            <w:r>
              <w:rPr>
                <w:sz w:val="18"/>
              </w:rPr>
              <w:t>99.5339%</w:t>
            </w:r>
          </w:p>
        </w:tc>
      </w:tr>
      <w:tr>
        <w:tc>
          <w:tcPr>
            <w:tcW w:type="dxa" w:w="5040"/>
            <w:vAlign w:val="center"/>
            <w:shd w:fill="F2F6FA"/>
          </w:tcPr>
          <w:p>
            <w:r>
              <w:rPr>
                <w:sz w:val="18"/>
              </w:rPr>
              <w:t>5</w:t>
            </w:r>
          </w:p>
        </w:tc>
        <w:tc>
          <w:tcPr>
            <w:tcW w:type="dxa" w:w="5040"/>
            <w:vAlign w:val="center"/>
            <w:shd w:fill="F2F6FA"/>
          </w:tcPr>
          <w:p>
            <w:r>
              <w:rPr>
                <w:sz w:val="18"/>
              </w:rPr>
              <w:t>99.4201%</w:t>
            </w:r>
          </w:p>
        </w:tc>
      </w:tr>
      <w:tr>
        <w:tc>
          <w:tcPr>
            <w:tcW w:type="dxa" w:w="5040"/>
            <w:vAlign w:val="center"/>
          </w:tcPr>
          <w:p>
            <w:r>
              <w:rPr>
                <w:sz w:val="18"/>
              </w:rPr>
              <w:t>Mean</w:t>
            </w:r>
          </w:p>
        </w:tc>
        <w:tc>
          <w:tcPr>
            <w:tcW w:type="dxa" w:w="5040"/>
            <w:vAlign w:val="center"/>
          </w:tcPr>
          <w:p>
            <w:r>
              <w:rPr>
                <w:sz w:val="18"/>
              </w:rPr>
              <w:t>99.5361%</w:t>
            </w:r>
          </w:p>
        </w:tc>
      </w:tr>
      <w:tr>
        <w:tc>
          <w:tcPr>
            <w:tcW w:type="dxa" w:w="5040"/>
            <w:vAlign w:val="center"/>
            <w:shd w:fill="F2F6FA"/>
          </w:tcPr>
          <w:p>
            <w:r>
              <w:rPr>
                <w:sz w:val="18"/>
              </w:rPr>
              <w:t>Std. Dev.</w:t>
            </w:r>
          </w:p>
        </w:tc>
        <w:tc>
          <w:tcPr>
            <w:tcW w:type="dxa" w:w="5040"/>
            <w:vAlign w:val="center"/>
            <w:shd w:fill="F2F6FA"/>
          </w:tcPr>
          <w:p>
            <w:r>
              <w:rPr>
                <w:sz w:val="18"/>
              </w:rPr>
              <w:t>0.0886 percentage points</w:t>
            </w:r>
          </w:p>
        </w:tc>
      </w:tr>
    </w:tbl>
    <w:p/>
    <w:p>
      <w:r>
        <w:t>The low standard deviation indicates that the model maintains stable performance across different training/validation partitions.</w:t>
      </w:r>
    </w:p>
    <w:p>
      <w:pPr>
        <w:pStyle w:val="Heading1"/>
      </w:pPr>
      <w:r>
        <w:t>11. Feature Importance and Interpretation</w:t>
      </w:r>
    </w:p>
    <w:p>
      <w:pPr>
        <w:jc w:val="center"/>
      </w:pPr>
      <w:r>
        <w:drawing>
          <wp:inline xmlns:a="http://schemas.openxmlformats.org/drawingml/2006/main" xmlns:pic="http://schemas.openxmlformats.org/drawingml/2006/picture">
            <wp:extent cx="5852160" cy="4082902"/>
            <wp:docPr id="12" name="Picture 12"/>
            <wp:cNvGraphicFramePr>
              <a:graphicFrameLocks noChangeAspect="1"/>
            </wp:cNvGraphicFramePr>
            <a:graphic>
              <a:graphicData uri="http://schemas.openxmlformats.org/drawingml/2006/picture">
                <pic:pic>
                  <pic:nvPicPr>
                    <pic:cNvPr id="0" name="cell_208_0.png"/>
                    <pic:cNvPicPr/>
                  </pic:nvPicPr>
                  <pic:blipFill>
                    <a:blip r:embed="rId20"/>
                    <a:stretch>
                      <a:fillRect/>
                    </a:stretch>
                  </pic:blipFill>
                  <pic:spPr>
                    <a:xfrm>
                      <a:off x="0" y="0"/>
                      <a:ext cx="5852160" cy="4082902"/>
                    </a:xfrm>
                    <a:prstGeom prst="rect"/>
                  </pic:spPr>
                </pic:pic>
              </a:graphicData>
            </a:graphic>
          </wp:inline>
        </w:drawing>
      </w:r>
    </w:p>
    <w:p>
      <w:pPr>
        <w:pStyle w:val="CaptionSmall"/>
        <w:jc w:val="center"/>
      </w:pPr>
      <w:r>
        <w:t>Figure 12. Final Gradient Boosting feature importance.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sz w:val="18"/>
              </w:rPr>
              <w:t>Feature</w:t>
            </w:r>
          </w:p>
        </w:tc>
        <w:tc>
          <w:tcPr>
            <w:tcW w:type="dxa" w:w="5040"/>
            <w:shd w:fill="1F4E78"/>
          </w:tcPr>
          <w:p>
            <w:r>
              <w:rPr>
                <w:b/>
                <w:color w:val="FFFFFF"/>
                <w:sz w:val="18"/>
              </w:rPr>
              <w:t>Importance</w:t>
            </w:r>
          </w:p>
        </w:tc>
      </w:tr>
      <w:tr>
        <w:tc>
          <w:tcPr>
            <w:tcW w:type="dxa" w:w="5040"/>
            <w:vAlign w:val="center"/>
            <w:shd w:fill="F2F6FA"/>
          </w:tcPr>
          <w:p>
            <w:r>
              <w:rPr>
                <w:sz w:val="18"/>
              </w:rPr>
              <w:t>Serving Size</w:t>
            </w:r>
          </w:p>
        </w:tc>
        <w:tc>
          <w:tcPr>
            <w:tcW w:type="dxa" w:w="5040"/>
            <w:vAlign w:val="center"/>
            <w:shd w:fill="F2F6FA"/>
          </w:tcPr>
          <w:p>
            <w:r>
              <w:rPr>
                <w:sz w:val="18"/>
              </w:rPr>
              <w:t>25.61%</w:t>
            </w:r>
          </w:p>
        </w:tc>
      </w:tr>
      <w:tr>
        <w:tc>
          <w:tcPr>
            <w:tcW w:type="dxa" w:w="5040"/>
            <w:vAlign w:val="center"/>
          </w:tcPr>
          <w:p>
            <w:r>
              <w:rPr>
                <w:sz w:val="18"/>
              </w:rPr>
              <w:t>Sodium</w:t>
            </w:r>
          </w:p>
        </w:tc>
        <w:tc>
          <w:tcPr>
            <w:tcW w:type="dxa" w:w="5040"/>
            <w:vAlign w:val="center"/>
          </w:tcPr>
          <w:p>
            <w:r>
              <w:rPr>
                <w:sz w:val="18"/>
              </w:rPr>
              <w:t>18.38%</w:t>
            </w:r>
          </w:p>
        </w:tc>
      </w:tr>
      <w:tr>
        <w:tc>
          <w:tcPr>
            <w:tcW w:type="dxa" w:w="5040"/>
            <w:vAlign w:val="center"/>
            <w:shd w:fill="F2F6FA"/>
          </w:tcPr>
          <w:p>
            <w:r>
              <w:rPr>
                <w:sz w:val="18"/>
              </w:rPr>
              <w:t>Cholesterol</w:t>
            </w:r>
          </w:p>
        </w:tc>
        <w:tc>
          <w:tcPr>
            <w:tcW w:type="dxa" w:w="5040"/>
            <w:vAlign w:val="center"/>
            <w:shd w:fill="F2F6FA"/>
          </w:tcPr>
          <w:p>
            <w:r>
              <w:rPr>
                <w:sz w:val="18"/>
              </w:rPr>
              <w:t>17.83%</w:t>
            </w:r>
          </w:p>
        </w:tc>
      </w:tr>
      <w:tr>
        <w:tc>
          <w:tcPr>
            <w:tcW w:type="dxa" w:w="5040"/>
            <w:vAlign w:val="center"/>
          </w:tcPr>
          <w:p>
            <w:r>
              <w:rPr>
                <w:sz w:val="18"/>
              </w:rPr>
              <w:t>Protein</w:t>
            </w:r>
          </w:p>
        </w:tc>
        <w:tc>
          <w:tcPr>
            <w:tcW w:type="dxa" w:w="5040"/>
            <w:vAlign w:val="center"/>
          </w:tcPr>
          <w:p>
            <w:r>
              <w:rPr>
                <w:sz w:val="18"/>
              </w:rPr>
              <w:t>12.91%</w:t>
            </w:r>
          </w:p>
        </w:tc>
      </w:tr>
      <w:tr>
        <w:tc>
          <w:tcPr>
            <w:tcW w:type="dxa" w:w="5040"/>
            <w:vAlign w:val="center"/>
            <w:shd w:fill="F2F6FA"/>
          </w:tcPr>
          <w:p>
            <w:r>
              <w:rPr>
                <w:sz w:val="18"/>
              </w:rPr>
              <w:t>Is Gluten Free</w:t>
            </w:r>
          </w:p>
        </w:tc>
        <w:tc>
          <w:tcPr>
            <w:tcW w:type="dxa" w:w="5040"/>
            <w:vAlign w:val="center"/>
            <w:shd w:fill="F2F6FA"/>
          </w:tcPr>
          <w:p>
            <w:r>
              <w:rPr>
                <w:sz w:val="18"/>
              </w:rPr>
              <w:t>8.35%</w:t>
            </w:r>
          </w:p>
        </w:tc>
      </w:tr>
      <w:tr>
        <w:tc>
          <w:tcPr>
            <w:tcW w:type="dxa" w:w="5040"/>
            <w:vAlign w:val="center"/>
          </w:tcPr>
          <w:p>
            <w:r>
              <w:rPr>
                <w:sz w:val="18"/>
              </w:rPr>
              <w:t>Sugar</w:t>
            </w:r>
          </w:p>
        </w:tc>
        <w:tc>
          <w:tcPr>
            <w:tcW w:type="dxa" w:w="5040"/>
            <w:vAlign w:val="center"/>
          </w:tcPr>
          <w:p>
            <w:r>
              <w:rPr>
                <w:sz w:val="18"/>
              </w:rPr>
              <w:t>7.21%</w:t>
            </w:r>
          </w:p>
        </w:tc>
      </w:tr>
      <w:tr>
        <w:tc>
          <w:tcPr>
            <w:tcW w:type="dxa" w:w="5040"/>
            <w:vAlign w:val="center"/>
            <w:shd w:fill="F2F6FA"/>
          </w:tcPr>
          <w:p>
            <w:r>
              <w:rPr>
                <w:sz w:val="18"/>
              </w:rPr>
              <w:t>Calories</w:t>
            </w:r>
          </w:p>
        </w:tc>
        <w:tc>
          <w:tcPr>
            <w:tcW w:type="dxa" w:w="5040"/>
            <w:vAlign w:val="center"/>
            <w:shd w:fill="F2F6FA"/>
          </w:tcPr>
          <w:p>
            <w:r>
              <w:rPr>
                <w:sz w:val="18"/>
              </w:rPr>
              <w:t>3.84%</w:t>
            </w:r>
          </w:p>
        </w:tc>
      </w:tr>
      <w:tr>
        <w:tc>
          <w:tcPr>
            <w:tcW w:type="dxa" w:w="5040"/>
            <w:vAlign w:val="center"/>
          </w:tcPr>
          <w:p>
            <w:r>
              <w:rPr>
                <w:sz w:val="18"/>
              </w:rPr>
              <w:t>Fat</w:t>
            </w:r>
          </w:p>
        </w:tc>
        <w:tc>
          <w:tcPr>
            <w:tcW w:type="dxa" w:w="5040"/>
            <w:vAlign w:val="center"/>
          </w:tcPr>
          <w:p>
            <w:r>
              <w:rPr>
                <w:sz w:val="18"/>
              </w:rPr>
              <w:t>1.86%</w:t>
            </w:r>
          </w:p>
        </w:tc>
      </w:tr>
      <w:tr>
        <w:tc>
          <w:tcPr>
            <w:tcW w:type="dxa" w:w="5040"/>
            <w:vAlign w:val="center"/>
            <w:shd w:fill="F2F6FA"/>
          </w:tcPr>
          <w:p>
            <w:r>
              <w:rPr>
                <w:sz w:val="18"/>
              </w:rPr>
              <w:t>Fiber</w:t>
            </w:r>
          </w:p>
        </w:tc>
        <w:tc>
          <w:tcPr>
            <w:tcW w:type="dxa" w:w="5040"/>
            <w:vAlign w:val="center"/>
            <w:shd w:fill="F2F6FA"/>
          </w:tcPr>
          <w:p>
            <w:r>
              <w:rPr>
                <w:sz w:val="18"/>
              </w:rPr>
              <w:t>1.56%</w:t>
            </w:r>
          </w:p>
        </w:tc>
      </w:tr>
      <w:tr>
        <w:tc>
          <w:tcPr>
            <w:tcW w:type="dxa" w:w="5040"/>
            <w:vAlign w:val="center"/>
          </w:tcPr>
          <w:p>
            <w:r>
              <w:rPr>
                <w:sz w:val="18"/>
              </w:rPr>
              <w:t>Glycemic Index</w:t>
            </w:r>
          </w:p>
        </w:tc>
        <w:tc>
          <w:tcPr>
            <w:tcW w:type="dxa" w:w="5040"/>
            <w:vAlign w:val="center"/>
          </w:tcPr>
          <w:p>
            <w:r>
              <w:rPr>
                <w:sz w:val="18"/>
              </w:rPr>
              <w:t>1.14%</w:t>
            </w:r>
          </w:p>
        </w:tc>
      </w:tr>
      <w:tr>
        <w:tc>
          <w:tcPr>
            <w:tcW w:type="dxa" w:w="5040"/>
            <w:vAlign w:val="center"/>
            <w:shd w:fill="F2F6FA"/>
          </w:tcPr>
          <w:p>
            <w:r>
              <w:rPr>
                <w:sz w:val="18"/>
              </w:rPr>
              <w:t>Carbs</w:t>
            </w:r>
          </w:p>
        </w:tc>
        <w:tc>
          <w:tcPr>
            <w:tcW w:type="dxa" w:w="5040"/>
            <w:vAlign w:val="center"/>
            <w:shd w:fill="F2F6FA"/>
          </w:tcPr>
          <w:p>
            <w:r>
              <w:rPr>
                <w:sz w:val="18"/>
              </w:rPr>
              <w:t>1.07%</w:t>
            </w:r>
          </w:p>
        </w:tc>
      </w:tr>
      <w:tr>
        <w:tc>
          <w:tcPr>
            <w:tcW w:type="dxa" w:w="5040"/>
            <w:vAlign w:val="center"/>
          </w:tcPr>
          <w:p>
            <w:r>
              <w:rPr>
                <w:sz w:val="18"/>
              </w:rPr>
              <w:t>Water Content</w:t>
            </w:r>
          </w:p>
        </w:tc>
        <w:tc>
          <w:tcPr>
            <w:tcW w:type="dxa" w:w="5040"/>
            <w:vAlign w:val="center"/>
          </w:tcPr>
          <w:p>
            <w:r>
              <w:rPr>
                <w:sz w:val="18"/>
              </w:rPr>
              <w:t>0.16%</w:t>
            </w:r>
          </w:p>
        </w:tc>
      </w:tr>
      <w:tr>
        <w:tc>
          <w:tcPr>
            <w:tcW w:type="dxa" w:w="5040"/>
            <w:vAlign w:val="center"/>
            <w:shd w:fill="F2F6FA"/>
          </w:tcPr>
          <w:p>
            <w:r>
              <w:rPr>
                <w:sz w:val="18"/>
              </w:rPr>
              <w:t>Is Vegan</w:t>
            </w:r>
          </w:p>
        </w:tc>
        <w:tc>
          <w:tcPr>
            <w:tcW w:type="dxa" w:w="5040"/>
            <w:vAlign w:val="center"/>
            <w:shd w:fill="F2F6FA"/>
          </w:tcPr>
          <w:p>
            <w:r>
              <w:rPr>
                <w:sz w:val="18"/>
              </w:rPr>
              <w:t>0.04%</w:t>
            </w:r>
          </w:p>
        </w:tc>
      </w:tr>
    </w:tbl>
    <w:p/>
    <w:p>
      <w:r>
        <w:t>Serving Size, Sodium, Cholesterol, and Protein are the four dominant predictors and together account for approximately 74.7% of total feature importance. Meal Type and Preparation Method have minimal individual importance in the final tree ensemble.</w:t>
      </w:r>
    </w:p>
    <w:p>
      <w:r>
        <w:t>These values describe the model’s relative use of features for prediction; they do not imply causal effects or that a feature is medically determinative.</w:t>
      </w:r>
    </w:p>
    <w:p>
      <w:pPr>
        <w:pStyle w:val="Heading1"/>
      </w:pPr>
      <w:r>
        <w:t>12. Prediction Demonstration</w:t>
      </w:r>
    </w:p>
    <w:p>
      <w:r>
        <w:t>The trained model is persisted as a reusable pipeline so that raw user inputs can be passed through the same preprocessing and classification process without retraining.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sz w:val="18"/>
              </w:rPr>
              <w:t>Input profile example</w:t>
            </w:r>
          </w:p>
        </w:tc>
        <w:tc>
          <w:tcPr>
            <w:tcW w:type="dxa" w:w="5040"/>
            <w:shd w:fill="1F4E78"/>
          </w:tcPr>
          <w:p>
            <w:r>
              <w:rPr>
                <w:b/>
                <w:color w:val="FFFFFF"/>
                <w:sz w:val="18"/>
              </w:rPr>
              <w:t>Value</w:t>
            </w:r>
          </w:p>
        </w:tc>
      </w:tr>
      <w:tr>
        <w:tc>
          <w:tcPr>
            <w:tcW w:type="dxa" w:w="5040"/>
            <w:vAlign w:val="center"/>
            <w:shd w:fill="F2F6FA"/>
          </w:tcPr>
          <w:p>
            <w:r>
              <w:rPr>
                <w:sz w:val="18"/>
              </w:rPr>
              <w:t>Calories</w:t>
            </w:r>
          </w:p>
        </w:tc>
        <w:tc>
          <w:tcPr>
            <w:tcW w:type="dxa" w:w="5040"/>
            <w:vAlign w:val="center"/>
            <w:shd w:fill="F2F6FA"/>
          </w:tcPr>
          <w:p>
            <w:r>
              <w:rPr>
                <w:sz w:val="18"/>
              </w:rPr>
              <w:t>403</w:t>
            </w:r>
          </w:p>
        </w:tc>
      </w:tr>
      <w:tr>
        <w:tc>
          <w:tcPr>
            <w:tcW w:type="dxa" w:w="5040"/>
            <w:vAlign w:val="center"/>
          </w:tcPr>
          <w:p>
            <w:r>
              <w:rPr>
                <w:sz w:val="18"/>
              </w:rPr>
              <w:t>Protein</w:t>
            </w:r>
          </w:p>
        </w:tc>
        <w:tc>
          <w:tcPr>
            <w:tcW w:type="dxa" w:w="5040"/>
            <w:vAlign w:val="center"/>
          </w:tcPr>
          <w:p>
            <w:r>
              <w:rPr>
                <w:sz w:val="18"/>
              </w:rPr>
              <w:t>25 g</w:t>
            </w:r>
          </w:p>
        </w:tc>
      </w:tr>
      <w:tr>
        <w:tc>
          <w:tcPr>
            <w:tcW w:type="dxa" w:w="5040"/>
            <w:vAlign w:val="center"/>
            <w:shd w:fill="F2F6FA"/>
          </w:tcPr>
          <w:p>
            <w:r>
              <w:rPr>
                <w:sz w:val="18"/>
              </w:rPr>
              <w:t>Fat</w:t>
            </w:r>
          </w:p>
        </w:tc>
        <w:tc>
          <w:tcPr>
            <w:tcW w:type="dxa" w:w="5040"/>
            <w:vAlign w:val="center"/>
            <w:shd w:fill="F2F6FA"/>
          </w:tcPr>
          <w:p>
            <w:r>
              <w:rPr>
                <w:sz w:val="18"/>
              </w:rPr>
              <w:t>25 g</w:t>
            </w:r>
          </w:p>
        </w:tc>
      </w:tr>
      <w:tr>
        <w:tc>
          <w:tcPr>
            <w:tcW w:type="dxa" w:w="5040"/>
            <w:vAlign w:val="center"/>
          </w:tcPr>
          <w:p>
            <w:r>
              <w:rPr>
                <w:sz w:val="18"/>
              </w:rPr>
              <w:t>Carbs</w:t>
            </w:r>
          </w:p>
        </w:tc>
        <w:tc>
          <w:tcPr>
            <w:tcW w:type="dxa" w:w="5040"/>
            <w:vAlign w:val="center"/>
          </w:tcPr>
          <w:p>
            <w:r>
              <w:rPr>
                <w:sz w:val="18"/>
              </w:rPr>
              <w:t>1 g</w:t>
            </w:r>
          </w:p>
        </w:tc>
      </w:tr>
      <w:tr>
        <w:tc>
          <w:tcPr>
            <w:tcW w:type="dxa" w:w="5040"/>
            <w:vAlign w:val="center"/>
            <w:shd w:fill="F2F6FA"/>
          </w:tcPr>
          <w:p>
            <w:r>
              <w:rPr>
                <w:sz w:val="18"/>
              </w:rPr>
              <w:t>Sugar</w:t>
            </w:r>
          </w:p>
        </w:tc>
        <w:tc>
          <w:tcPr>
            <w:tcW w:type="dxa" w:w="5040"/>
            <w:vAlign w:val="center"/>
            <w:shd w:fill="F2F6FA"/>
          </w:tcPr>
          <w:p>
            <w:r>
              <w:rPr>
                <w:sz w:val="18"/>
              </w:rPr>
              <w:t>0.5 g</w:t>
            </w:r>
          </w:p>
        </w:tc>
      </w:tr>
      <w:tr>
        <w:tc>
          <w:tcPr>
            <w:tcW w:type="dxa" w:w="5040"/>
            <w:vAlign w:val="center"/>
          </w:tcPr>
          <w:p>
            <w:r>
              <w:rPr>
                <w:sz w:val="18"/>
              </w:rPr>
              <w:t>Fiber</w:t>
            </w:r>
          </w:p>
        </w:tc>
        <w:tc>
          <w:tcPr>
            <w:tcW w:type="dxa" w:w="5040"/>
            <w:vAlign w:val="center"/>
          </w:tcPr>
          <w:p>
            <w:r>
              <w:rPr>
                <w:sz w:val="18"/>
              </w:rPr>
              <w:t>0.1 g</w:t>
            </w:r>
          </w:p>
        </w:tc>
      </w:tr>
      <w:tr>
        <w:tc>
          <w:tcPr>
            <w:tcW w:type="dxa" w:w="5040"/>
            <w:vAlign w:val="center"/>
            <w:shd w:fill="F2F6FA"/>
          </w:tcPr>
          <w:p>
            <w:r>
              <w:rPr>
                <w:sz w:val="18"/>
              </w:rPr>
              <w:t>Sodium</w:t>
            </w:r>
          </w:p>
        </w:tc>
        <w:tc>
          <w:tcPr>
            <w:tcW w:type="dxa" w:w="5040"/>
            <w:vAlign w:val="center"/>
            <w:shd w:fill="F2F6FA"/>
          </w:tcPr>
          <w:p>
            <w:r>
              <w:rPr>
                <w:sz w:val="18"/>
              </w:rPr>
              <w:t>100 mg</w:t>
            </w:r>
          </w:p>
        </w:tc>
      </w:tr>
      <w:tr>
        <w:tc>
          <w:tcPr>
            <w:tcW w:type="dxa" w:w="5040"/>
            <w:vAlign w:val="center"/>
          </w:tcPr>
          <w:p>
            <w:r>
              <w:rPr>
                <w:sz w:val="18"/>
              </w:rPr>
              <w:t>Cholesterol</w:t>
            </w:r>
          </w:p>
        </w:tc>
        <w:tc>
          <w:tcPr>
            <w:tcW w:type="dxa" w:w="5040"/>
            <w:vAlign w:val="center"/>
          </w:tcPr>
          <w:p>
            <w:r>
              <w:rPr>
                <w:sz w:val="18"/>
              </w:rPr>
              <w:t>80 mg</w:t>
            </w:r>
          </w:p>
        </w:tc>
      </w:tr>
      <w:tr>
        <w:tc>
          <w:tcPr>
            <w:tcW w:type="dxa" w:w="5040"/>
            <w:vAlign w:val="center"/>
            <w:shd w:fill="F2F6FA"/>
          </w:tcPr>
          <w:p>
            <w:r>
              <w:rPr>
                <w:sz w:val="18"/>
              </w:rPr>
              <w:t>Glycemic Index</w:t>
            </w:r>
          </w:p>
        </w:tc>
        <w:tc>
          <w:tcPr>
            <w:tcW w:type="dxa" w:w="5040"/>
            <w:vAlign w:val="center"/>
            <w:shd w:fill="F2F6FA"/>
          </w:tcPr>
          <w:p>
            <w:r>
              <w:rPr>
                <w:sz w:val="18"/>
              </w:rPr>
              <w:t>2</w:t>
            </w:r>
          </w:p>
        </w:tc>
      </w:tr>
      <w:tr>
        <w:tc>
          <w:tcPr>
            <w:tcW w:type="dxa" w:w="5040"/>
            <w:vAlign w:val="center"/>
          </w:tcPr>
          <w:p>
            <w:r>
              <w:rPr>
                <w:sz w:val="18"/>
              </w:rPr>
              <w:t>Water Content</w:t>
            </w:r>
          </w:p>
        </w:tc>
        <w:tc>
          <w:tcPr>
            <w:tcW w:type="dxa" w:w="5040"/>
            <w:vAlign w:val="center"/>
          </w:tcPr>
          <w:p>
            <w:r>
              <w:rPr>
                <w:sz w:val="18"/>
              </w:rPr>
              <w:t>2 (dataset units)</w:t>
            </w:r>
          </w:p>
        </w:tc>
      </w:tr>
      <w:tr>
        <w:tc>
          <w:tcPr>
            <w:tcW w:type="dxa" w:w="5040"/>
            <w:vAlign w:val="center"/>
            <w:shd w:fill="F2F6FA"/>
          </w:tcPr>
          <w:p>
            <w:r>
              <w:rPr>
                <w:sz w:val="18"/>
              </w:rPr>
              <w:t>Serving Size</w:t>
            </w:r>
          </w:p>
        </w:tc>
        <w:tc>
          <w:tcPr>
            <w:tcW w:type="dxa" w:w="5040"/>
            <w:vAlign w:val="center"/>
            <w:shd w:fill="F2F6FA"/>
          </w:tcPr>
          <w:p>
            <w:r>
              <w:rPr>
                <w:sz w:val="18"/>
              </w:rPr>
              <w:t>200</w:t>
            </w:r>
          </w:p>
        </w:tc>
      </w:tr>
      <w:tr>
        <w:tc>
          <w:tcPr>
            <w:tcW w:type="dxa" w:w="5040"/>
            <w:vAlign w:val="center"/>
          </w:tcPr>
          <w:p>
            <w:r>
              <w:rPr>
                <w:sz w:val="18"/>
              </w:rPr>
              <w:t>Meal Type</w:t>
            </w:r>
          </w:p>
        </w:tc>
        <w:tc>
          <w:tcPr>
            <w:tcW w:type="dxa" w:w="5040"/>
            <w:vAlign w:val="center"/>
          </w:tcPr>
          <w:p>
            <w:r>
              <w:rPr>
                <w:sz w:val="18"/>
              </w:rPr>
              <w:t>Dinner</w:t>
            </w:r>
          </w:p>
        </w:tc>
      </w:tr>
      <w:tr>
        <w:tc>
          <w:tcPr>
            <w:tcW w:type="dxa" w:w="5040"/>
            <w:vAlign w:val="center"/>
            <w:shd w:fill="F2F6FA"/>
          </w:tcPr>
          <w:p>
            <w:r>
              <w:rPr>
                <w:sz w:val="18"/>
              </w:rPr>
              <w:t>Preparation</w:t>
            </w:r>
          </w:p>
        </w:tc>
        <w:tc>
          <w:tcPr>
            <w:tcW w:type="dxa" w:w="5040"/>
            <w:vAlign w:val="center"/>
            <w:shd w:fill="F2F6FA"/>
          </w:tcPr>
          <w:p>
            <w:r>
              <w:rPr>
                <w:sz w:val="18"/>
              </w:rPr>
              <w:t>Grilled</w:t>
            </w:r>
          </w:p>
        </w:tc>
      </w:tr>
      <w:tr>
        <w:tc>
          <w:tcPr>
            <w:tcW w:type="dxa" w:w="5040"/>
            <w:vAlign w:val="center"/>
          </w:tcPr>
          <w:p>
            <w:r>
              <w:rPr>
                <w:sz w:val="18"/>
              </w:rPr>
              <w:t>Vegan</w:t>
            </w:r>
          </w:p>
        </w:tc>
        <w:tc>
          <w:tcPr>
            <w:tcW w:type="dxa" w:w="5040"/>
            <w:vAlign w:val="center"/>
          </w:tcPr>
          <w:p>
            <w:r>
              <w:rPr>
                <w:sz w:val="18"/>
              </w:rPr>
              <w:t>False</w:t>
            </w:r>
          </w:p>
        </w:tc>
      </w:tr>
      <w:tr>
        <w:tc>
          <w:tcPr>
            <w:tcW w:type="dxa" w:w="5040"/>
            <w:vAlign w:val="center"/>
            <w:shd w:fill="F2F6FA"/>
          </w:tcPr>
          <w:p>
            <w:r>
              <w:rPr>
                <w:sz w:val="18"/>
              </w:rPr>
              <w:t>Gluten Free</w:t>
            </w:r>
          </w:p>
        </w:tc>
        <w:tc>
          <w:tcPr>
            <w:tcW w:type="dxa" w:w="5040"/>
            <w:vAlign w:val="center"/>
            <w:shd w:fill="F2F6FA"/>
          </w:tcPr>
          <w:p>
            <w:r>
              <w:rPr>
                <w:sz w:val="18"/>
              </w:rPr>
              <w:t>True</w:t>
            </w:r>
          </w:p>
        </w:tc>
      </w:tr>
    </w:tbl>
    <w:p/>
    <w:p>
      <w:r>
        <w:t>Prediction: **Steak — 100.00% model probability**. Burger and Pizza were the next-ranked classes with effectively zero probability for this particular input. The displayed percentage is the model’s predicted probability for the supplied profile, not a guarantee of real-world identity.</w:t>
      </w:r>
    </w:p>
    <w:p>
      <w:pPr>
        <w:pStyle w:val="Heading1"/>
      </w:pPr>
      <w:r>
        <w:t>13. Business Insights and Recommendations</w:t>
      </w:r>
    </w:p>
    <w:p>
      <w:pPr>
        <w:pStyle w:val="ListBullet"/>
        <w:ind w:left="0"/>
      </w:pPr>
      <w:r>
        <w:t>Nutritional and serving characteristics are strong classification signals; the model relies most on Serving Size, Sodium, Cholesterol, and Protein.</w:t>
      </w:r>
    </w:p>
    <w:p>
      <w:pPr>
        <w:pStyle w:val="ListBullet"/>
        <w:ind w:left="0"/>
      </w:pPr>
      <w:r>
        <w:t>Automated food logging is a practical first application because a structured nutritional profile can be classified without manual label selection.</w:t>
      </w:r>
    </w:p>
    <w:p>
      <w:pPr>
        <w:pStyle w:val="ListBullet"/>
        <w:ind w:left="0"/>
      </w:pPr>
      <w:r>
        <w:t>The model can support nutrition-oriented dashboards and educational tools by exposing which attributes are most informative for a predefined category.</w:t>
      </w:r>
    </w:p>
    <w:p>
      <w:pPr>
        <w:pStyle w:val="ListBullet"/>
        <w:ind w:left="0"/>
      </w:pPr>
      <w:r>
        <w:t>A future recommendation layer could use user goals and constraints to search among allowed foods; this is distinct from the current classification model.</w:t>
      </w:r>
    </w:p>
    <w:p>
      <w:pPr>
        <w:pStyle w:val="ListBullet"/>
        <w:ind w:left="0"/>
      </w:pPr>
      <w:r>
        <w:t>Real-world deployment should validate the model on non-synthetic, independently collected food data before making health-related decisions from predictions.</w:t>
      </w:r>
    </w:p>
    <w:p>
      <w:pPr>
        <w:pStyle w:val="Heading1"/>
      </w:pPr>
      <w:r>
        <w:t>14. Limitations</w:t>
      </w:r>
    </w:p>
    <w:p>
      <w:pPr>
        <w:pStyle w:val="ListBullet"/>
        <w:ind w:left="0"/>
      </w:pPr>
      <w:r>
        <w:t>The dataset is synthetic, so the very high measured performance may not transfer directly to real-world food data.</w:t>
      </w:r>
    </w:p>
    <w:p>
      <w:pPr>
        <w:pStyle w:val="ListBullet"/>
        <w:ind w:left="0"/>
      </w:pPr>
      <w:r>
        <w:t>The model predicts among ten predefined food classes and cannot identify a food outside those classes.</w:t>
      </w:r>
    </w:p>
    <w:p>
      <w:pPr>
        <w:pStyle w:val="ListBullet"/>
        <w:ind w:left="0"/>
      </w:pPr>
      <w:r>
        <w:t>The classifier is not a complete dietary recommendation engine and does not optimize meal plans against user-specific health constraints.</w:t>
      </w:r>
    </w:p>
    <w:p>
      <w:pPr>
        <w:pStyle w:val="ListBullet"/>
        <w:ind w:left="0"/>
      </w:pPr>
      <w:r>
        <w:t>The model’s predicted probability is a model output and should not be interpreted as medical certainty.</w:t>
      </w:r>
    </w:p>
    <w:p>
      <w:pPr>
        <w:pStyle w:val="ListBullet"/>
        <w:ind w:left="0"/>
      </w:pPr>
      <w:r>
        <w:t>External validation on a representative real-world dataset would be required before production use.</w:t>
      </w:r>
    </w:p>
    <w:p>
      <w:pPr>
        <w:pStyle w:val="Heading1"/>
      </w:pPr>
      <w:r>
        <w:t>15. Conclusion</w:t>
      </w:r>
    </w:p>
    <w:p>
      <w:r>
        <w:t>NutriClass completed the requested multi-class food-classification workflow from data understanding through final prediction. The project addressed missing values and duplicates, investigated and capped outliers, standardized and encoded features, performed feature selection, benchmarked all seven specified classifiers, evaluated model quality using multiple metrics and confusion matrices, and validated the final model using five-fold stratified cross-validation.</w:t>
      </w:r>
    </w:p>
    <w:p>
      <w:r>
        <w:t>The final Gradient Boosting model achieved 99.50% holdout accuracy and 99.52% Macro F1, with a five-fold cross-validation mean Macro F1 of 99.54% and a standard deviation of 0.09 percentage points. These results demonstrate strong and stable performance on the supplied synthetic dataset.</w:t>
      </w:r>
    </w:p>
    <w:p>
      <w:r>
        <w:t>The trained model and preprocessing pipeline were saved as `models/nutriclass_final_model.pkl` for reuse in future applications.</w:t>
      </w:r>
    </w:p>
    <w:p>
      <w:pPr>
        <w:pStyle w:val="Heading1"/>
      </w:pPr>
      <w:r>
        <w:t>Appendix A — Requirement Coverage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sz w:val="18"/>
              </w:rPr>
              <w:t>Requirement</w:t>
            </w:r>
          </w:p>
        </w:tc>
        <w:tc>
          <w:tcPr>
            <w:tcW w:type="dxa" w:w="5040"/>
            <w:shd w:fill="1F4E78"/>
          </w:tcPr>
          <w:p>
            <w:r>
              <w:rPr>
                <w:b/>
                <w:color w:val="FFFFFF"/>
                <w:sz w:val="18"/>
              </w:rPr>
              <w:t>Status</w:t>
            </w:r>
          </w:p>
        </w:tc>
      </w:tr>
      <w:tr>
        <w:tc>
          <w:tcPr>
            <w:tcW w:type="dxa" w:w="5040"/>
            <w:vAlign w:val="center"/>
            <w:shd w:fill="F2F6FA"/>
          </w:tcPr>
          <w:p>
            <w:r>
              <w:rPr>
                <w:sz w:val="18"/>
              </w:rPr>
              <w:t>Data understanding and EDA</w:t>
            </w:r>
          </w:p>
        </w:tc>
        <w:tc>
          <w:tcPr>
            <w:tcW w:type="dxa" w:w="5040"/>
            <w:vAlign w:val="center"/>
            <w:shd w:fill="F2F6FA"/>
          </w:tcPr>
          <w:p>
            <w:r>
              <w:rPr>
                <w:sz w:val="18"/>
              </w:rPr>
              <w:t>Complete</w:t>
            </w:r>
          </w:p>
        </w:tc>
      </w:tr>
      <w:tr>
        <w:tc>
          <w:tcPr>
            <w:tcW w:type="dxa" w:w="5040"/>
            <w:vAlign w:val="center"/>
          </w:tcPr>
          <w:p>
            <w:r>
              <w:rPr>
                <w:sz w:val="18"/>
              </w:rPr>
              <w:t>Missing-value handling</w:t>
            </w:r>
          </w:p>
        </w:tc>
        <w:tc>
          <w:tcPr>
            <w:tcW w:type="dxa" w:w="5040"/>
            <w:vAlign w:val="center"/>
          </w:tcPr>
          <w:p>
            <w:r>
              <w:rPr>
                <w:sz w:val="18"/>
              </w:rPr>
              <w:t>Complete</w:t>
            </w:r>
          </w:p>
        </w:tc>
      </w:tr>
      <w:tr>
        <w:tc>
          <w:tcPr>
            <w:tcW w:type="dxa" w:w="5040"/>
            <w:vAlign w:val="center"/>
            <w:shd w:fill="F2F6FA"/>
          </w:tcPr>
          <w:p>
            <w:r>
              <w:rPr>
                <w:sz w:val="18"/>
              </w:rPr>
              <w:t>Duplicate removal</w:t>
            </w:r>
          </w:p>
        </w:tc>
        <w:tc>
          <w:tcPr>
            <w:tcW w:type="dxa" w:w="5040"/>
            <w:vAlign w:val="center"/>
            <w:shd w:fill="F2F6FA"/>
          </w:tcPr>
          <w:p>
            <w:r>
              <w:rPr>
                <w:sz w:val="18"/>
              </w:rPr>
              <w:t>Complete</w:t>
            </w:r>
          </w:p>
        </w:tc>
      </w:tr>
      <w:tr>
        <w:tc>
          <w:tcPr>
            <w:tcW w:type="dxa" w:w="5040"/>
            <w:vAlign w:val="center"/>
          </w:tcPr>
          <w:p>
            <w:r>
              <w:rPr>
                <w:sz w:val="18"/>
              </w:rPr>
              <w:t>Outlier detection and treatment</w:t>
            </w:r>
          </w:p>
        </w:tc>
        <w:tc>
          <w:tcPr>
            <w:tcW w:type="dxa" w:w="5040"/>
            <w:vAlign w:val="center"/>
          </w:tcPr>
          <w:p>
            <w:r>
              <w:rPr>
                <w:sz w:val="18"/>
              </w:rPr>
              <w:t>Complete — IQR capping</w:t>
            </w:r>
          </w:p>
        </w:tc>
      </w:tr>
      <w:tr>
        <w:tc>
          <w:tcPr>
            <w:tcW w:type="dxa" w:w="5040"/>
            <w:vAlign w:val="center"/>
            <w:shd w:fill="F2F6FA"/>
          </w:tcPr>
          <w:p>
            <w:r>
              <w:rPr>
                <w:sz w:val="18"/>
              </w:rPr>
              <w:t>Standardization/normalization</w:t>
            </w:r>
          </w:p>
        </w:tc>
        <w:tc>
          <w:tcPr>
            <w:tcW w:type="dxa" w:w="5040"/>
            <w:vAlign w:val="center"/>
            <w:shd w:fill="F2F6FA"/>
          </w:tcPr>
          <w:p>
            <w:r>
              <w:rPr>
                <w:sz w:val="18"/>
              </w:rPr>
              <w:t>Complete — StandardScaler</w:t>
            </w:r>
          </w:p>
        </w:tc>
      </w:tr>
      <w:tr>
        <w:tc>
          <w:tcPr>
            <w:tcW w:type="dxa" w:w="5040"/>
            <w:vAlign w:val="center"/>
          </w:tcPr>
          <w:p>
            <w:r>
              <w:rPr>
                <w:sz w:val="18"/>
              </w:rPr>
              <w:t>Feature selection / PCA</w:t>
            </w:r>
          </w:p>
        </w:tc>
        <w:tc>
          <w:tcPr>
            <w:tcW w:type="dxa" w:w="5040"/>
            <w:vAlign w:val="center"/>
          </w:tcPr>
          <w:p>
            <w:r>
              <w:rPr>
                <w:sz w:val="18"/>
              </w:rPr>
              <w:t>Complete — SelectKBest, 21 to 15</w:t>
            </w:r>
          </w:p>
        </w:tc>
      </w:tr>
      <w:tr>
        <w:tc>
          <w:tcPr>
            <w:tcW w:type="dxa" w:w="5040"/>
            <w:vAlign w:val="center"/>
            <w:shd w:fill="F2F6FA"/>
          </w:tcPr>
          <w:p>
            <w:r>
              <w:rPr>
                <w:sz w:val="18"/>
              </w:rPr>
              <w:t>Target encoding</w:t>
            </w:r>
          </w:p>
        </w:tc>
        <w:tc>
          <w:tcPr>
            <w:tcW w:type="dxa" w:w="5040"/>
            <w:vAlign w:val="center"/>
            <w:shd w:fill="F2F6FA"/>
          </w:tcPr>
          <w:p>
            <w:r>
              <w:rPr>
                <w:sz w:val="18"/>
              </w:rPr>
              <w:t>Complete — LabelEncoder</w:t>
            </w:r>
          </w:p>
        </w:tc>
      </w:tr>
      <w:tr>
        <w:tc>
          <w:tcPr>
            <w:tcW w:type="dxa" w:w="5040"/>
            <w:vAlign w:val="center"/>
          </w:tcPr>
          <w:p>
            <w:r>
              <w:rPr>
                <w:sz w:val="18"/>
              </w:rPr>
              <w:t>Seven required classifiers</w:t>
            </w:r>
          </w:p>
        </w:tc>
        <w:tc>
          <w:tcPr>
            <w:tcW w:type="dxa" w:w="5040"/>
            <w:vAlign w:val="center"/>
          </w:tcPr>
          <w:p>
            <w:r>
              <w:rPr>
                <w:sz w:val="18"/>
              </w:rPr>
              <w:t>Complete</w:t>
            </w:r>
          </w:p>
        </w:tc>
      </w:tr>
      <w:tr>
        <w:tc>
          <w:tcPr>
            <w:tcW w:type="dxa" w:w="5040"/>
            <w:vAlign w:val="center"/>
            <w:shd w:fill="F2F6FA"/>
          </w:tcPr>
          <w:p>
            <w:r>
              <w:rPr>
                <w:sz w:val="18"/>
              </w:rPr>
              <w:t>Accuracy, Precision, Recall, F1</w:t>
            </w:r>
          </w:p>
        </w:tc>
        <w:tc>
          <w:tcPr>
            <w:tcW w:type="dxa" w:w="5040"/>
            <w:vAlign w:val="center"/>
            <w:shd w:fill="F2F6FA"/>
          </w:tcPr>
          <w:p>
            <w:r>
              <w:rPr>
                <w:sz w:val="18"/>
              </w:rPr>
              <w:t>Complete</w:t>
            </w:r>
          </w:p>
        </w:tc>
      </w:tr>
      <w:tr>
        <w:tc>
          <w:tcPr>
            <w:tcW w:type="dxa" w:w="5040"/>
            <w:vAlign w:val="center"/>
          </w:tcPr>
          <w:p>
            <w:r>
              <w:rPr>
                <w:sz w:val="18"/>
              </w:rPr>
              <w:t>Confusion matrix evaluation</w:t>
            </w:r>
          </w:p>
        </w:tc>
        <w:tc>
          <w:tcPr>
            <w:tcW w:type="dxa" w:w="5040"/>
            <w:vAlign w:val="center"/>
          </w:tcPr>
          <w:p>
            <w:r>
              <w:rPr>
                <w:sz w:val="18"/>
              </w:rPr>
              <w:t>Complete — all seven models</w:t>
            </w:r>
          </w:p>
        </w:tc>
      </w:tr>
      <w:tr>
        <w:tc>
          <w:tcPr>
            <w:tcW w:type="dxa" w:w="5040"/>
            <w:vAlign w:val="center"/>
            <w:shd w:fill="F2F6FA"/>
          </w:tcPr>
          <w:p>
            <w:r>
              <w:rPr>
                <w:sz w:val="18"/>
              </w:rPr>
              <w:t>Cross-validation</w:t>
            </w:r>
          </w:p>
        </w:tc>
        <w:tc>
          <w:tcPr>
            <w:tcW w:type="dxa" w:w="5040"/>
            <w:vAlign w:val="center"/>
            <w:shd w:fill="F2F6FA"/>
          </w:tcPr>
          <w:p>
            <w:r>
              <w:rPr>
                <w:sz w:val="18"/>
              </w:rPr>
              <w:t>Complete — 5-fold stratified final model</w:t>
            </w:r>
          </w:p>
        </w:tc>
      </w:tr>
      <w:tr>
        <w:tc>
          <w:tcPr>
            <w:tcW w:type="dxa" w:w="5040"/>
            <w:vAlign w:val="center"/>
          </w:tcPr>
          <w:p>
            <w:r>
              <w:rPr>
                <w:sz w:val="18"/>
              </w:rPr>
              <w:t>Reproducibility</w:t>
            </w:r>
          </w:p>
        </w:tc>
        <w:tc>
          <w:tcPr>
            <w:tcW w:type="dxa" w:w="5040"/>
            <w:vAlign w:val="center"/>
          </w:tcPr>
          <w:p>
            <w:r>
              <w:rPr>
                <w:sz w:val="18"/>
              </w:rPr>
              <w:t>Complete — fixed random seeds</w:t>
            </w:r>
          </w:p>
        </w:tc>
      </w:tr>
      <w:tr>
        <w:tc>
          <w:tcPr>
            <w:tcW w:type="dxa" w:w="5040"/>
            <w:vAlign w:val="center"/>
            <w:shd w:fill="F2F6FA"/>
          </w:tcPr>
          <w:p>
            <w:r>
              <w:rPr>
                <w:sz w:val="18"/>
              </w:rPr>
              <w:t>Feature importance</w:t>
            </w:r>
          </w:p>
        </w:tc>
        <w:tc>
          <w:tcPr>
            <w:tcW w:type="dxa" w:w="5040"/>
            <w:vAlign w:val="center"/>
            <w:shd w:fill="F2F6FA"/>
          </w:tcPr>
          <w:p>
            <w:r>
              <w:rPr>
                <w:sz w:val="18"/>
              </w:rPr>
              <w:t>Complete — final Gradient Boosting</w:t>
            </w:r>
          </w:p>
        </w:tc>
      </w:tr>
      <w:tr>
        <w:tc>
          <w:tcPr>
            <w:tcW w:type="dxa" w:w="5040"/>
            <w:vAlign w:val="center"/>
          </w:tcPr>
          <w:p>
            <w:r>
              <w:rPr>
                <w:sz w:val="18"/>
              </w:rPr>
              <w:t>Source notebook</w:t>
            </w:r>
          </w:p>
        </w:tc>
        <w:tc>
          <w:tcPr>
            <w:tcW w:type="dxa" w:w="5040"/>
            <w:vAlign w:val="center"/>
          </w:tcPr>
          <w:p>
            <w:r>
              <w:rPr>
                <w:sz w:val="18"/>
              </w:rPr>
              <w:t>Complete / finalized</w:t>
            </w:r>
          </w:p>
        </w:tc>
      </w:tr>
      <w:tr>
        <w:tc>
          <w:tcPr>
            <w:tcW w:type="dxa" w:w="5040"/>
            <w:vAlign w:val="center"/>
            <w:shd w:fill="F2F6FA"/>
          </w:tcPr>
          <w:p>
            <w:r>
              <w:rPr>
                <w:sz w:val="18"/>
              </w:rPr>
              <w:t>Visualizations</w:t>
            </w:r>
          </w:p>
        </w:tc>
        <w:tc>
          <w:tcPr>
            <w:tcW w:type="dxa" w:w="5040"/>
            <w:vAlign w:val="center"/>
            <w:shd w:fill="F2F6FA"/>
          </w:tcPr>
          <w:p>
            <w:r>
              <w:rPr>
                <w:sz w:val="18"/>
              </w:rPr>
              <w:t>Complete</w:t>
            </w:r>
          </w:p>
        </w:tc>
      </w:tr>
      <w:tr>
        <w:tc>
          <w:tcPr>
            <w:tcW w:type="dxa" w:w="5040"/>
            <w:vAlign w:val="center"/>
          </w:tcPr>
          <w:p>
            <w:r>
              <w:rPr>
                <w:sz w:val="18"/>
              </w:rPr>
              <w:t>Comprehensive report</w:t>
            </w:r>
          </w:p>
        </w:tc>
        <w:tc>
          <w:tcPr>
            <w:tcW w:type="dxa" w:w="5040"/>
            <w:vAlign w:val="center"/>
          </w:tcPr>
          <w:p>
            <w:r>
              <w:rPr>
                <w:sz w:val="18"/>
              </w:rPr>
              <w:t>This document</w:t>
            </w:r>
          </w:p>
        </w:tc>
      </w:tr>
      <w:tr>
        <w:tc>
          <w:tcPr>
            <w:tcW w:type="dxa" w:w="5040"/>
            <w:vAlign w:val="center"/>
            <w:shd w:fill="F2F6FA"/>
          </w:tcPr>
          <w:p>
            <w:r>
              <w:rPr>
                <w:sz w:val="18"/>
              </w:rPr>
              <w:t>Version control</w:t>
            </w:r>
          </w:p>
        </w:tc>
        <w:tc>
          <w:tcPr>
            <w:tcW w:type="dxa" w:w="5040"/>
            <w:vAlign w:val="center"/>
            <w:shd w:fill="F2F6FA"/>
          </w:tcPr>
          <w:p>
            <w:r>
              <w:rPr>
                <w:sz w:val="18"/>
              </w:rPr>
              <w:t>Repository setup is the remaining delivery step</w:t>
            </w:r>
          </w:p>
        </w:tc>
      </w:tr>
    </w:tbl>
    <w:p/>
    <w:sectPr w:rsidR="00FC693F" w:rsidRPr="0006063C" w:rsidSect="00034616">
      <w:footerReference w:type="default" r:id="rId2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NutriClass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6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