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Experiment Section Draft: Policy–World-Model Feedback Collapse</w:t>
      </w:r>
    </w:p>
    <w:p>
      <w:pPr>
        <w:jc w:val="center"/>
      </w:pPr>
      <w:r>
        <w:rPr>
          <w:i/>
          <w:color w:val="5F5F5F"/>
          <w:sz w:val="21"/>
        </w:rPr>
        <w:t>Meta-World + iVideoGPT setup, written for direct implementation by a coding agent</w:t>
      </w:r>
    </w:p>
    <w:tbl>
      <w:tblPr>
        <w:tblW w:type="auto" w:w="0"/>
        <w:jc w:val="center"/>
        <w:tblLayout w:type="fixed"/>
        <w:tblLook w:firstColumn="1" w:firstRow="1" w:lastColumn="0" w:lastRow="0" w:noHBand="0" w:noVBand="1" w:val="04A0"/>
      </w:tblPr>
      <w:tblGrid>
        <w:gridCol w:w="9072"/>
      </w:tblGrid>
      <w:tr>
        <w:tc>
          <w:tcPr>
            <w:tcW w:type="dxa" w:w="9648"/>
            <w:shd w:fill="EAF1FB"/>
            <w:tcMar>
              <w:top w:w="80" w:type="dxa"/>
              <w:start w:w="90" w:type="dxa"/>
              <w:bottom w:w="80" w:type="dxa"/>
              <w:end w:w="90" w:type="dxa"/>
            </w:tcMar>
            <w:vAlign w:val="center"/>
          </w:tcPr>
          <w:p>
            <w:pPr>
              <w:spacing w:after="0"/>
            </w:pPr>
            <w:r>
              <w:rPr>
                <w:b/>
              </w:rPr>
              <w:t xml:space="preserve">Scope. </w:t>
            </w:r>
            <w:r>
              <w:t>This section operationalizes world collapse as selective forgetting of a world model in regions that were covered during pretraining but become under-visited under the current policy. The experiment is designed to verify three links in the chain: shrinking policy support, off-support model degradation, and downstream control failure.</w:t>
            </w:r>
          </w:p>
        </w:tc>
      </w:tr>
    </w:tbl>
    <w:p/>
    <w:p>
      <w:pPr>
        <w:pStyle w:val="Heading1"/>
      </w:pPr>
      <w:r>
        <w:t>4.1 Objective</w:t>
      </w:r>
    </w:p>
    <w:p>
      <w:pPr>
        <w:ind w:firstLine="259"/>
      </w:pPr>
      <w:r>
        <w:t>This experiment studies a feedback-driven collapse mode in online world-model training. The hypothesis is that, during closed-loop training, the policy gradually concentrates on a narrower subset of the environment state space. Because the world model is continually updated on this increasingly narrow data distribution, it becomes selectively worse on previously known but currently under-visited regions. This degradation then further limits exploration and harms adaptation outside the current policy support.</w:t>
      </w:r>
    </w:p>
    <w:p>
      <w:pPr>
        <w:ind w:firstLine="259"/>
      </w:pPr>
      <w:r>
        <w:t>The experiment is designed to answer three questions: (1) does the policy visitation distribution collapse over time, (2) does the world model degrade mainly in under-visited regions while remaining accurate on-policy, and (3) does this degradation reduce downstream control and adaptation performance?</w:t>
      </w:r>
    </w:p>
    <w:p>
      <w:pPr>
        <w:pStyle w:val="Heading1"/>
      </w:pPr>
      <w:r>
        <w:t>4.2 Environment and Model</w:t>
      </w:r>
    </w:p>
    <w:p>
      <w:pPr>
        <w:ind w:firstLine="259"/>
      </w:pPr>
      <w:r>
        <w:t>Environment. Use Meta-World with one task at a time for the first reproducible version. Recommended starting tasks are reach-v2, push-v2, and pick-place-v2 because they have continuous goal variation and interpretable state semantics.</w:t>
      </w:r>
    </w:p>
    <w:p>
      <w:pPr>
        <w:ind w:firstLine="259"/>
      </w:pPr>
      <w:r>
        <w:t>Observation format. Use RGB observations from a fixed camera. Feed the world model a short observation context together with an action sequence, following the standard iVideoGPT conditioning interface.</w:t>
      </w:r>
    </w:p>
    <w:p>
      <w:pPr>
        <w:ind w:firstLine="259"/>
      </w:pPr>
      <w:r>
        <w:t>World model. Use iVideoGPT as the visual world model. The model predicts future observations conditioned on the past visual context and future actions.</w:t>
      </w:r>
    </w:p>
    <w:p>
      <w:pPr>
        <w:ind w:firstLine="259"/>
      </w:pPr>
      <w:r>
        <w:t>Policy. The policy can be any actor or planner trained using the current world model. The exact optimization algorithm is not the main variable of interest. The only requirement is that the policy influences future training data for the world model.</w:t>
      </w:r>
    </w:p>
    <w:p>
      <w:pPr>
        <w:pStyle w:val="Heading1"/>
      </w:pPr>
      <w:r>
        <w:t>4.3 Data Pipeline and Training Protocol</w:t>
      </w:r>
    </w:p>
    <w:p>
      <w:pPr>
        <w:ind w:firstLine="259"/>
      </w:pPr>
      <w:r>
        <w:t>Phase A: broad pretraining dataset. Collect an initial real dataset D_pre using a mixture of random exploration and expert demonstrations. This dataset should cover the goal range and interaction stages as broadly as possible. Save video observations, actions, rewards, done flags, and simulator states for later probe-bank construction.</w:t>
      </w:r>
    </w:p>
    <w:p>
      <w:pPr>
        <w:ind w:firstLine="259"/>
      </w:pPr>
      <w:r>
        <w:t>Phase B: closed-loop online training. After pretraining the world model on D_pre, run an online loop. At each iteration, use the current policy to collect real trajectories, append them to an online dataset D_online,t, update the world model on a chosen data mixture, and update the policy using the latest world model.</w:t>
      </w:r>
    </w:p>
    <w:p>
      <w:pPr>
        <w:ind w:firstLine="259"/>
      </w:pPr>
      <w:r>
        <w:t>Collapse-prone condition. To make the effect easier to observe, use a strongly recency-biased world-model update rule: small replay buffer or no replay, large weight on recent on-policy data, and weak explicit exploration pressure. This is the main condition expected to induce support collapse.</w:t>
      </w:r>
    </w:p>
    <w:p>
      <w:pPr>
        <w:pStyle w:val="Heading1"/>
      </w:pPr>
      <w:r>
        <w:t>4.4 Fixed Probe Bank</w:t>
      </w:r>
    </w:p>
    <w:p>
      <w:pPr>
        <w:ind w:firstLine="259"/>
      </w:pPr>
      <w:r>
        <w:t>Construct a fixed probe bank before online training begins. Each probe item should contain: a saved simulator state s, one or more fixed action continuations a_1:H, and the corresponding real simulator rollout from that state under those actions.</w:t>
      </w:r>
    </w:p>
    <w:p>
      <w:pPr>
        <w:ind w:firstLine="259"/>
      </w:pPr>
      <w:r>
        <w:t>The probe bank must cover different goal regions, object positions, and interaction stages. During evaluation, partition probes into visited probes and under-visited probes according to the current policy visitation density. This design cleanly separates “the policy does not go there anymore” from “the model has forgotten how that region evolves.”</w:t>
      </w:r>
    </w:p>
    <w:p>
      <w:pPr>
        <w:pStyle w:val="Heading1"/>
      </w:pPr>
      <w:r>
        <w:t>4.5 Metrics</w:t>
      </w:r>
    </w:p>
    <w:p>
      <w:pPr>
        <w:pStyle w:val="Heading2"/>
      </w:pPr>
      <w:r>
        <w:t>4.5.1 Distribution Metrics</w:t>
      </w:r>
    </w:p>
    <w:p>
      <w:pPr>
        <w:ind w:firstLine="259"/>
      </w:pPr>
      <w:r>
        <w:t>Visitation entropy. Extract a task-relevant low-dimensional state vector at each real environment step, for example end-effector position, object position, goal position, gripper opening, and object-to-goal distance. Discretize the space into bins and compute the empirical entropy of the visitation distribution. Lower entropy indicates narrower policy support.</w:t>
      </w:r>
    </w:p>
    <w:p>
      <w:pPr>
        <w:ind w:firstLine="259"/>
      </w:pPr>
      <w:r>
        <w:t>Support gap. Let S_ref be the support induced by the broad pretraining dataset and S_t be the support induced by recent policy rollouts. Define SupportGap_t = |S_ref \ S_t| / |S_ref|. This measures how much of the previously covered support is no longer visited by the current policy.</w:t>
      </w:r>
    </w:p>
    <w:p>
      <w:pPr>
        <w:pStyle w:val="Heading2"/>
      </w:pPr>
      <w:r>
        <w:t>4.5.2 World Model Metrics</w:t>
      </w:r>
    </w:p>
    <w:p>
      <w:pPr>
        <w:ind w:firstLine="259"/>
      </w:pPr>
      <w:r>
        <w:t>Fixed-probe rollout error. For each probe state and fixed action continuation, compare the real simulator rollout with the world-model rollout. Report errors at horizons H in {1, 5, 10, 15}. Evaluate visited probes and under-visited probes separately.</w:t>
      </w:r>
    </w:p>
    <w:p>
      <w:pPr>
        <w:ind w:firstLine="259"/>
      </w:pPr>
      <w:r>
        <w:t>Semantic rollout error. In addition to image-space metrics, evaluate task-relevant semantic quantities. Use a frozen semantic extractor or direct simulator-state alignment to compare end-effector position, object position, and goal-relative distance between predicted and real rollouts.</w:t>
      </w:r>
    </w:p>
    <w:p>
      <w:pPr>
        <w:ind w:firstLine="259"/>
      </w:pPr>
      <w:r>
        <w:t>Off-support generalization gap. Let D_in denote visited probes and D_out denote under-visited probes. For a given rollout horizon H, compute Gap_H = E_{s in D_out}[e_H(s)] - E_{s in D_in}[e_H(s)]. A growing gap indicates the model stays accurate on-policy while degrading off-support.</w:t>
      </w:r>
    </w:p>
    <w:p>
      <w:pPr>
        <w:ind w:firstLine="259"/>
      </w:pPr>
      <w:r>
        <w:t>Forgetting score. Compare each online world-model checkpoint M_t against the pretrained checkpoint M_0 on the same probe bank. Define F_t(s) = e(M_t, s) - e(M_0, s). Positive forgetting concentrated in under-visited probes is evidence of genuine catastrophic forgetting rather than static weakness.</w:t>
      </w:r>
    </w:p>
    <w:p>
      <w:pPr>
        <w:ind w:firstLine="259"/>
      </w:pPr>
      <w:r>
        <w:t>Rollout diversity collapse. For a fixed probe state, sample multiple model rollouts using different seeds or latent samples. Measure diversity in latent trajectories, terminal semantic states, and predicted success outcomes. Reduced diversity in under-visited regions suggests the model collapses many off-support situations into a narrow set of familiar outcomes.</w:t>
      </w:r>
    </w:p>
    <w:p>
      <w:pPr>
        <w:pStyle w:val="Heading2"/>
      </w:pPr>
      <w:r>
        <w:t>4.5.3 Behavioral Metrics</w:t>
      </w:r>
    </w:p>
    <w:p>
      <w:pPr>
        <w:ind w:firstLine="259"/>
      </w:pPr>
      <w:r>
        <w:t>Goal-shift adaptation success. During training, bias data collection so the policy mostly visits one subregion of the goal space. During evaluation, shift goals to a previously under-visited region and measure success rate, recovery speed, and sample efficiency. A strong drop here indicates that local world-model collapse has practical control consequences.</w:t>
      </w:r>
    </w:p>
    <w:p>
      <w:pPr>
        <w:ind w:firstLine="259"/>
      </w:pPr>
      <w:r>
        <w:t>Replanning quality on probe states. Start from fixed probe states, use the current world model to choose actions or short plans, execute them in the real environment, and compare realized return or success with a stronger reference policy or oracle. The key expected pattern is that planning quality drops mainly on under-visited probes.</w:t>
      </w:r>
    </w:p>
    <w:p>
      <w:pPr>
        <w:pStyle w:val="Heading1"/>
      </w:pPr>
      <w:r>
        <w:t>4.6 Baselines</w:t>
      </w:r>
    </w:p>
    <w:p>
      <w:pPr>
        <w:ind w:firstLine="259"/>
      </w:pPr>
      <w:r>
        <w:t>Baseline A: frozen pretrained world model. Pretrain on D_pre and freeze the world model during policy training. This tests whether performance loss is caused by online world-model updates rather than policy learning alone.</w:t>
      </w:r>
    </w:p>
    <w:p>
      <w:pPr>
        <w:ind w:firstLine="259"/>
      </w:pPr>
      <w:r>
        <w:t>Baseline B: balanced replay world model. Continue online world-model updates but train with a large replay buffer that preserves broad historical coverage. This tests whether replay and data preservation mitigate collapse.</w:t>
      </w:r>
    </w:p>
    <w:p>
      <w:pPr>
        <w:ind w:firstLine="259"/>
      </w:pPr>
      <w:r>
        <w:t>Baseline C: exploration-enhanced policy. Keep the same online world-model update rule as the collapse-prone condition, but add stronger exploration incentives such as entropy bonus, curiosity, or RND-style signals. This tests whether maintaining broad visitation prevents forgetting.</w:t>
      </w:r>
    </w:p>
    <w:p>
      <w:pPr>
        <w:ind w:firstLine="259"/>
      </w:pPr>
      <w:r>
        <w:t>Baseline D: state-based world model. Use the same data schedule but train a small dynamics model directly on simulator states instead of pixels. This helps determine whether the effect is a general online world-model issue or mostly a visual-model issue.</w:t>
      </w:r>
    </w:p>
    <w:p>
      <w:pPr>
        <w:pStyle w:val="Heading1"/>
      </w:pPr>
      <w:r>
        <w:t>4.7 Main Expected Results</w:t>
      </w:r>
    </w:p>
    <w:p>
      <w:pPr>
        <w:ind w:firstLine="259"/>
      </w:pPr>
      <w:r>
        <w:t>If policy–world-model feedback collapse is present, three effects should appear together. First, the policy visitation distribution narrows: visitation entropy decreases and support gap increases. Second, the world model degrades selectively off-support: visited-probe error stays low while under-visited-probe error, off-support gap, and forgetting score all increase. Third, these modeling failures produce behavioral consequences: adaptation to shifted goals becomes worse and replanning quality drops on under-visited probe states.</w:t>
      </w:r>
    </w:p>
    <w:p>
      <w:pPr>
        <w:ind w:firstLine="259"/>
      </w:pPr>
      <w:r>
        <w:t>A drop in task success alone is not sufficient evidence of world collapse, because it can be caused by ordinary exploration failure or policy instability. Likewise, uniformly poor prediction is not selective forgetting. The claim of collapse therefore requires the joint appearance of shrinking support, selective off-support degradation, and downstream control failure.</w:t>
      </w:r>
    </w:p>
    <w:p>
      <w:pPr>
        <w:pStyle w:val="Heading1"/>
      </w:pPr>
      <w:r>
        <w:t>4.8 Recommended Plots</w:t>
      </w:r>
    </w:p>
    <w:p>
      <w:pPr>
        <w:ind w:firstLine="259"/>
      </w:pPr>
      <w:r>
        <w:t>Figure 1: visitation entropy and support gap versus training steps.</w:t>
      </w:r>
    </w:p>
    <w:p>
      <w:pPr>
        <w:ind w:firstLine="259"/>
      </w:pPr>
      <w:r>
        <w:t>Figure 2: visited-probe and under-visited-probe rollout error versus training steps, with separate curves for multiple horizons.</w:t>
      </w:r>
    </w:p>
    <w:p>
      <w:pPr>
        <w:ind w:firstLine="259"/>
      </w:pPr>
      <w:r>
        <w:t>Figure 3: forgetting heatmap over goal space or object-position space, overlaid with current policy visitation density.</w:t>
      </w:r>
    </w:p>
    <w:p>
      <w:pPr>
        <w:ind w:firstLine="259"/>
      </w:pPr>
      <w:r>
        <w:t>Figure 4: goal-shift adaptation success versus adaptation environment steps for all methods.</w:t>
      </w:r>
    </w:p>
    <w:p>
      <w:pPr>
        <w:ind w:firstLine="259"/>
      </w:pPr>
      <w:r>
        <w:t>Figure 5: off-support generalization gap versus training steps.</w:t>
      </w:r>
    </w:p>
    <w:p>
      <w:pPr>
        <w:pStyle w:val="Heading1"/>
      </w:pPr>
      <w:r>
        <w:t>4.9 Implementation Notes for Reproduction</w:t>
      </w:r>
    </w:p>
    <w:p>
      <w:pPr>
        <w:ind w:firstLine="259"/>
      </w:pPr>
      <w:r>
        <w:t>The codebase should be split into five modules: (1) data collection, (2) probe-bank construction, (3) world-model evaluation, (4) coverage analysis, and (5) behavioral evaluation. Log every metric at fixed online-training intervals. Save per-checkpoint outputs so the same probe bank can be re-evaluated across time.</w:t>
      </w:r>
    </w:p>
    <w:p>
      <w:pPr>
        <w:ind w:firstLine="259"/>
      </w:pPr>
      <w:r>
        <w:t>For the minimal reproducible setting, use one task (recommended: push-v2), one collapse-prone condition (recent-data-only online updates), and two baselines (frozen pretrained world model and balanced replay world model). The four required metrics are visitation entropy, fixed-probe semantic rollout error, off-support generalization gap, and goal-shift adaptation success.</w:t>
      </w:r>
    </w:p>
    <w:p>
      <w:pPr>
        <w:pStyle w:val="Heading2"/>
      </w:pPr>
      <w:r>
        <w:t>4.10 Reproduction Checklist</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232"/>
            <w:shd w:fill="D9E2F3"/>
            <w:tcMar>
              <w:top w:w="80" w:type="dxa"/>
              <w:start w:w="90" w:type="dxa"/>
              <w:bottom w:w="80" w:type="dxa"/>
              <w:end w:w="90" w:type="dxa"/>
            </w:tcMar>
            <w:vAlign w:val="center"/>
          </w:tcPr>
          <w:p>
            <w:pPr>
              <w:jc w:val="center"/>
            </w:pPr>
            <w:r>
              <w:rPr>
                <w:b/>
              </w:rPr>
              <w:t>Module</w:t>
            </w:r>
          </w:p>
        </w:tc>
        <w:tc>
          <w:tcPr>
            <w:tcW w:type="dxa" w:w="5112"/>
            <w:shd w:fill="D9E2F3"/>
            <w:tcMar>
              <w:top w:w="80" w:type="dxa"/>
              <w:start w:w="90" w:type="dxa"/>
              <w:bottom w:w="80" w:type="dxa"/>
              <w:end w:w="90" w:type="dxa"/>
            </w:tcMar>
            <w:vAlign w:val="center"/>
          </w:tcPr>
          <w:p>
            <w:pPr>
              <w:jc w:val="center"/>
            </w:pPr>
            <w:r>
              <w:rPr>
                <w:b/>
              </w:rPr>
              <w:t>Required outputs</w:t>
            </w:r>
          </w:p>
        </w:tc>
        <w:tc>
          <w:tcPr>
            <w:tcW w:type="dxa" w:w="1728"/>
            <w:shd w:fill="D9E2F3"/>
            <w:tcMar>
              <w:top w:w="80" w:type="dxa"/>
              <w:start w:w="90" w:type="dxa"/>
              <w:bottom w:w="80" w:type="dxa"/>
              <w:end w:w="90" w:type="dxa"/>
            </w:tcMar>
            <w:vAlign w:val="center"/>
          </w:tcPr>
          <w:p>
            <w:pPr>
              <w:jc w:val="center"/>
            </w:pPr>
            <w:r>
              <w:rPr>
                <w:b/>
              </w:rPr>
              <w:t>Priority</w:t>
            </w:r>
          </w:p>
        </w:tc>
      </w:tr>
      <w:tr>
        <w:tc>
          <w:tcPr>
            <w:tcW w:type="dxa" w:w="2232"/>
            <w:tcMar>
              <w:top w:w="80" w:type="dxa"/>
              <w:start w:w="90" w:type="dxa"/>
              <w:bottom w:w="80" w:type="dxa"/>
              <w:end w:w="90" w:type="dxa"/>
            </w:tcMar>
            <w:vAlign w:val="center"/>
          </w:tcPr>
          <w:p>
            <w:r>
              <w:t>Data collection</w:t>
            </w:r>
          </w:p>
        </w:tc>
        <w:tc>
          <w:tcPr>
            <w:tcW w:type="dxa" w:w="5112"/>
            <w:tcMar>
              <w:top w:w="80" w:type="dxa"/>
              <w:start w:w="90" w:type="dxa"/>
              <w:bottom w:w="80" w:type="dxa"/>
              <w:end w:w="90" w:type="dxa"/>
            </w:tcMar>
            <w:vAlign w:val="center"/>
          </w:tcPr>
          <w:p>
            <w:r>
              <w:t>D_pre, online trajectories, simulator-state snapshots, metadata for goal region and episode stage</w:t>
            </w:r>
          </w:p>
        </w:tc>
        <w:tc>
          <w:tcPr>
            <w:tcW w:type="dxa" w:w="1728"/>
            <w:tcMar>
              <w:top w:w="80" w:type="dxa"/>
              <w:start w:w="90" w:type="dxa"/>
              <w:bottom w:w="80" w:type="dxa"/>
              <w:end w:w="90" w:type="dxa"/>
            </w:tcMar>
            <w:vAlign w:val="center"/>
          </w:tcPr>
          <w:p>
            <w:pPr>
              <w:jc w:val="center"/>
            </w:pPr>
            <w:r>
              <w:t>High</w:t>
            </w:r>
          </w:p>
        </w:tc>
      </w:tr>
      <w:tr>
        <w:tc>
          <w:tcPr>
            <w:tcW w:type="dxa" w:w="2232"/>
            <w:tcMar>
              <w:top w:w="80" w:type="dxa"/>
              <w:start w:w="90" w:type="dxa"/>
              <w:bottom w:w="80" w:type="dxa"/>
              <w:end w:w="90" w:type="dxa"/>
            </w:tcMar>
            <w:vAlign w:val="center"/>
          </w:tcPr>
          <w:p>
            <w:r>
              <w:t>Probe bank</w:t>
            </w:r>
          </w:p>
        </w:tc>
        <w:tc>
          <w:tcPr>
            <w:tcW w:type="dxa" w:w="5112"/>
            <w:tcMar>
              <w:top w:w="80" w:type="dxa"/>
              <w:start w:w="90" w:type="dxa"/>
              <w:bottom w:w="80" w:type="dxa"/>
              <w:end w:w="90" w:type="dxa"/>
            </w:tcMar>
            <w:vAlign w:val="center"/>
          </w:tcPr>
          <w:p>
            <w:r>
              <w:t>Saved start states, fixed action continuations, real rollout targets, visited/unvisited labels</w:t>
            </w:r>
          </w:p>
        </w:tc>
        <w:tc>
          <w:tcPr>
            <w:tcW w:type="dxa" w:w="1728"/>
            <w:tcMar>
              <w:top w:w="80" w:type="dxa"/>
              <w:start w:w="90" w:type="dxa"/>
              <w:bottom w:w="80" w:type="dxa"/>
              <w:end w:w="90" w:type="dxa"/>
            </w:tcMar>
            <w:vAlign w:val="center"/>
          </w:tcPr>
          <w:p>
            <w:pPr>
              <w:jc w:val="center"/>
            </w:pPr>
            <w:r>
              <w:t>High</w:t>
            </w:r>
          </w:p>
        </w:tc>
      </w:tr>
      <w:tr>
        <w:tc>
          <w:tcPr>
            <w:tcW w:type="dxa" w:w="2232"/>
            <w:tcMar>
              <w:top w:w="80" w:type="dxa"/>
              <w:start w:w="90" w:type="dxa"/>
              <w:bottom w:w="80" w:type="dxa"/>
              <w:end w:w="90" w:type="dxa"/>
            </w:tcMar>
            <w:vAlign w:val="center"/>
          </w:tcPr>
          <w:p>
            <w:r>
              <w:t>WM evaluation</w:t>
            </w:r>
          </w:p>
        </w:tc>
        <w:tc>
          <w:tcPr>
            <w:tcW w:type="dxa" w:w="5112"/>
            <w:tcMar>
              <w:top w:w="80" w:type="dxa"/>
              <w:start w:w="90" w:type="dxa"/>
              <w:bottom w:w="80" w:type="dxa"/>
              <w:end w:w="90" w:type="dxa"/>
            </w:tcMar>
            <w:vAlign w:val="center"/>
          </w:tcPr>
          <w:p>
            <w:r>
              <w:t>Pixel metrics, semantic metrics, forgetting score, horizon-wise error reports</w:t>
            </w:r>
          </w:p>
        </w:tc>
        <w:tc>
          <w:tcPr>
            <w:tcW w:type="dxa" w:w="1728"/>
            <w:tcMar>
              <w:top w:w="80" w:type="dxa"/>
              <w:start w:w="90" w:type="dxa"/>
              <w:bottom w:w="80" w:type="dxa"/>
              <w:end w:w="90" w:type="dxa"/>
            </w:tcMar>
            <w:vAlign w:val="center"/>
          </w:tcPr>
          <w:p>
            <w:pPr>
              <w:jc w:val="center"/>
            </w:pPr>
            <w:r>
              <w:t>High</w:t>
            </w:r>
          </w:p>
        </w:tc>
      </w:tr>
      <w:tr>
        <w:tc>
          <w:tcPr>
            <w:tcW w:type="dxa" w:w="2232"/>
            <w:tcMar>
              <w:top w:w="80" w:type="dxa"/>
              <w:start w:w="90" w:type="dxa"/>
              <w:bottom w:w="80" w:type="dxa"/>
              <w:end w:w="90" w:type="dxa"/>
            </w:tcMar>
            <w:vAlign w:val="center"/>
          </w:tcPr>
          <w:p>
            <w:r>
              <w:t>Coverage analysis</w:t>
            </w:r>
          </w:p>
        </w:tc>
        <w:tc>
          <w:tcPr>
            <w:tcW w:type="dxa" w:w="5112"/>
            <w:tcMar>
              <w:top w:w="80" w:type="dxa"/>
              <w:start w:w="90" w:type="dxa"/>
              <w:bottom w:w="80" w:type="dxa"/>
              <w:end w:w="90" w:type="dxa"/>
            </w:tcMar>
            <w:vAlign w:val="center"/>
          </w:tcPr>
          <w:p>
            <w:r>
              <w:t>Visitation entropy, support gap, heatmaps, density overlays</w:t>
            </w:r>
          </w:p>
        </w:tc>
        <w:tc>
          <w:tcPr>
            <w:tcW w:type="dxa" w:w="1728"/>
            <w:tcMar>
              <w:top w:w="80" w:type="dxa"/>
              <w:start w:w="90" w:type="dxa"/>
              <w:bottom w:w="80" w:type="dxa"/>
              <w:end w:w="90" w:type="dxa"/>
            </w:tcMar>
            <w:vAlign w:val="center"/>
          </w:tcPr>
          <w:p>
            <w:pPr>
              <w:jc w:val="center"/>
            </w:pPr>
            <w:r>
              <w:t>High</w:t>
            </w:r>
          </w:p>
        </w:tc>
      </w:tr>
      <w:tr>
        <w:tc>
          <w:tcPr>
            <w:tcW w:type="dxa" w:w="2232"/>
            <w:tcMar>
              <w:top w:w="80" w:type="dxa"/>
              <w:start w:w="90" w:type="dxa"/>
              <w:bottom w:w="80" w:type="dxa"/>
              <w:end w:w="90" w:type="dxa"/>
            </w:tcMar>
            <w:vAlign w:val="center"/>
          </w:tcPr>
          <w:p>
            <w:r>
              <w:t>Behavior evaluation</w:t>
            </w:r>
          </w:p>
        </w:tc>
        <w:tc>
          <w:tcPr>
            <w:tcW w:type="dxa" w:w="5112"/>
            <w:tcMar>
              <w:top w:w="80" w:type="dxa"/>
              <w:start w:w="90" w:type="dxa"/>
              <w:bottom w:w="80" w:type="dxa"/>
              <w:end w:w="90" w:type="dxa"/>
            </w:tcMar>
            <w:vAlign w:val="center"/>
          </w:tcPr>
          <w:p>
            <w:r>
              <w:t>Goal-shift success curves, recovery speed, replanning quality on probes</w:t>
            </w:r>
          </w:p>
        </w:tc>
        <w:tc>
          <w:tcPr>
            <w:tcW w:type="dxa" w:w="1728"/>
            <w:tcMar>
              <w:top w:w="80" w:type="dxa"/>
              <w:start w:w="90" w:type="dxa"/>
              <w:bottom w:w="80" w:type="dxa"/>
              <w:end w:w="90" w:type="dxa"/>
            </w:tcMar>
            <w:vAlign w:val="center"/>
          </w:tcPr>
          <w:p>
            <w:pPr>
              <w:jc w:val="center"/>
            </w:pPr>
            <w:r>
              <w:t>Medium</w:t>
            </w:r>
          </w:p>
        </w:tc>
      </w:tr>
    </w:tbl>
    <w:p>
      <w:pPr>
        <w:spacing w:before="160"/>
      </w:pPr>
      <w:r>
        <w:rPr>
          <w:i/>
          <w:color w:val="5F5F5F"/>
          <w:sz w:val="18"/>
        </w:rPr>
        <w:t>Source context: the uploaded proposal frames the target mechanism as catastrophic forgetting in policy-unvisited regions and discusses diversity/variance collapse as a core risk signal.</w:t>
      </w:r>
    </w:p>
    <w:sectPr w:rsidR="00FC693F" w:rsidRPr="0006063C"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b/>
      <w:bCs/>
      <w:color w:val="234072"/>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36609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3407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