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B886C" w14:textId="77777777" w:rsidR="00D112E4" w:rsidRPr="001070E4" w:rsidRDefault="00D112E4" w:rsidP="00C46B46">
      <w:pPr>
        <w:ind w:firstLine="0"/>
        <w:jc w:val="both"/>
        <w:rPr>
          <w:b/>
          <w:bCs/>
        </w:rPr>
      </w:pPr>
      <w:r w:rsidRPr="001070E4">
        <w:rPr>
          <w:b/>
          <w:bCs/>
        </w:rPr>
        <w:t>Justificación del Proyecto de Título: Plataforma de Gestión para la Jefatura de Cursos</w:t>
      </w:r>
    </w:p>
    <w:p w14:paraId="035D683C" w14:textId="77777777" w:rsidR="00D112E4" w:rsidRDefault="00D112E4" w:rsidP="00C46B46">
      <w:pPr>
        <w:ind w:firstLine="0"/>
        <w:jc w:val="both"/>
      </w:pPr>
      <w:r>
        <w:t>La necesidad de desarrollar una plataforma que optimice la gestión de cursos en instituciones educativas surge de la creciente complejidad en la administración de recursos y la necesidad de una mejor comunicación en situaciones imprevistas. Este proyecto se distingue de otros existentes principalmente por dos funciones críticas: el control de salas para la gestión de ausencias de profesores y la administración de la tesorería para fines específicos de los estudiantes y sus familias.</w:t>
      </w:r>
    </w:p>
    <w:p w14:paraId="317486D6" w14:textId="77777777" w:rsidR="00D112E4" w:rsidRDefault="00D112E4" w:rsidP="00C46B46">
      <w:pPr>
        <w:jc w:val="both"/>
      </w:pPr>
    </w:p>
    <w:p w14:paraId="78D3510B" w14:textId="3DABBE5C" w:rsidR="00D112E4" w:rsidRPr="001070E4" w:rsidRDefault="00D112E4" w:rsidP="00C46B46">
      <w:pPr>
        <w:ind w:firstLine="0"/>
        <w:jc w:val="both"/>
        <w:rPr>
          <w:b/>
          <w:bCs/>
        </w:rPr>
      </w:pPr>
      <w:r w:rsidRPr="001070E4">
        <w:rPr>
          <w:b/>
          <w:bCs/>
        </w:rPr>
        <w:t>Control de Salas</w:t>
      </w:r>
      <w:r w:rsidR="001070E4" w:rsidRPr="001070E4">
        <w:rPr>
          <w:b/>
          <w:bCs/>
        </w:rPr>
        <w:t xml:space="preserve">  </w:t>
      </w:r>
    </w:p>
    <w:p w14:paraId="5DD8FEAB" w14:textId="77777777" w:rsidR="00D112E4" w:rsidRDefault="00D112E4" w:rsidP="00C46B46">
      <w:pPr>
        <w:ind w:firstLine="0"/>
        <w:jc w:val="both"/>
      </w:pPr>
      <w:r>
        <w:t>La gestión de la cobertura de clases durante las ausencias imprevistas de los profesores es un desafío crítico en las escuelas. Estas ausencias pueden deberse a situaciones como enfermedades repentinas o emergencias personales, lo que puede dejar a los estudiantes sin supervisión en el aula. Este problema se agrava cuando no se notifica a tiempo a la administración, lo que puede resultar en aulas desatendidas y potenciales riesgos para los estudiantes. La función de control de salas que ofrece esta plataforma permite a los profesores notificar sus ausencias de manera rápida a través de la web, y a otros profesores marcar su disponibilidad para cubrir esas ausencias, asegurando así que ningún aula quede sin supervisión.</w:t>
      </w:r>
    </w:p>
    <w:p w14:paraId="68AEC0B5" w14:textId="77777777" w:rsidR="00D112E4" w:rsidRDefault="00D112E4" w:rsidP="00C46B46">
      <w:pPr>
        <w:jc w:val="both"/>
      </w:pPr>
    </w:p>
    <w:p w14:paraId="600C05ED" w14:textId="00B2A764" w:rsidR="00D112E4" w:rsidRPr="001070E4" w:rsidRDefault="00D112E4" w:rsidP="00C46B46">
      <w:pPr>
        <w:ind w:firstLine="0"/>
        <w:jc w:val="both"/>
        <w:rPr>
          <w:b/>
          <w:bCs/>
        </w:rPr>
      </w:pPr>
      <w:r w:rsidRPr="001070E4">
        <w:rPr>
          <w:b/>
          <w:bCs/>
        </w:rPr>
        <w:t>Administración de la Tesorería</w:t>
      </w:r>
    </w:p>
    <w:p w14:paraId="2DA97349" w14:textId="58B88CA3" w:rsidR="000F0A42" w:rsidRDefault="00D112E4" w:rsidP="00C46B46">
      <w:pPr>
        <w:ind w:firstLine="0"/>
        <w:jc w:val="both"/>
      </w:pPr>
      <w:r>
        <w:t xml:space="preserve">La transparencia financiera es crucial en la gestión de los fondos de la junta de padres y alumnos, especialmente cuando se trata de la recaudación de dinero para eventos importantes como viajes de fin de año, giras de estudios, cenas de graduación, y las ceremonias de </w:t>
      </w:r>
      <w:r>
        <w:lastRenderedPageBreak/>
        <w:t>graduación en sí. Esta plataforma permitirá a los estudiantes y padres gestionar y visualizar las deudas y pagos asociados a estos eventos, asegurando que los fondos se administren de manera clara y accesible para todos los involucrados, lo que ayuda a evitar posibles malentendidos y mejora la confianza en la administración de recursos del curso.</w:t>
      </w:r>
    </w:p>
    <w:p w14:paraId="5E5F8AFF" w14:textId="77777777" w:rsidR="000F0A42" w:rsidRDefault="000F0A42" w:rsidP="00C46B46">
      <w:pPr>
        <w:ind w:firstLine="0"/>
        <w:jc w:val="both"/>
      </w:pPr>
    </w:p>
    <w:p w14:paraId="738D3A76" w14:textId="5610B6AF" w:rsidR="000F0A42" w:rsidRPr="000F0A42" w:rsidRDefault="000F0A42" w:rsidP="00C46B46">
      <w:pPr>
        <w:ind w:firstLine="0"/>
        <w:jc w:val="both"/>
        <w:rPr>
          <w:b/>
          <w:bCs/>
        </w:rPr>
      </w:pPr>
      <w:r w:rsidRPr="000F0A42">
        <w:rPr>
          <w:b/>
          <w:bCs/>
        </w:rPr>
        <w:t>Justificación</w:t>
      </w:r>
    </w:p>
    <w:p w14:paraId="0C08AA72" w14:textId="77777777" w:rsidR="000F0A42" w:rsidRDefault="000F0A42" w:rsidP="00C46B46">
      <w:pPr>
        <w:ind w:firstLine="0"/>
        <w:jc w:val="both"/>
      </w:pPr>
      <w:r>
        <w:t>Este proyecto se justifica principalmente por la implementación de dos secciones críticas: el control de salas y la administración de la tesorería, ambas consideradas fundamentales para la mejora de la gestión educativa. En primer lugar, la sección de control de salas es esencial debido a los riesgos asociados con la falta de supervisión en las aulas cuando los profesores se ausentan. Estas ausencias pueden generar situaciones no controladas que podrían afectar negativamente tanto a los estudiantes como a la reputación de la institución educativa. La capacidad de notificar ausencias y asignar rápidamente a otros profesores para cubrirlas mediante esta plataforma reduce significativamente estos riesgos, asegurando un ambiente seguro y supervisado en todo momento.</w:t>
      </w:r>
    </w:p>
    <w:p w14:paraId="437F8858" w14:textId="77777777" w:rsidR="000F0A42" w:rsidRDefault="000F0A42" w:rsidP="00C46B46">
      <w:pPr>
        <w:ind w:firstLine="0"/>
        <w:jc w:val="both"/>
      </w:pPr>
    </w:p>
    <w:p w14:paraId="2969FE90" w14:textId="0E9E62E6" w:rsidR="000F0A42" w:rsidRDefault="000F0A42" w:rsidP="00C46B46">
      <w:pPr>
        <w:ind w:firstLine="0"/>
        <w:jc w:val="both"/>
      </w:pPr>
      <w:r>
        <w:t>Por otro lado, la administración de la tesorería es igualmente importante, ya que permite una gestión financiera transparente y confiable de los fondos recaudados por estudiantes y padres para eventos escolares específicos. La falta de un control adecuado puede abrir la posibilidad de malos manejos, como el uso indebido de pequeñas cantidades de dinero sin que los demás lo perciban, o incluso la apropiación de fondos por parte del tesorero. Implementar esta funcionalidad en la plataforma garantizará que todas las transacciones sean visibles y auditables, protegiendo los recursos destinados a fines educativos y fortaleciendo la confianza en la administración de la comunidad educativa. Estas son las razones que justifican la creación de la página web, tanto para resguardar la integridad de la institución como para proteger a sus alumnos.</w:t>
      </w:r>
    </w:p>
    <w:p w14:paraId="32436A3A" w14:textId="77777777" w:rsidR="00D112E4" w:rsidRDefault="00D112E4" w:rsidP="00C46B46">
      <w:pPr>
        <w:jc w:val="both"/>
      </w:pPr>
    </w:p>
    <w:p w14:paraId="5F4EF0CF" w14:textId="60CC643E" w:rsidR="00D112E4" w:rsidRPr="001070E4" w:rsidRDefault="00D112E4" w:rsidP="00C46B46">
      <w:pPr>
        <w:ind w:firstLine="0"/>
        <w:jc w:val="both"/>
        <w:rPr>
          <w:b/>
          <w:bCs/>
        </w:rPr>
      </w:pPr>
      <w:r w:rsidRPr="001070E4">
        <w:rPr>
          <w:b/>
          <w:bCs/>
        </w:rPr>
        <w:t>Conclusión</w:t>
      </w:r>
    </w:p>
    <w:p w14:paraId="2D1F97D1" w14:textId="77777777" w:rsidR="00D112E4" w:rsidRDefault="00D112E4" w:rsidP="00C46B46">
      <w:pPr>
        <w:ind w:firstLine="0"/>
        <w:jc w:val="both"/>
      </w:pPr>
      <w:r>
        <w:t>Estas dos funciones clave, el control de salas para la gestión de ausencias de profesores y la administración específica de la tesorería de los cursos, no solo diferencian a esta plataforma de otras soluciones existentes, sino que también abordan problemas críticos en la gestión educativa cotidiana. Al implementar estas herramientas, se espera mejorar tanto la seguridad y supervisión en el aula como la confianza en la gestión de fondos para eventos importantes en la vida estudiantil.</w:t>
      </w:r>
    </w:p>
    <w:sdt>
      <w:sdtPr>
        <w:rPr>
          <w:lang w:val="es-ES"/>
        </w:rPr>
        <w:id w:val="533544783"/>
        <w:docPartObj>
          <w:docPartGallery w:val="Bibliographies"/>
          <w:docPartUnique/>
        </w:docPartObj>
      </w:sdtPr>
      <w:sdtEndPr>
        <w:rPr>
          <w:rFonts w:ascii="Arial" w:eastAsiaTheme="minorHAnsi" w:hAnsi="Arial" w:cstheme="minorBidi"/>
          <w:color w:val="auto"/>
          <w:sz w:val="22"/>
          <w:szCs w:val="24"/>
          <w:lang w:val="es-CL"/>
        </w:rPr>
      </w:sdtEndPr>
      <w:sdtContent>
        <w:p w14:paraId="3FC0B6FE" w14:textId="2F3E9BAB" w:rsidR="00C75DFD" w:rsidRDefault="00C75DFD">
          <w:pPr>
            <w:pStyle w:val="Ttulo1"/>
          </w:pPr>
          <w:r>
            <w:rPr>
              <w:lang w:val="es-ES"/>
            </w:rPr>
            <w:t>Referencias</w:t>
          </w:r>
        </w:p>
        <w:sdt>
          <w:sdtPr>
            <w:id w:val="-573587230"/>
            <w:bibliography/>
          </w:sdtPr>
          <w:sdtContent>
            <w:p w14:paraId="4E3E504D" w14:textId="77777777" w:rsidR="00C75DFD" w:rsidRDefault="00C75DFD" w:rsidP="00C75DFD">
              <w:pPr>
                <w:pStyle w:val="Bibliografa"/>
                <w:ind w:left="720" w:hanging="720"/>
                <w:rPr>
                  <w:noProof/>
                  <w:kern w:val="0"/>
                  <w:sz w:val="24"/>
                  <w:lang w:val="es-ES"/>
                  <w14:ligatures w14:val="none"/>
                </w:rPr>
              </w:pPr>
              <w:r>
                <w:fldChar w:fldCharType="begin"/>
              </w:r>
              <w:r>
                <w:instrText>BIBLIOGRAPHY</w:instrText>
              </w:r>
              <w:r>
                <w:fldChar w:fldCharType="separate"/>
              </w:r>
              <w:r>
                <w:rPr>
                  <w:noProof/>
                  <w:lang w:val="es-ES"/>
                </w:rPr>
                <w:t xml:space="preserve">ESS. (9 de agosto de 2019). </w:t>
              </w:r>
              <w:r>
                <w:rPr>
                  <w:i/>
                  <w:iCs/>
                  <w:noProof/>
                  <w:lang w:val="es-ES"/>
                </w:rPr>
                <w:t>Addressing the Financial Cost of Chronic Teacher Absenteeism in Your District</w:t>
              </w:r>
              <w:r>
                <w:rPr>
                  <w:noProof/>
                  <w:lang w:val="es-ES"/>
                </w:rPr>
                <w:t>. Obtenido de ESS: https://ess.com/blog/articles-chronic-teacher-absenteeism/</w:t>
              </w:r>
            </w:p>
            <w:p w14:paraId="479B7A68" w14:textId="77777777" w:rsidR="00C75DFD" w:rsidRDefault="00C75DFD" w:rsidP="00C75DFD">
              <w:pPr>
                <w:pStyle w:val="Bibliografa"/>
                <w:ind w:left="720" w:hanging="720"/>
                <w:rPr>
                  <w:noProof/>
                  <w:lang w:val="es-ES"/>
                </w:rPr>
              </w:pPr>
              <w:r>
                <w:rPr>
                  <w:noProof/>
                  <w:lang w:val="es-ES"/>
                </w:rPr>
                <w:t xml:space="preserve">UNESCO. (2006). </w:t>
              </w:r>
              <w:r>
                <w:rPr>
                  <w:i/>
                  <w:iCs/>
                  <w:noProof/>
                  <w:lang w:val="es-ES"/>
                </w:rPr>
                <w:t>Governance in education: transparency and accountability.</w:t>
              </w:r>
              <w:r>
                <w:rPr>
                  <w:noProof/>
                  <w:lang w:val="es-ES"/>
                </w:rPr>
                <w:t xml:space="preserve"> París: International Institute for Educational Planning. Obtenido de https://unesdoc.unesco.org/ark:/48223/pf0000148766</w:t>
              </w:r>
            </w:p>
            <w:p w14:paraId="5F3915D3" w14:textId="1ED367B7" w:rsidR="00C75DFD" w:rsidRDefault="00C75DFD" w:rsidP="00C75DFD">
              <w:r>
                <w:rPr>
                  <w:b/>
                  <w:bCs/>
                </w:rPr>
                <w:fldChar w:fldCharType="end"/>
              </w:r>
            </w:p>
          </w:sdtContent>
        </w:sdt>
      </w:sdtContent>
    </w:sdt>
    <w:p w14:paraId="2BF9B95E" w14:textId="269A562B" w:rsidR="008B3FD0" w:rsidRDefault="008B3FD0" w:rsidP="00D112E4">
      <w:pPr>
        <w:ind w:firstLine="0"/>
      </w:pPr>
    </w:p>
    <w:sectPr w:rsidR="008B3FD0" w:rsidSect="003A09C2">
      <w:headerReference w:type="default" r:id="rId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400DC" w14:textId="77777777" w:rsidR="00324D48" w:rsidRDefault="00324D48" w:rsidP="00F245FC">
      <w:pPr>
        <w:spacing w:after="0" w:line="240" w:lineRule="auto"/>
      </w:pPr>
      <w:r>
        <w:separator/>
      </w:r>
    </w:p>
  </w:endnote>
  <w:endnote w:type="continuationSeparator" w:id="0">
    <w:p w14:paraId="2989424E" w14:textId="77777777" w:rsidR="00324D48" w:rsidRDefault="00324D48" w:rsidP="00F2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6CC3B" w14:textId="77777777" w:rsidR="00324D48" w:rsidRDefault="00324D48" w:rsidP="00F245FC">
      <w:pPr>
        <w:spacing w:after="0" w:line="240" w:lineRule="auto"/>
      </w:pPr>
      <w:r>
        <w:separator/>
      </w:r>
    </w:p>
  </w:footnote>
  <w:footnote w:type="continuationSeparator" w:id="0">
    <w:p w14:paraId="526072FC" w14:textId="77777777" w:rsidR="00324D48" w:rsidRDefault="00324D48" w:rsidP="00F24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4047894"/>
      <w:docPartObj>
        <w:docPartGallery w:val="Page Numbers (Top of Page)"/>
        <w:docPartUnique/>
      </w:docPartObj>
    </w:sdtPr>
    <w:sdtEndPr/>
    <w:sdtContent>
      <w:p w14:paraId="341785A2" w14:textId="1D282156" w:rsidR="00F245FC" w:rsidRDefault="00F245FC">
        <w:pPr>
          <w:pStyle w:val="Encabezado"/>
          <w:jc w:val="right"/>
        </w:pPr>
        <w:r>
          <w:fldChar w:fldCharType="begin"/>
        </w:r>
        <w:r>
          <w:instrText>PAGE   \* MERGEFORMAT</w:instrText>
        </w:r>
        <w:r>
          <w:fldChar w:fldCharType="separate"/>
        </w:r>
        <w:r>
          <w:rPr>
            <w:lang w:val="es-ES"/>
          </w:rPr>
          <w:t>2</w:t>
        </w:r>
        <w:r>
          <w:fldChar w:fldCharType="end"/>
        </w:r>
      </w:p>
    </w:sdtContent>
  </w:sdt>
  <w:p w14:paraId="406C3072" w14:textId="77777777" w:rsidR="00F245FC" w:rsidRDefault="00F245F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83"/>
    <w:rsid w:val="000F0A42"/>
    <w:rsid w:val="001070E4"/>
    <w:rsid w:val="001F08E9"/>
    <w:rsid w:val="002C41E3"/>
    <w:rsid w:val="00324D48"/>
    <w:rsid w:val="003A09C2"/>
    <w:rsid w:val="00485F83"/>
    <w:rsid w:val="006E2078"/>
    <w:rsid w:val="00750BBA"/>
    <w:rsid w:val="008B3FD0"/>
    <w:rsid w:val="00A62062"/>
    <w:rsid w:val="00C46B46"/>
    <w:rsid w:val="00C75DFD"/>
    <w:rsid w:val="00D112E4"/>
    <w:rsid w:val="00F245FC"/>
    <w:rsid w:val="00F72574"/>
    <w:rsid w:val="00F97C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8876"/>
  <w15:chartTrackingRefBased/>
  <w15:docId w15:val="{9DD3ED5C-761E-4FDA-88DB-CAD01509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5FC"/>
    <w:pPr>
      <w:spacing w:line="480" w:lineRule="auto"/>
      <w:ind w:firstLine="720"/>
    </w:pPr>
    <w:rPr>
      <w:rFonts w:ascii="Arial" w:hAnsi="Arial"/>
      <w:sz w:val="22"/>
    </w:rPr>
  </w:style>
  <w:style w:type="paragraph" w:styleId="Ttulo1">
    <w:name w:val="heading 1"/>
    <w:basedOn w:val="Normal"/>
    <w:next w:val="Normal"/>
    <w:link w:val="Ttulo1Car"/>
    <w:uiPriority w:val="9"/>
    <w:qFormat/>
    <w:rsid w:val="00485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5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5F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5F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5F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5F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5F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5F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5F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F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5F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5F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5F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5F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5F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5F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5F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5F83"/>
    <w:rPr>
      <w:rFonts w:eastAsiaTheme="majorEastAsia" w:cstheme="majorBidi"/>
      <w:color w:val="272727" w:themeColor="text1" w:themeTint="D8"/>
    </w:rPr>
  </w:style>
  <w:style w:type="paragraph" w:styleId="Ttulo">
    <w:name w:val="Title"/>
    <w:basedOn w:val="Normal"/>
    <w:next w:val="Normal"/>
    <w:link w:val="TtuloCar"/>
    <w:uiPriority w:val="10"/>
    <w:qFormat/>
    <w:rsid w:val="00485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F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5F83"/>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5F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5F83"/>
    <w:pPr>
      <w:spacing w:before="160"/>
      <w:jc w:val="center"/>
    </w:pPr>
    <w:rPr>
      <w:i/>
      <w:iCs/>
      <w:color w:val="404040" w:themeColor="text1" w:themeTint="BF"/>
    </w:rPr>
  </w:style>
  <w:style w:type="character" w:customStyle="1" w:styleId="CitaCar">
    <w:name w:val="Cita Car"/>
    <w:basedOn w:val="Fuentedeprrafopredeter"/>
    <w:link w:val="Cita"/>
    <w:uiPriority w:val="29"/>
    <w:rsid w:val="00485F83"/>
    <w:rPr>
      <w:i/>
      <w:iCs/>
      <w:color w:val="404040" w:themeColor="text1" w:themeTint="BF"/>
    </w:rPr>
  </w:style>
  <w:style w:type="paragraph" w:styleId="Prrafodelista">
    <w:name w:val="List Paragraph"/>
    <w:basedOn w:val="Normal"/>
    <w:uiPriority w:val="34"/>
    <w:qFormat/>
    <w:rsid w:val="00485F83"/>
    <w:pPr>
      <w:ind w:left="720"/>
      <w:contextualSpacing/>
    </w:pPr>
  </w:style>
  <w:style w:type="character" w:styleId="nfasisintenso">
    <w:name w:val="Intense Emphasis"/>
    <w:basedOn w:val="Fuentedeprrafopredeter"/>
    <w:uiPriority w:val="21"/>
    <w:qFormat/>
    <w:rsid w:val="00485F83"/>
    <w:rPr>
      <w:i/>
      <w:iCs/>
      <w:color w:val="0F4761" w:themeColor="accent1" w:themeShade="BF"/>
    </w:rPr>
  </w:style>
  <w:style w:type="paragraph" w:styleId="Citadestacada">
    <w:name w:val="Intense Quote"/>
    <w:basedOn w:val="Normal"/>
    <w:next w:val="Normal"/>
    <w:link w:val="CitadestacadaCar"/>
    <w:uiPriority w:val="30"/>
    <w:qFormat/>
    <w:rsid w:val="00485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5F83"/>
    <w:rPr>
      <w:i/>
      <w:iCs/>
      <w:color w:val="0F4761" w:themeColor="accent1" w:themeShade="BF"/>
    </w:rPr>
  </w:style>
  <w:style w:type="character" w:styleId="Referenciaintensa">
    <w:name w:val="Intense Reference"/>
    <w:basedOn w:val="Fuentedeprrafopredeter"/>
    <w:uiPriority w:val="32"/>
    <w:qFormat/>
    <w:rsid w:val="00485F83"/>
    <w:rPr>
      <w:b/>
      <w:bCs/>
      <w:smallCaps/>
      <w:color w:val="0F4761" w:themeColor="accent1" w:themeShade="BF"/>
      <w:spacing w:val="5"/>
    </w:rPr>
  </w:style>
  <w:style w:type="paragraph" w:styleId="Encabezado">
    <w:name w:val="header"/>
    <w:basedOn w:val="Normal"/>
    <w:link w:val="EncabezadoCar"/>
    <w:uiPriority w:val="99"/>
    <w:unhideWhenUsed/>
    <w:rsid w:val="00F245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FC"/>
    <w:rPr>
      <w:rFonts w:ascii="Arial" w:hAnsi="Arial"/>
      <w:sz w:val="22"/>
    </w:rPr>
  </w:style>
  <w:style w:type="paragraph" w:styleId="Piedepgina">
    <w:name w:val="footer"/>
    <w:basedOn w:val="Normal"/>
    <w:link w:val="PiedepginaCar"/>
    <w:uiPriority w:val="99"/>
    <w:unhideWhenUsed/>
    <w:rsid w:val="00F245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FC"/>
    <w:rPr>
      <w:rFonts w:ascii="Arial" w:hAnsi="Arial"/>
      <w:sz w:val="22"/>
    </w:rPr>
  </w:style>
  <w:style w:type="character" w:styleId="Hipervnculo">
    <w:name w:val="Hyperlink"/>
    <w:basedOn w:val="Fuentedeprrafopredeter"/>
    <w:uiPriority w:val="99"/>
    <w:unhideWhenUsed/>
    <w:rsid w:val="00F72574"/>
    <w:rPr>
      <w:color w:val="467886" w:themeColor="hyperlink"/>
      <w:u w:val="single"/>
    </w:rPr>
  </w:style>
  <w:style w:type="character" w:styleId="Mencinsinresolver">
    <w:name w:val="Unresolved Mention"/>
    <w:basedOn w:val="Fuentedeprrafopredeter"/>
    <w:uiPriority w:val="99"/>
    <w:semiHidden/>
    <w:unhideWhenUsed/>
    <w:rsid w:val="00F72574"/>
    <w:rPr>
      <w:color w:val="605E5C"/>
      <w:shd w:val="clear" w:color="auto" w:fill="E1DFDD"/>
    </w:rPr>
  </w:style>
  <w:style w:type="character" w:styleId="Hipervnculovisitado">
    <w:name w:val="FollowedHyperlink"/>
    <w:basedOn w:val="Fuentedeprrafopredeter"/>
    <w:uiPriority w:val="99"/>
    <w:semiHidden/>
    <w:unhideWhenUsed/>
    <w:rsid w:val="00F72574"/>
    <w:rPr>
      <w:color w:val="96607D" w:themeColor="followedHyperlink"/>
      <w:u w:val="single"/>
    </w:rPr>
  </w:style>
  <w:style w:type="paragraph" w:styleId="Bibliografa">
    <w:name w:val="Bibliography"/>
    <w:basedOn w:val="Normal"/>
    <w:next w:val="Normal"/>
    <w:uiPriority w:val="37"/>
    <w:unhideWhenUsed/>
    <w:rsid w:val="00C7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583190">
      <w:bodyDiv w:val="1"/>
      <w:marLeft w:val="0"/>
      <w:marRight w:val="0"/>
      <w:marTop w:val="0"/>
      <w:marBottom w:val="0"/>
      <w:divBdr>
        <w:top w:val="none" w:sz="0" w:space="0" w:color="auto"/>
        <w:left w:val="none" w:sz="0" w:space="0" w:color="auto"/>
        <w:bottom w:val="none" w:sz="0" w:space="0" w:color="auto"/>
        <w:right w:val="none" w:sz="0" w:space="0" w:color="auto"/>
      </w:divBdr>
    </w:div>
    <w:div w:id="615915671">
      <w:bodyDiv w:val="1"/>
      <w:marLeft w:val="0"/>
      <w:marRight w:val="0"/>
      <w:marTop w:val="0"/>
      <w:marBottom w:val="0"/>
      <w:divBdr>
        <w:top w:val="none" w:sz="0" w:space="0" w:color="auto"/>
        <w:left w:val="none" w:sz="0" w:space="0" w:color="auto"/>
        <w:bottom w:val="none" w:sz="0" w:space="0" w:color="auto"/>
        <w:right w:val="none" w:sz="0" w:space="0" w:color="auto"/>
      </w:divBdr>
    </w:div>
    <w:div w:id="738600850">
      <w:bodyDiv w:val="1"/>
      <w:marLeft w:val="0"/>
      <w:marRight w:val="0"/>
      <w:marTop w:val="0"/>
      <w:marBottom w:val="0"/>
      <w:divBdr>
        <w:top w:val="none" w:sz="0" w:space="0" w:color="auto"/>
        <w:left w:val="none" w:sz="0" w:space="0" w:color="auto"/>
        <w:bottom w:val="none" w:sz="0" w:space="0" w:color="auto"/>
        <w:right w:val="none" w:sz="0" w:space="0" w:color="auto"/>
      </w:divBdr>
    </w:div>
    <w:div w:id="1496720643">
      <w:bodyDiv w:val="1"/>
      <w:marLeft w:val="0"/>
      <w:marRight w:val="0"/>
      <w:marTop w:val="0"/>
      <w:marBottom w:val="0"/>
      <w:divBdr>
        <w:top w:val="none" w:sz="0" w:space="0" w:color="auto"/>
        <w:left w:val="none" w:sz="0" w:space="0" w:color="auto"/>
        <w:bottom w:val="none" w:sz="0" w:space="0" w:color="auto"/>
        <w:right w:val="none" w:sz="0" w:space="0" w:color="auto"/>
      </w:divBdr>
    </w:div>
    <w:div w:id="173592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UNE06</b:Tag>
    <b:SourceType>Book</b:SourceType>
    <b:Guid>{B73CA3B8-49AF-4365-B1F2-66B93C8B36EA}</b:Guid>
    <b:Title>Governance in education: transparency and accountability</b:Title>
    <b:Year>2006</b:Year>
    <b:Author>
      <b:Author>
        <b:Corporate>UNESCO</b:Corporate>
      </b:Author>
    </b:Author>
    <b:Publisher>International Institute for Educational Planning</b:Publisher>
    <b:City>París</b:City>
    <b:URL>https://unesdoc.unesco.org/ark:/48223/pf0000148766</b:URL>
    <b:RefOrder>1</b:RefOrder>
  </b:Source>
  <b:Source>
    <b:Tag>ESS19</b:Tag>
    <b:SourceType>InternetSite</b:SourceType>
    <b:Guid>{CFDBE83A-D387-4278-B719-8B595E49FEFF}</b:Guid>
    <b:Title>Addressing the Financial Cost of Chronic Teacher Absenteeism in Your District</b:Title>
    <b:Year>2019</b:Year>
    <b:Author>
      <b:Author>
        <b:Corporate>ESS</b:Corporate>
      </b:Author>
    </b:Author>
    <b:InternetSiteTitle>ESS</b:InternetSiteTitle>
    <b:Month>agosto</b:Month>
    <b:Day>9</b:Day>
    <b:URL>https://ess.com/blog/articles-chronic-teacher-absenteeism/</b:URL>
    <b:RefOrder>2</b:RefOrder>
  </b:Source>
</b:Sources>
</file>

<file path=customXml/itemProps1.xml><?xml version="1.0" encoding="utf-8"?>
<ds:datastoreItem xmlns:ds="http://schemas.openxmlformats.org/officeDocument/2006/customXml" ds:itemID="{7D5A4B54-9E5E-4F3B-B793-4DFC0558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Basaure</dc:creator>
  <cp:keywords/>
  <dc:description/>
  <cp:lastModifiedBy>Juan Rosillo</cp:lastModifiedBy>
  <cp:revision>3</cp:revision>
  <dcterms:created xsi:type="dcterms:W3CDTF">2024-09-04T03:22:00Z</dcterms:created>
  <dcterms:modified xsi:type="dcterms:W3CDTF">2024-09-04T03:23:00Z</dcterms:modified>
</cp:coreProperties>
</file>