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EB7FAD" w14:textId="671F891F" w:rsidR="005966E2" w:rsidRDefault="005966E2" w:rsidP="00362E50">
      <w:pPr>
        <w:jc w:val="center"/>
        <w:rPr>
          <w:rFonts w:ascii="Times New Roman" w:hAnsi="Times New Roman" w:cs="Times New Roman"/>
          <w:b/>
          <w:bCs/>
          <w:sz w:val="44"/>
          <w:szCs w:val="44"/>
        </w:rPr>
      </w:pPr>
      <w:bookmarkStart w:id="0" w:name="_Hlk211582518"/>
      <w:proofErr w:type="spellStart"/>
      <w:r w:rsidRPr="00362E50">
        <w:rPr>
          <w:rFonts w:ascii="Times New Roman" w:hAnsi="Times New Roman" w:cs="Times New Roman"/>
          <w:b/>
          <w:bCs/>
          <w:sz w:val="44"/>
          <w:szCs w:val="44"/>
        </w:rPr>
        <w:t>Windcave</w:t>
      </w:r>
      <w:proofErr w:type="spellEnd"/>
      <w:r w:rsidRPr="00362E50">
        <w:rPr>
          <w:rFonts w:ascii="Times New Roman" w:hAnsi="Times New Roman" w:cs="Times New Roman"/>
          <w:b/>
          <w:bCs/>
          <w:sz w:val="44"/>
          <w:szCs w:val="44"/>
        </w:rPr>
        <w:t xml:space="preserve"> Human Capital Analysis (2020-2024)</w:t>
      </w:r>
    </w:p>
    <w:p w14:paraId="1A79DD4A" w14:textId="77777777" w:rsidR="00362E50" w:rsidRDefault="00362E50" w:rsidP="005966E2">
      <w:pPr>
        <w:rPr>
          <w:rFonts w:ascii="Times New Roman" w:hAnsi="Times New Roman" w:cs="Times New Roman"/>
          <w:b/>
          <w:bCs/>
        </w:rPr>
      </w:pPr>
    </w:p>
    <w:p w14:paraId="3E8DD59B" w14:textId="1A3C684C" w:rsidR="005966E2" w:rsidRPr="008A6181" w:rsidRDefault="005966E2" w:rsidP="005966E2">
      <w:pPr>
        <w:rPr>
          <w:rFonts w:ascii="Times New Roman" w:hAnsi="Times New Roman" w:cs="Times New Roman"/>
          <w:b/>
          <w:bCs/>
        </w:rPr>
      </w:pPr>
      <w:r w:rsidRPr="008A6181">
        <w:rPr>
          <w:rFonts w:ascii="Times New Roman" w:hAnsi="Times New Roman" w:cs="Times New Roman"/>
          <w:b/>
          <w:bCs/>
        </w:rPr>
        <w:t>1. Outline</w:t>
      </w:r>
    </w:p>
    <w:p w14:paraId="62487944" w14:textId="77777777" w:rsidR="005966E2" w:rsidRPr="008A6181" w:rsidRDefault="005966E2" w:rsidP="005966E2">
      <w:pPr>
        <w:rPr>
          <w:rFonts w:ascii="Times New Roman" w:hAnsi="Times New Roman" w:cs="Times New Roman"/>
        </w:rPr>
      </w:pPr>
      <w:r w:rsidRPr="008A6181">
        <w:rPr>
          <w:rFonts w:ascii="Times New Roman" w:hAnsi="Times New Roman" w:cs="Times New Roman"/>
        </w:rPr>
        <w:t xml:space="preserve">This report provides a structured analysis of </w:t>
      </w:r>
      <w:proofErr w:type="spellStart"/>
      <w:r w:rsidRPr="008A6181">
        <w:rPr>
          <w:rFonts w:ascii="Times New Roman" w:hAnsi="Times New Roman" w:cs="Times New Roman"/>
        </w:rPr>
        <w:t>Windcave’s</w:t>
      </w:r>
      <w:proofErr w:type="spellEnd"/>
      <w:r w:rsidRPr="008A6181">
        <w:rPr>
          <w:rFonts w:ascii="Times New Roman" w:hAnsi="Times New Roman" w:cs="Times New Roman"/>
        </w:rPr>
        <w:t xml:space="preserve"> human capital data to identify critical risks and formulate actionable recommendations for leadership.</w:t>
      </w:r>
    </w:p>
    <w:p w14:paraId="3A4200AF" w14:textId="77777777" w:rsidR="00C75659" w:rsidRPr="008A6181" w:rsidRDefault="00C75659" w:rsidP="00C75659">
      <w:pPr>
        <w:pStyle w:val="ListParagraph"/>
        <w:numPr>
          <w:ilvl w:val="0"/>
          <w:numId w:val="24"/>
        </w:numPr>
        <w:rPr>
          <w:rFonts w:ascii="Times New Roman" w:hAnsi="Times New Roman" w:cs="Times New Roman"/>
        </w:rPr>
      </w:pPr>
      <w:r w:rsidRPr="008A6181">
        <w:rPr>
          <w:rFonts w:ascii="Times New Roman" w:hAnsi="Times New Roman" w:cs="Times New Roman"/>
        </w:rPr>
        <w:t>Introduction</w:t>
      </w:r>
    </w:p>
    <w:p w14:paraId="3B772C40" w14:textId="77777777" w:rsidR="00C75659" w:rsidRPr="008A6181" w:rsidRDefault="00C75659" w:rsidP="00C75659">
      <w:pPr>
        <w:pStyle w:val="ListParagraph"/>
        <w:numPr>
          <w:ilvl w:val="0"/>
          <w:numId w:val="24"/>
        </w:numPr>
        <w:rPr>
          <w:rFonts w:ascii="Times New Roman" w:hAnsi="Times New Roman" w:cs="Times New Roman"/>
        </w:rPr>
      </w:pPr>
      <w:r w:rsidRPr="008A6181">
        <w:rPr>
          <w:rFonts w:ascii="Times New Roman" w:hAnsi="Times New Roman" w:cs="Times New Roman"/>
        </w:rPr>
        <w:t>Story of Data</w:t>
      </w:r>
    </w:p>
    <w:p w14:paraId="65E97388" w14:textId="77777777" w:rsidR="00C75659" w:rsidRPr="008A6181" w:rsidRDefault="00C75659" w:rsidP="00C75659">
      <w:pPr>
        <w:pStyle w:val="ListParagraph"/>
        <w:numPr>
          <w:ilvl w:val="0"/>
          <w:numId w:val="24"/>
        </w:numPr>
        <w:rPr>
          <w:rFonts w:ascii="Times New Roman" w:hAnsi="Times New Roman" w:cs="Times New Roman"/>
        </w:rPr>
      </w:pPr>
      <w:r w:rsidRPr="008A6181">
        <w:rPr>
          <w:rFonts w:ascii="Times New Roman" w:hAnsi="Times New Roman" w:cs="Times New Roman"/>
        </w:rPr>
        <w:t>Data Splitting and Preprocessing</w:t>
      </w:r>
    </w:p>
    <w:p w14:paraId="480211E8" w14:textId="77777777" w:rsidR="00C75659" w:rsidRPr="008A6181" w:rsidRDefault="00C75659" w:rsidP="00C75659">
      <w:pPr>
        <w:pStyle w:val="ListParagraph"/>
        <w:numPr>
          <w:ilvl w:val="0"/>
          <w:numId w:val="24"/>
        </w:numPr>
        <w:rPr>
          <w:rFonts w:ascii="Times New Roman" w:hAnsi="Times New Roman" w:cs="Times New Roman"/>
        </w:rPr>
      </w:pPr>
      <w:r w:rsidRPr="008A6181">
        <w:rPr>
          <w:rFonts w:ascii="Times New Roman" w:hAnsi="Times New Roman" w:cs="Times New Roman"/>
        </w:rPr>
        <w:t>Pre-Analysis</w:t>
      </w:r>
    </w:p>
    <w:p w14:paraId="1275C188" w14:textId="77777777" w:rsidR="00C75659" w:rsidRPr="008A6181" w:rsidRDefault="00C75659" w:rsidP="00C75659">
      <w:pPr>
        <w:pStyle w:val="ListParagraph"/>
        <w:numPr>
          <w:ilvl w:val="0"/>
          <w:numId w:val="24"/>
        </w:numPr>
        <w:rPr>
          <w:rFonts w:ascii="Times New Roman" w:hAnsi="Times New Roman" w:cs="Times New Roman"/>
        </w:rPr>
      </w:pPr>
      <w:r w:rsidRPr="008A6181">
        <w:rPr>
          <w:rFonts w:ascii="Times New Roman" w:hAnsi="Times New Roman" w:cs="Times New Roman"/>
        </w:rPr>
        <w:t>In-Analysis</w:t>
      </w:r>
    </w:p>
    <w:p w14:paraId="4A8E467D" w14:textId="77777777" w:rsidR="00C75659" w:rsidRPr="008A6181" w:rsidRDefault="00C75659" w:rsidP="00C75659">
      <w:pPr>
        <w:pStyle w:val="ListParagraph"/>
        <w:numPr>
          <w:ilvl w:val="0"/>
          <w:numId w:val="24"/>
        </w:numPr>
        <w:rPr>
          <w:rFonts w:ascii="Times New Roman" w:hAnsi="Times New Roman" w:cs="Times New Roman"/>
        </w:rPr>
      </w:pPr>
      <w:r w:rsidRPr="008A6181">
        <w:rPr>
          <w:rFonts w:ascii="Times New Roman" w:hAnsi="Times New Roman" w:cs="Times New Roman"/>
        </w:rPr>
        <w:t>Post-Analysis and Insights</w:t>
      </w:r>
    </w:p>
    <w:p w14:paraId="4F32F935" w14:textId="77777777" w:rsidR="00C75659" w:rsidRPr="008A6181" w:rsidRDefault="00C75659" w:rsidP="00C75659">
      <w:pPr>
        <w:pStyle w:val="ListParagraph"/>
        <w:numPr>
          <w:ilvl w:val="0"/>
          <w:numId w:val="24"/>
        </w:numPr>
        <w:rPr>
          <w:rFonts w:ascii="Times New Roman" w:hAnsi="Times New Roman" w:cs="Times New Roman"/>
        </w:rPr>
      </w:pPr>
      <w:r w:rsidRPr="008A6181">
        <w:rPr>
          <w:rFonts w:ascii="Times New Roman" w:hAnsi="Times New Roman" w:cs="Times New Roman"/>
        </w:rPr>
        <w:t>Data Visualizations &amp; Charts</w:t>
      </w:r>
    </w:p>
    <w:p w14:paraId="718F5140" w14:textId="77777777" w:rsidR="00C75659" w:rsidRPr="008A6181" w:rsidRDefault="00C75659" w:rsidP="00C75659">
      <w:pPr>
        <w:pStyle w:val="ListParagraph"/>
        <w:numPr>
          <w:ilvl w:val="0"/>
          <w:numId w:val="24"/>
        </w:numPr>
        <w:rPr>
          <w:rFonts w:ascii="Times New Roman" w:hAnsi="Times New Roman" w:cs="Times New Roman"/>
        </w:rPr>
      </w:pPr>
      <w:r w:rsidRPr="008A6181">
        <w:rPr>
          <w:rFonts w:ascii="Times New Roman" w:hAnsi="Times New Roman" w:cs="Times New Roman"/>
        </w:rPr>
        <w:t>Recommendations and Observations</w:t>
      </w:r>
    </w:p>
    <w:p w14:paraId="222CECC7" w14:textId="77777777" w:rsidR="00C75659" w:rsidRPr="008A6181" w:rsidRDefault="00C75659" w:rsidP="00C75659">
      <w:pPr>
        <w:pStyle w:val="ListParagraph"/>
        <w:numPr>
          <w:ilvl w:val="0"/>
          <w:numId w:val="24"/>
        </w:numPr>
        <w:rPr>
          <w:rFonts w:ascii="Times New Roman" w:hAnsi="Times New Roman" w:cs="Times New Roman"/>
        </w:rPr>
      </w:pPr>
      <w:r w:rsidRPr="008A6181">
        <w:rPr>
          <w:rFonts w:ascii="Times New Roman" w:hAnsi="Times New Roman" w:cs="Times New Roman"/>
        </w:rPr>
        <w:t>Conclusion</w:t>
      </w:r>
    </w:p>
    <w:p w14:paraId="308450C1" w14:textId="77777777" w:rsidR="00C75659" w:rsidRPr="008A6181" w:rsidRDefault="00C75659" w:rsidP="00C75659">
      <w:pPr>
        <w:pStyle w:val="ListParagraph"/>
        <w:numPr>
          <w:ilvl w:val="0"/>
          <w:numId w:val="24"/>
        </w:numPr>
        <w:rPr>
          <w:rFonts w:ascii="Times New Roman" w:hAnsi="Times New Roman" w:cs="Times New Roman"/>
        </w:rPr>
      </w:pPr>
      <w:r w:rsidRPr="008A6181">
        <w:rPr>
          <w:rFonts w:ascii="Times New Roman" w:hAnsi="Times New Roman" w:cs="Times New Roman"/>
        </w:rPr>
        <w:t>References &amp; Appendices</w:t>
      </w:r>
    </w:p>
    <w:p w14:paraId="3215D593" w14:textId="77777777" w:rsidR="00C75659" w:rsidRPr="008A6181" w:rsidRDefault="00C75659" w:rsidP="005966E2">
      <w:pPr>
        <w:rPr>
          <w:rFonts w:ascii="Times New Roman" w:hAnsi="Times New Roman" w:cs="Times New Roman"/>
          <w:b/>
          <w:bCs/>
        </w:rPr>
      </w:pPr>
    </w:p>
    <w:p w14:paraId="4A6FFBE6" w14:textId="5B5DA1D2" w:rsidR="005966E2" w:rsidRPr="008A6181" w:rsidRDefault="005966E2" w:rsidP="005966E2">
      <w:pPr>
        <w:rPr>
          <w:rFonts w:ascii="Times New Roman" w:hAnsi="Times New Roman" w:cs="Times New Roman"/>
          <w:b/>
          <w:bCs/>
        </w:rPr>
      </w:pPr>
      <w:r w:rsidRPr="008A6181">
        <w:rPr>
          <w:rFonts w:ascii="Times New Roman" w:hAnsi="Times New Roman" w:cs="Times New Roman"/>
          <w:b/>
          <w:bCs/>
        </w:rPr>
        <w:t>2. Introduction</w:t>
      </w:r>
    </w:p>
    <w:p w14:paraId="6B567F81" w14:textId="70665931" w:rsidR="00EA5FFD" w:rsidRDefault="00EA5FFD" w:rsidP="00774A33">
      <w:pPr>
        <w:rPr>
          <w:rFonts w:ascii="Times New Roman" w:hAnsi="Times New Roman" w:cs="Times New Roman"/>
        </w:rPr>
      </w:pPr>
      <w:r w:rsidRPr="008A6181">
        <w:rPr>
          <w:rFonts w:ascii="Times New Roman" w:hAnsi="Times New Roman" w:cs="Times New Roman"/>
          <w:noProof/>
        </w:rPr>
        <w:drawing>
          <wp:inline distT="0" distB="0" distL="0" distR="0" wp14:anchorId="2178AB35" wp14:editId="56C7A0CC">
            <wp:extent cx="5943600" cy="3234267"/>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7219" cy="3236236"/>
                    </a:xfrm>
                    <a:prstGeom prst="rect">
                      <a:avLst/>
                    </a:prstGeom>
                    <a:noFill/>
                    <a:ln>
                      <a:noFill/>
                    </a:ln>
                  </pic:spPr>
                </pic:pic>
              </a:graphicData>
            </a:graphic>
          </wp:inline>
        </w:drawing>
      </w:r>
    </w:p>
    <w:p w14:paraId="4E8B5F72" w14:textId="582700CC" w:rsidR="008F56A4" w:rsidRDefault="00774A33" w:rsidP="00774A33">
      <w:pPr>
        <w:rPr>
          <w:rFonts w:ascii="Times New Roman" w:hAnsi="Times New Roman" w:cs="Times New Roman"/>
        </w:rPr>
      </w:pPr>
      <w:r w:rsidRPr="00774A33">
        <w:rPr>
          <w:rFonts w:ascii="Times New Roman" w:hAnsi="Times New Roman" w:cs="Times New Roman"/>
        </w:rPr>
        <w:t xml:space="preserve">This analysis shifts the focus from simply reporting HR metrics to decoding </w:t>
      </w:r>
      <w:proofErr w:type="spellStart"/>
      <w:r w:rsidRPr="00774A33">
        <w:rPr>
          <w:rFonts w:ascii="Times New Roman" w:hAnsi="Times New Roman" w:cs="Times New Roman"/>
        </w:rPr>
        <w:t>Windcave's</w:t>
      </w:r>
      <w:proofErr w:type="spellEnd"/>
      <w:r w:rsidRPr="00774A33">
        <w:rPr>
          <w:rFonts w:ascii="Times New Roman" w:hAnsi="Times New Roman" w:cs="Times New Roman"/>
        </w:rPr>
        <w:t xml:space="preserve"> core talent footprint. The goal was to perform a rigorous, data-driven evaluation of the employee </w:t>
      </w:r>
      <w:r w:rsidRPr="00774A33">
        <w:rPr>
          <w:rFonts w:ascii="Times New Roman" w:hAnsi="Times New Roman" w:cs="Times New Roman"/>
        </w:rPr>
        <w:lastRenderedPageBreak/>
        <w:t>lifecycle, specifically targeting the health of the workforce across three critical dimensions: workforce stability, compensation equity, and future succession potential. The core goal is to transition from observations to quantifiable strategic insights that empower executive leadership to optimize human capital management and mitigate looming structural risks.</w:t>
      </w:r>
    </w:p>
    <w:p w14:paraId="0CC8BBFC" w14:textId="0C9C02E0" w:rsidR="008F56A4" w:rsidRDefault="008F56A4" w:rsidP="00774A33">
      <w:pPr>
        <w:rPr>
          <w:rFonts w:ascii="Times New Roman" w:hAnsi="Times New Roman" w:cs="Times New Roman"/>
        </w:rPr>
      </w:pPr>
    </w:p>
    <w:p w14:paraId="1494078F" w14:textId="5DBBE839" w:rsidR="00774A33" w:rsidRPr="00774A33" w:rsidRDefault="00774A33" w:rsidP="00774A33">
      <w:pPr>
        <w:rPr>
          <w:rFonts w:ascii="Times New Roman" w:hAnsi="Times New Roman" w:cs="Times New Roman"/>
        </w:rPr>
      </w:pPr>
      <w:proofErr w:type="spellStart"/>
      <w:r w:rsidRPr="00774A33">
        <w:rPr>
          <w:rFonts w:ascii="Times New Roman" w:hAnsi="Times New Roman" w:cs="Times New Roman"/>
        </w:rPr>
        <w:t>Windcave</w:t>
      </w:r>
      <w:proofErr w:type="spellEnd"/>
      <w:r w:rsidRPr="00774A33">
        <w:rPr>
          <w:rFonts w:ascii="Times New Roman" w:hAnsi="Times New Roman" w:cs="Times New Roman"/>
        </w:rPr>
        <w:t xml:space="preserve"> is currently facing a silent stability crisis. Key performance indicators (KPIs) show </w:t>
      </w:r>
      <w:r w:rsidRPr="008A6181">
        <w:rPr>
          <w:rFonts w:ascii="Times New Roman" w:hAnsi="Times New Roman" w:cs="Times New Roman"/>
        </w:rPr>
        <w:t>that Employee</w:t>
      </w:r>
      <w:r w:rsidRPr="00774A33">
        <w:rPr>
          <w:rFonts w:ascii="Times New Roman" w:hAnsi="Times New Roman" w:cs="Times New Roman"/>
        </w:rPr>
        <w:t xml:space="preserve"> </w:t>
      </w:r>
      <w:r w:rsidRPr="008A6181">
        <w:rPr>
          <w:rFonts w:ascii="Times New Roman" w:hAnsi="Times New Roman" w:cs="Times New Roman"/>
        </w:rPr>
        <w:t>T</w:t>
      </w:r>
      <w:r w:rsidRPr="00774A33">
        <w:rPr>
          <w:rFonts w:ascii="Times New Roman" w:hAnsi="Times New Roman" w:cs="Times New Roman"/>
        </w:rPr>
        <w:t xml:space="preserve">urnover </w:t>
      </w:r>
      <w:r w:rsidRPr="008A6181">
        <w:rPr>
          <w:rFonts w:ascii="Times New Roman" w:hAnsi="Times New Roman" w:cs="Times New Roman"/>
        </w:rPr>
        <w:t>R</w:t>
      </w:r>
      <w:r w:rsidRPr="00774A33">
        <w:rPr>
          <w:rFonts w:ascii="Times New Roman" w:hAnsi="Times New Roman" w:cs="Times New Roman"/>
        </w:rPr>
        <w:t xml:space="preserve">ate (13%) and overall </w:t>
      </w:r>
      <w:r w:rsidRPr="008A6181">
        <w:rPr>
          <w:rFonts w:ascii="Times New Roman" w:hAnsi="Times New Roman" w:cs="Times New Roman"/>
        </w:rPr>
        <w:t>A</w:t>
      </w:r>
      <w:r w:rsidRPr="00774A33">
        <w:rPr>
          <w:rFonts w:ascii="Times New Roman" w:hAnsi="Times New Roman" w:cs="Times New Roman"/>
        </w:rPr>
        <w:t xml:space="preserve">verage </w:t>
      </w:r>
      <w:r w:rsidRPr="008A6181">
        <w:rPr>
          <w:rFonts w:ascii="Times New Roman" w:hAnsi="Times New Roman" w:cs="Times New Roman"/>
        </w:rPr>
        <w:t>T</w:t>
      </w:r>
      <w:r w:rsidRPr="00774A33">
        <w:rPr>
          <w:rFonts w:ascii="Times New Roman" w:hAnsi="Times New Roman" w:cs="Times New Roman"/>
        </w:rPr>
        <w:t>enure (2.37 years) are critically out of alignment, falling significantly below industry benchmarks (8-10% turnover and 3-5 years tenure). This misalignment signals more than just high administrative costs; it represents a dangerous leakage of institutional knowledge, a failure to retain developed talent, and an elevated operational risk that demands immediate executive attention and corrective action.</w:t>
      </w:r>
    </w:p>
    <w:p w14:paraId="1FBB619F" w14:textId="054C4C5A" w:rsidR="005966E2" w:rsidRPr="008A6181" w:rsidRDefault="005966E2" w:rsidP="005966E2">
      <w:pPr>
        <w:rPr>
          <w:rFonts w:ascii="Times New Roman" w:hAnsi="Times New Roman" w:cs="Times New Roman"/>
        </w:rPr>
      </w:pPr>
      <w:r w:rsidRPr="008A6181">
        <w:rPr>
          <w:rFonts w:ascii="Times New Roman" w:hAnsi="Times New Roman" w:cs="Times New Roman"/>
        </w:rPr>
        <w:t>The analysis utilized a single, comprehensive Human Resources Log (EEID-level data) capturing employee demographics and career events. The core methodology involved advanced data manipulation and aggregation techniques within Microsoft Excel</w:t>
      </w:r>
      <w:r w:rsidR="001953D8" w:rsidRPr="008A6181">
        <w:rPr>
          <w:rFonts w:ascii="Times New Roman" w:hAnsi="Times New Roman" w:cs="Times New Roman"/>
        </w:rPr>
        <w:t>.</w:t>
      </w:r>
    </w:p>
    <w:p w14:paraId="1B634767" w14:textId="77777777" w:rsidR="00D83903" w:rsidRPr="008A6181" w:rsidRDefault="00D83903" w:rsidP="005966E2">
      <w:pPr>
        <w:rPr>
          <w:rFonts w:ascii="Times New Roman" w:hAnsi="Times New Roman" w:cs="Times New Roman"/>
          <w:b/>
          <w:bCs/>
        </w:rPr>
      </w:pPr>
    </w:p>
    <w:p w14:paraId="729CCD4D" w14:textId="6ADC2ACF" w:rsidR="005966E2" w:rsidRPr="008A6181" w:rsidRDefault="005966E2" w:rsidP="005966E2">
      <w:pPr>
        <w:rPr>
          <w:rFonts w:ascii="Times New Roman" w:hAnsi="Times New Roman" w:cs="Times New Roman"/>
          <w:b/>
          <w:bCs/>
        </w:rPr>
      </w:pPr>
      <w:r w:rsidRPr="008A6181">
        <w:rPr>
          <w:rFonts w:ascii="Times New Roman" w:hAnsi="Times New Roman" w:cs="Times New Roman"/>
          <w:b/>
          <w:bCs/>
        </w:rPr>
        <w:t>3. Story of Data</w:t>
      </w:r>
    </w:p>
    <w:p w14:paraId="33B1450A" w14:textId="55E2CC50" w:rsidR="005966E2" w:rsidRPr="008A6181" w:rsidRDefault="000C703A" w:rsidP="005966E2">
      <w:pPr>
        <w:rPr>
          <w:rFonts w:ascii="Times New Roman" w:hAnsi="Times New Roman" w:cs="Times New Roman"/>
        </w:rPr>
      </w:pPr>
      <w:r w:rsidRPr="008A6181">
        <w:rPr>
          <w:rFonts w:ascii="Times New Roman" w:hAnsi="Times New Roman" w:cs="Times New Roman"/>
        </w:rPr>
        <w:t xml:space="preserve">The dataset was acquired from a publicly available repository on </w:t>
      </w:r>
      <w:r w:rsidRPr="008A6181">
        <w:rPr>
          <w:rFonts w:ascii="Times New Roman" w:hAnsi="Times New Roman" w:cs="Times New Roman"/>
          <w:b/>
          <w:bCs/>
        </w:rPr>
        <w:t>Kaggle,</w:t>
      </w:r>
      <w:r w:rsidRPr="008A6181">
        <w:rPr>
          <w:rFonts w:ascii="Times New Roman" w:hAnsi="Times New Roman" w:cs="Times New Roman"/>
        </w:rPr>
        <w:t xml:space="preserve"> detailing </w:t>
      </w:r>
      <w:r w:rsidR="005966E2" w:rsidRPr="008A6181">
        <w:rPr>
          <w:rFonts w:ascii="Times New Roman" w:hAnsi="Times New Roman" w:cs="Times New Roman"/>
        </w:rPr>
        <w:t xml:space="preserve">a snapshot of all active and inactive employees </w:t>
      </w:r>
      <w:r w:rsidR="001953D8" w:rsidRPr="008A6181">
        <w:rPr>
          <w:rFonts w:ascii="Times New Roman" w:hAnsi="Times New Roman" w:cs="Times New Roman"/>
        </w:rPr>
        <w:t>spanning from</w:t>
      </w:r>
      <w:r w:rsidR="005966E2" w:rsidRPr="008A6181">
        <w:rPr>
          <w:rFonts w:ascii="Times New Roman" w:hAnsi="Times New Roman" w:cs="Times New Roman"/>
        </w:rPr>
        <w:t xml:space="preserve"> 2020-2024.</w:t>
      </w:r>
    </w:p>
    <w:p w14:paraId="7FB46C42" w14:textId="1A15B153" w:rsidR="005966E2" w:rsidRPr="008A6181" w:rsidRDefault="005966E2" w:rsidP="005966E2">
      <w:pPr>
        <w:rPr>
          <w:rFonts w:ascii="Times New Roman" w:hAnsi="Times New Roman" w:cs="Times New Roman"/>
        </w:rPr>
      </w:pPr>
      <w:r w:rsidRPr="008A6181">
        <w:rPr>
          <w:rFonts w:ascii="Times New Roman" w:hAnsi="Times New Roman" w:cs="Times New Roman"/>
        </w:rPr>
        <w:t>The data is structured primarily at the Employee-ID (EEID) level, with each row representing a unique employee's record. Columns are organized to capture the entire employee lifecycle (Hire Date, Exit Date, Status) alongside static attributes (Gender, Department, Job) and dynamic compensation data (Bonus, Annual Salary).</w:t>
      </w:r>
    </w:p>
    <w:p w14:paraId="36080370" w14:textId="2523C1AE" w:rsidR="005966E2" w:rsidRPr="008A6181" w:rsidRDefault="00C83589" w:rsidP="005966E2">
      <w:pPr>
        <w:rPr>
          <w:rFonts w:ascii="Times New Roman" w:hAnsi="Times New Roman" w:cs="Times New Roman"/>
        </w:rPr>
      </w:pPr>
      <w:r w:rsidRPr="008A6181">
        <w:rPr>
          <w:rFonts w:ascii="Times New Roman" w:hAnsi="Times New Roman" w:cs="Times New Roman"/>
          <w:b/>
          <w:bCs/>
          <w:noProof/>
        </w:rPr>
        <w:lastRenderedPageBreak/>
        <w:drawing>
          <wp:inline distT="0" distB="0" distL="0" distR="0" wp14:anchorId="67C9EC27" wp14:editId="51C21215">
            <wp:extent cx="5943600" cy="2990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990850"/>
                    </a:xfrm>
                    <a:prstGeom prst="rect">
                      <a:avLst/>
                    </a:prstGeom>
                  </pic:spPr>
                </pic:pic>
              </a:graphicData>
            </a:graphic>
          </wp:inline>
        </w:drawing>
      </w:r>
      <w:r w:rsidR="001953D8" w:rsidRPr="008A6181">
        <w:rPr>
          <w:rFonts w:ascii="Times New Roman" w:hAnsi="Times New Roman" w:cs="Times New Roman"/>
        </w:rPr>
        <w:t>Whilst t</w:t>
      </w:r>
      <w:r w:rsidR="005966E2" w:rsidRPr="008A6181">
        <w:rPr>
          <w:rFonts w:ascii="Times New Roman" w:hAnsi="Times New Roman" w:cs="Times New Roman"/>
        </w:rPr>
        <w:t xml:space="preserve">he analysis relies heavily on the quality of the exit date data for accurate </w:t>
      </w:r>
      <w:r w:rsidR="005966E2" w:rsidRPr="008A6181">
        <w:rPr>
          <w:rFonts w:ascii="Times New Roman" w:hAnsi="Times New Roman" w:cs="Times New Roman"/>
          <w:b/>
          <w:bCs/>
        </w:rPr>
        <w:t xml:space="preserve">turnover </w:t>
      </w:r>
      <w:r w:rsidR="005966E2" w:rsidRPr="008A6181">
        <w:rPr>
          <w:rFonts w:ascii="Times New Roman" w:hAnsi="Times New Roman" w:cs="Times New Roman"/>
        </w:rPr>
        <w:t>calculation. A known limitation is the absence of quantitative Performance Data which prevents a definitive correlation between bonus allocation and measurable performance.</w:t>
      </w:r>
    </w:p>
    <w:p w14:paraId="63CC4982" w14:textId="77777777" w:rsidR="000C703A" w:rsidRPr="008A6181" w:rsidRDefault="000C703A" w:rsidP="000C703A">
      <w:pPr>
        <w:rPr>
          <w:rFonts w:ascii="Times New Roman" w:hAnsi="Times New Roman" w:cs="Times New Roman"/>
          <w:b/>
          <w:bCs/>
        </w:rPr>
      </w:pPr>
      <w:r w:rsidRPr="008A6181">
        <w:rPr>
          <w:rFonts w:ascii="Times New Roman" w:hAnsi="Times New Roman" w:cs="Times New Roman"/>
          <w:b/>
          <w:bCs/>
        </w:rPr>
        <w:t>Important Features and Their Significance</w:t>
      </w:r>
    </w:p>
    <w:p w14:paraId="2F2CFF15" w14:textId="77777777" w:rsidR="000C703A" w:rsidRPr="008A6181" w:rsidRDefault="000C703A" w:rsidP="000C703A">
      <w:pPr>
        <w:numPr>
          <w:ilvl w:val="0"/>
          <w:numId w:val="2"/>
        </w:numPr>
        <w:rPr>
          <w:rFonts w:ascii="Times New Roman" w:hAnsi="Times New Roman" w:cs="Times New Roman"/>
        </w:rPr>
      </w:pPr>
      <w:r w:rsidRPr="008A6181">
        <w:rPr>
          <w:rFonts w:ascii="Times New Roman" w:hAnsi="Times New Roman" w:cs="Times New Roman"/>
          <w:b/>
          <w:bCs/>
        </w:rPr>
        <w:t>Dependent Variables (Outcomes):</w:t>
      </w:r>
      <w:r w:rsidRPr="008A6181">
        <w:rPr>
          <w:rFonts w:ascii="Times New Roman" w:hAnsi="Times New Roman" w:cs="Times New Roman"/>
        </w:rPr>
        <w:t xml:space="preserve"> </w:t>
      </w:r>
      <w:bookmarkStart w:id="1" w:name="_Hlk211502769"/>
      <w:r w:rsidRPr="008A6181">
        <w:rPr>
          <w:rFonts w:ascii="Times New Roman" w:hAnsi="Times New Roman" w:cs="Times New Roman"/>
        </w:rPr>
        <w:t>Age, Hire, Exit, Bonus, Status (Active/Inactive). These were crucial for measuring stability, attrition patterns, and financial impact.</w:t>
      </w:r>
    </w:p>
    <w:bookmarkEnd w:id="1"/>
    <w:p w14:paraId="6C428FF5" w14:textId="77777777" w:rsidR="000C703A" w:rsidRPr="008A6181" w:rsidRDefault="000C703A" w:rsidP="000C703A">
      <w:pPr>
        <w:numPr>
          <w:ilvl w:val="0"/>
          <w:numId w:val="2"/>
        </w:numPr>
        <w:rPr>
          <w:rFonts w:ascii="Times New Roman" w:hAnsi="Times New Roman" w:cs="Times New Roman"/>
        </w:rPr>
      </w:pPr>
      <w:r w:rsidRPr="008A6181">
        <w:rPr>
          <w:rFonts w:ascii="Times New Roman" w:hAnsi="Times New Roman" w:cs="Times New Roman"/>
          <w:b/>
          <w:bCs/>
        </w:rPr>
        <w:t>Independent Variables (Drivers):</w:t>
      </w:r>
      <w:r w:rsidRPr="008A6181">
        <w:rPr>
          <w:rFonts w:ascii="Times New Roman" w:hAnsi="Times New Roman" w:cs="Times New Roman"/>
        </w:rPr>
        <w:t xml:space="preserve"> Department, Gender, and Job. These were used to segment the dependent variables to identify localized issues (e.g., low tenure in Marketing).</w:t>
      </w:r>
    </w:p>
    <w:p w14:paraId="6C78B986" w14:textId="5099A735" w:rsidR="005966E2" w:rsidRPr="008A6181" w:rsidRDefault="005966E2" w:rsidP="005966E2">
      <w:pPr>
        <w:rPr>
          <w:rFonts w:ascii="Times New Roman" w:hAnsi="Times New Roman" w:cs="Times New Roman"/>
        </w:rPr>
      </w:pPr>
    </w:p>
    <w:p w14:paraId="6E7241B6" w14:textId="77777777" w:rsidR="005966E2" w:rsidRPr="008A6181" w:rsidRDefault="005966E2" w:rsidP="005966E2">
      <w:pPr>
        <w:rPr>
          <w:rFonts w:ascii="Times New Roman" w:hAnsi="Times New Roman" w:cs="Times New Roman"/>
          <w:b/>
          <w:bCs/>
        </w:rPr>
      </w:pPr>
      <w:r w:rsidRPr="008A6181">
        <w:rPr>
          <w:rFonts w:ascii="Times New Roman" w:hAnsi="Times New Roman" w:cs="Times New Roman"/>
          <w:b/>
          <w:bCs/>
        </w:rPr>
        <w:t>4. Data Splitting and Preprocessing</w:t>
      </w:r>
    </w:p>
    <w:p w14:paraId="304FE305" w14:textId="77777777" w:rsidR="005966E2" w:rsidRPr="008A6181" w:rsidRDefault="005966E2" w:rsidP="005966E2">
      <w:pPr>
        <w:rPr>
          <w:rFonts w:ascii="Times New Roman" w:hAnsi="Times New Roman" w:cs="Times New Roman"/>
          <w:b/>
          <w:bCs/>
        </w:rPr>
      </w:pPr>
      <w:r w:rsidRPr="008A6181">
        <w:rPr>
          <w:rFonts w:ascii="Times New Roman" w:hAnsi="Times New Roman" w:cs="Times New Roman"/>
          <w:b/>
          <w:bCs/>
        </w:rPr>
        <w:t>Data Cleaning</w:t>
      </w:r>
    </w:p>
    <w:p w14:paraId="630E89D1" w14:textId="1D66C7FF" w:rsidR="00853F8E" w:rsidRPr="008A6181" w:rsidRDefault="00853F8E" w:rsidP="005966E2">
      <w:pPr>
        <w:rPr>
          <w:rFonts w:ascii="Times New Roman" w:hAnsi="Times New Roman" w:cs="Times New Roman"/>
        </w:rPr>
      </w:pPr>
      <w:r w:rsidRPr="008A6181">
        <w:rPr>
          <w:rFonts w:ascii="Times New Roman" w:hAnsi="Times New Roman" w:cs="Times New Roman"/>
        </w:rPr>
        <w:t>I ensured there were no blank rows and duplicate value while cleaning the data. I also saw to it that all date fields (Hire, Exit) were in a consistent date format and each EEID represented a unique employee record for accurate headcount.</w:t>
      </w:r>
    </w:p>
    <w:p w14:paraId="1A001D8B" w14:textId="24AA6130" w:rsidR="005966E2" w:rsidRPr="008A6181" w:rsidRDefault="00853F8E" w:rsidP="005966E2">
      <w:pPr>
        <w:rPr>
          <w:rFonts w:ascii="Times New Roman" w:hAnsi="Times New Roman" w:cs="Times New Roman"/>
        </w:rPr>
      </w:pPr>
      <w:r w:rsidRPr="008A6181">
        <w:rPr>
          <w:rFonts w:ascii="Times New Roman" w:hAnsi="Times New Roman" w:cs="Times New Roman"/>
        </w:rPr>
        <w:t>All m</w:t>
      </w:r>
      <w:r w:rsidR="005966E2" w:rsidRPr="008A6181">
        <w:rPr>
          <w:rFonts w:ascii="Times New Roman" w:hAnsi="Times New Roman" w:cs="Times New Roman"/>
        </w:rPr>
        <w:t xml:space="preserve">issing Exit dates were assumed to be </w:t>
      </w:r>
      <w:r w:rsidR="005966E2" w:rsidRPr="008A6181">
        <w:rPr>
          <w:rFonts w:ascii="Times New Roman" w:hAnsi="Times New Roman" w:cs="Times New Roman"/>
          <w:b/>
          <w:bCs/>
        </w:rPr>
        <w:t>Active</w:t>
      </w:r>
      <w:r w:rsidR="005966E2" w:rsidRPr="008A6181">
        <w:rPr>
          <w:rFonts w:ascii="Times New Roman" w:hAnsi="Times New Roman" w:cs="Times New Roman"/>
        </w:rPr>
        <w:t xml:space="preserve"> employees</w:t>
      </w:r>
      <w:r w:rsidRPr="008A6181">
        <w:rPr>
          <w:rFonts w:ascii="Times New Roman" w:hAnsi="Times New Roman" w:cs="Times New Roman"/>
        </w:rPr>
        <w:t xml:space="preserve"> and M</w:t>
      </w:r>
      <w:r w:rsidR="005966E2" w:rsidRPr="008A6181">
        <w:rPr>
          <w:rFonts w:ascii="Times New Roman" w:hAnsi="Times New Roman" w:cs="Times New Roman"/>
        </w:rPr>
        <w:t xml:space="preserve">issing Bonus values were treated as </w:t>
      </w:r>
      <w:r w:rsidR="005966E2" w:rsidRPr="008A6181">
        <w:rPr>
          <w:rFonts w:ascii="Times New Roman" w:hAnsi="Times New Roman" w:cs="Times New Roman"/>
          <w:b/>
          <w:bCs/>
        </w:rPr>
        <w:t>zero</w:t>
      </w:r>
      <w:r w:rsidR="005966E2" w:rsidRPr="008A6181">
        <w:rPr>
          <w:rFonts w:ascii="Times New Roman" w:hAnsi="Times New Roman" w:cs="Times New Roman"/>
        </w:rPr>
        <w:t xml:space="preserve"> or </w:t>
      </w:r>
      <w:r w:rsidR="005966E2" w:rsidRPr="008A6181">
        <w:rPr>
          <w:rFonts w:ascii="Times New Roman" w:hAnsi="Times New Roman" w:cs="Times New Roman"/>
          <w:b/>
          <w:bCs/>
        </w:rPr>
        <w:t>not applicable</w:t>
      </w:r>
      <w:r w:rsidR="005966E2" w:rsidRPr="008A6181">
        <w:rPr>
          <w:rFonts w:ascii="Times New Roman" w:hAnsi="Times New Roman" w:cs="Times New Roman"/>
        </w:rPr>
        <w:t>, requiring conditional formulas to correctly calculate bonus allocation and averages.</w:t>
      </w:r>
    </w:p>
    <w:p w14:paraId="1739C078" w14:textId="6E41FA88" w:rsidR="005966E2" w:rsidRPr="008A6181" w:rsidRDefault="005966E2" w:rsidP="005966E2">
      <w:pPr>
        <w:rPr>
          <w:rFonts w:ascii="Times New Roman" w:hAnsi="Times New Roman" w:cs="Times New Roman"/>
        </w:rPr>
      </w:pPr>
      <w:r w:rsidRPr="008A6181">
        <w:rPr>
          <w:rFonts w:ascii="Times New Roman" w:hAnsi="Times New Roman" w:cs="Times New Roman"/>
        </w:rPr>
        <w:t>Several new variables were created using Excel formulas</w:t>
      </w:r>
      <w:r w:rsidR="00853F8E" w:rsidRPr="008A6181">
        <w:rPr>
          <w:rFonts w:ascii="Times New Roman" w:hAnsi="Times New Roman" w:cs="Times New Roman"/>
        </w:rPr>
        <w:t xml:space="preserve"> while </w:t>
      </w:r>
      <w:proofErr w:type="gramStart"/>
      <w:r w:rsidR="00853F8E" w:rsidRPr="008A6181">
        <w:rPr>
          <w:rFonts w:ascii="Times New Roman" w:hAnsi="Times New Roman" w:cs="Times New Roman"/>
        </w:rPr>
        <w:t xml:space="preserve">transforming </w:t>
      </w:r>
      <w:r w:rsidRPr="008A6181">
        <w:rPr>
          <w:rFonts w:ascii="Times New Roman" w:hAnsi="Times New Roman" w:cs="Times New Roman"/>
        </w:rPr>
        <w:t>:</w:t>
      </w:r>
      <w:proofErr w:type="gramEnd"/>
    </w:p>
    <w:p w14:paraId="1B667FEC" w14:textId="20534DE3" w:rsidR="00C83589" w:rsidRPr="008A6181" w:rsidRDefault="005966E2" w:rsidP="00472271">
      <w:pPr>
        <w:numPr>
          <w:ilvl w:val="0"/>
          <w:numId w:val="4"/>
        </w:numPr>
        <w:rPr>
          <w:rFonts w:ascii="Times New Roman" w:hAnsi="Times New Roman" w:cs="Times New Roman"/>
        </w:rPr>
      </w:pPr>
      <w:r w:rsidRPr="008A6181">
        <w:rPr>
          <w:rFonts w:ascii="Times New Roman" w:hAnsi="Times New Roman" w:cs="Times New Roman"/>
          <w:b/>
          <w:bCs/>
        </w:rPr>
        <w:lastRenderedPageBreak/>
        <w:t>Tenure (in years):</w:t>
      </w:r>
      <w:r w:rsidRPr="008A6181">
        <w:rPr>
          <w:rFonts w:ascii="Times New Roman" w:hAnsi="Times New Roman" w:cs="Times New Roman"/>
        </w:rPr>
        <w:t xml:space="preserve"> Calculated using the f</w:t>
      </w:r>
      <w:r w:rsidR="00C83589" w:rsidRPr="008A6181">
        <w:rPr>
          <w:rFonts w:ascii="Times New Roman" w:hAnsi="Times New Roman" w:cs="Times New Roman"/>
        </w:rPr>
        <w:t>unction</w:t>
      </w:r>
      <w:r w:rsidRPr="008A6181">
        <w:rPr>
          <w:rFonts w:ascii="Times New Roman" w:hAnsi="Times New Roman" w:cs="Times New Roman"/>
        </w:rPr>
        <w:t xml:space="preserve"> </w:t>
      </w:r>
      <w:r w:rsidR="00C83589" w:rsidRPr="008A6181">
        <w:rPr>
          <w:rFonts w:ascii="Times New Roman" w:hAnsi="Times New Roman" w:cs="Times New Roman"/>
        </w:rPr>
        <w:t>=IF(ISBLANK(I2</w:t>
      </w:r>
      <w:proofErr w:type="gramStart"/>
      <w:r w:rsidR="00C83589" w:rsidRPr="008A6181">
        <w:rPr>
          <w:rFonts w:ascii="Times New Roman" w:hAnsi="Times New Roman" w:cs="Times New Roman"/>
        </w:rPr>
        <w:t>),DATEDIF</w:t>
      </w:r>
      <w:proofErr w:type="gramEnd"/>
      <w:r w:rsidR="00C83589" w:rsidRPr="008A6181">
        <w:rPr>
          <w:rFonts w:ascii="Times New Roman" w:hAnsi="Times New Roman" w:cs="Times New Roman"/>
        </w:rPr>
        <w:t>(H2,TODAY(),"Y"),DATEDIF(H2,I2,"Y"))</w:t>
      </w:r>
    </w:p>
    <w:p w14:paraId="435C6821" w14:textId="6E37CCED" w:rsidR="00C83589" w:rsidRPr="008A6181" w:rsidRDefault="005966E2" w:rsidP="002B5B79">
      <w:pPr>
        <w:numPr>
          <w:ilvl w:val="0"/>
          <w:numId w:val="4"/>
        </w:numPr>
        <w:rPr>
          <w:rFonts w:ascii="Times New Roman" w:hAnsi="Times New Roman" w:cs="Times New Roman"/>
        </w:rPr>
      </w:pPr>
      <w:r w:rsidRPr="008A6181">
        <w:rPr>
          <w:rFonts w:ascii="Times New Roman" w:hAnsi="Times New Roman" w:cs="Times New Roman"/>
          <w:b/>
          <w:bCs/>
        </w:rPr>
        <w:t>Age Group:</w:t>
      </w:r>
      <w:r w:rsidR="00C83589" w:rsidRPr="008A6181">
        <w:rPr>
          <w:rFonts w:ascii="Times New Roman" w:hAnsi="Times New Roman" w:cs="Times New Roman"/>
          <w:b/>
          <w:bCs/>
        </w:rPr>
        <w:t xml:space="preserve"> </w:t>
      </w:r>
      <w:r w:rsidR="00C83589" w:rsidRPr="008A6181">
        <w:rPr>
          <w:rFonts w:ascii="Times New Roman" w:hAnsi="Times New Roman" w:cs="Times New Roman"/>
        </w:rPr>
        <w:t>Calculated using the function;</w:t>
      </w:r>
      <w:r w:rsidRPr="008A6181">
        <w:rPr>
          <w:rFonts w:ascii="Times New Roman" w:hAnsi="Times New Roman" w:cs="Times New Roman"/>
        </w:rPr>
        <w:t xml:space="preserve"> </w:t>
      </w:r>
      <w:r w:rsidR="00C83589" w:rsidRPr="008A6181">
        <w:rPr>
          <w:rFonts w:ascii="Times New Roman" w:hAnsi="Times New Roman" w:cs="Times New Roman"/>
        </w:rPr>
        <w:t>=IF(AND(D3&gt;=</w:t>
      </w:r>
      <w:proofErr w:type="gramStart"/>
      <w:r w:rsidR="00C83589" w:rsidRPr="008A6181">
        <w:rPr>
          <w:rFonts w:ascii="Times New Roman" w:hAnsi="Times New Roman" w:cs="Times New Roman"/>
        </w:rPr>
        <w:t>26,D</w:t>
      </w:r>
      <w:proofErr w:type="gramEnd"/>
      <w:r w:rsidR="00C83589" w:rsidRPr="008A6181">
        <w:rPr>
          <w:rFonts w:ascii="Times New Roman" w:hAnsi="Times New Roman" w:cs="Times New Roman"/>
        </w:rPr>
        <w:t>3&lt;=30),"26 - 30",IF(AND(D3&gt;=31,D3&lt;=35),"31 - 35",IF(AND(D3&gt;=36,D3&lt;=40),"36 -40",IF(AND(D3&gt;=41,D3&lt;=45),"41 - 45",IF(AND(D3&gt;=46,D3&lt;=50),"46 - 50",IF(AND(D3&gt;=51,D3&lt;=60),"51 - 60",""))))))</w:t>
      </w:r>
    </w:p>
    <w:p w14:paraId="26B200FE" w14:textId="1AAFEFE4" w:rsidR="00C83589" w:rsidRPr="008A6181" w:rsidRDefault="00C83589" w:rsidP="0033322C">
      <w:pPr>
        <w:rPr>
          <w:rFonts w:ascii="Times New Roman" w:hAnsi="Times New Roman" w:cs="Times New Roman"/>
          <w:b/>
          <w:bCs/>
        </w:rPr>
      </w:pPr>
      <w:r w:rsidRPr="008A6181">
        <w:rPr>
          <w:rFonts w:ascii="Times New Roman" w:hAnsi="Times New Roman" w:cs="Times New Roman"/>
          <w:b/>
          <w:bCs/>
          <w:noProof/>
        </w:rPr>
        <w:drawing>
          <wp:inline distT="0" distB="0" distL="0" distR="0" wp14:anchorId="6A92B798" wp14:editId="74F41C5F">
            <wp:extent cx="5943600" cy="30568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056890"/>
                    </a:xfrm>
                    <a:prstGeom prst="rect">
                      <a:avLst/>
                    </a:prstGeom>
                  </pic:spPr>
                </pic:pic>
              </a:graphicData>
            </a:graphic>
          </wp:inline>
        </w:drawing>
      </w:r>
    </w:p>
    <w:p w14:paraId="1E07CC9A" w14:textId="77777777" w:rsidR="00C83589" w:rsidRPr="008A6181" w:rsidRDefault="00C83589" w:rsidP="0033322C">
      <w:pPr>
        <w:rPr>
          <w:rFonts w:ascii="Times New Roman" w:hAnsi="Times New Roman" w:cs="Times New Roman"/>
          <w:b/>
          <w:bCs/>
        </w:rPr>
      </w:pPr>
    </w:p>
    <w:p w14:paraId="7B237434" w14:textId="1733170B" w:rsidR="0033322C" w:rsidRPr="008A6181" w:rsidRDefault="00853F8E" w:rsidP="0033322C">
      <w:pPr>
        <w:rPr>
          <w:rFonts w:ascii="Times New Roman" w:hAnsi="Times New Roman" w:cs="Times New Roman"/>
          <w:b/>
          <w:bCs/>
        </w:rPr>
      </w:pPr>
      <w:r w:rsidRPr="008A6181">
        <w:rPr>
          <w:rFonts w:ascii="Times New Roman" w:hAnsi="Times New Roman" w:cs="Times New Roman"/>
          <w:b/>
          <w:bCs/>
        </w:rPr>
        <w:t>5. Pre-Analysis:</w:t>
      </w:r>
    </w:p>
    <w:p w14:paraId="6E3A690C" w14:textId="77777777" w:rsidR="0033322C" w:rsidRPr="008A6181" w:rsidRDefault="00853F8E" w:rsidP="0033322C">
      <w:pPr>
        <w:rPr>
          <w:rFonts w:ascii="Times New Roman" w:hAnsi="Times New Roman" w:cs="Times New Roman"/>
        </w:rPr>
      </w:pPr>
      <w:r w:rsidRPr="008A6181">
        <w:rPr>
          <w:rFonts w:ascii="Times New Roman" w:hAnsi="Times New Roman" w:cs="Times New Roman"/>
        </w:rPr>
        <w:t>This part of the project was focused on capturing the core narrative of the dataset. It gave me a high-level view of the data quality, the industry context, and what success looks like for stakeholders.</w:t>
      </w:r>
    </w:p>
    <w:p w14:paraId="61F51B97" w14:textId="77777777" w:rsidR="0033322C" w:rsidRPr="008A6181" w:rsidRDefault="005966E2" w:rsidP="0033322C">
      <w:pPr>
        <w:rPr>
          <w:rFonts w:ascii="Times New Roman" w:hAnsi="Times New Roman" w:cs="Times New Roman"/>
        </w:rPr>
      </w:pPr>
      <w:r w:rsidRPr="008A6181">
        <w:rPr>
          <w:rFonts w:ascii="Times New Roman" w:hAnsi="Times New Roman" w:cs="Times New Roman"/>
          <w:b/>
          <w:bCs/>
        </w:rPr>
        <w:t>Independent (Categorical):</w:t>
      </w:r>
      <w:r w:rsidRPr="008A6181">
        <w:rPr>
          <w:rFonts w:ascii="Times New Roman" w:hAnsi="Times New Roman" w:cs="Times New Roman"/>
        </w:rPr>
        <w:t xml:space="preserve"> </w:t>
      </w:r>
      <w:r w:rsidR="0033322C" w:rsidRPr="008A6181">
        <w:rPr>
          <w:rFonts w:ascii="Times New Roman" w:hAnsi="Times New Roman" w:cs="Times New Roman"/>
        </w:rPr>
        <w:t>Age, Hire, Exit, Bonus, Status (Active/Inactive). These were crucial for measuring stability, attrition patterns, and financial impact.</w:t>
      </w:r>
    </w:p>
    <w:p w14:paraId="087B53C1" w14:textId="5725D8A5" w:rsidR="0033322C" w:rsidRPr="008A6181" w:rsidRDefault="005966E2" w:rsidP="0033322C">
      <w:pPr>
        <w:rPr>
          <w:rFonts w:ascii="Times New Roman" w:hAnsi="Times New Roman" w:cs="Times New Roman"/>
        </w:rPr>
      </w:pPr>
      <w:r w:rsidRPr="008A6181">
        <w:rPr>
          <w:rFonts w:ascii="Times New Roman" w:hAnsi="Times New Roman" w:cs="Times New Roman"/>
          <w:b/>
          <w:bCs/>
        </w:rPr>
        <w:t>Dependent (Metrics):</w:t>
      </w:r>
      <w:r w:rsidRPr="008A6181">
        <w:rPr>
          <w:rFonts w:ascii="Times New Roman" w:hAnsi="Times New Roman" w:cs="Times New Roman"/>
        </w:rPr>
        <w:t xml:space="preserve"> </w:t>
      </w:r>
      <w:r w:rsidR="0033322C" w:rsidRPr="008A6181">
        <w:rPr>
          <w:rFonts w:ascii="Times New Roman" w:hAnsi="Times New Roman" w:cs="Times New Roman"/>
        </w:rPr>
        <w:t>Department, Gender, and Job. These were used to segment the dependent variables to identify localized issues (e.g., low tenure in Marketing).</w:t>
      </w:r>
    </w:p>
    <w:p w14:paraId="2A0F6A6A" w14:textId="7E48C948" w:rsidR="0033322C" w:rsidRPr="008A6181" w:rsidRDefault="0033322C" w:rsidP="0033322C">
      <w:pPr>
        <w:rPr>
          <w:rFonts w:ascii="Times New Roman" w:hAnsi="Times New Roman" w:cs="Times New Roman"/>
        </w:rPr>
      </w:pPr>
    </w:p>
    <w:p w14:paraId="45AE1E53" w14:textId="64377522" w:rsidR="005966E2" w:rsidRPr="008A6181" w:rsidRDefault="005966E2" w:rsidP="005966E2">
      <w:pPr>
        <w:rPr>
          <w:rFonts w:ascii="Times New Roman" w:hAnsi="Times New Roman" w:cs="Times New Roman"/>
        </w:rPr>
      </w:pPr>
      <w:r w:rsidRPr="008A6181">
        <w:rPr>
          <w:rFonts w:ascii="Times New Roman" w:hAnsi="Times New Roman" w:cs="Times New Roman"/>
          <w:b/>
          <w:bCs/>
        </w:rPr>
        <w:t>Industry Context</w:t>
      </w:r>
      <w:r w:rsidR="0033322C" w:rsidRPr="008A6181">
        <w:rPr>
          <w:rFonts w:ascii="Times New Roman" w:hAnsi="Times New Roman" w:cs="Times New Roman"/>
          <w:b/>
          <w:bCs/>
        </w:rPr>
        <w:t xml:space="preserve">: A </w:t>
      </w:r>
      <w:r w:rsidRPr="008A6181">
        <w:rPr>
          <w:rFonts w:ascii="Times New Roman" w:hAnsi="Times New Roman" w:cs="Times New Roman"/>
          <w:b/>
          <w:bCs/>
        </w:rPr>
        <w:t>Large-Scale Corporation / Tech Company</w:t>
      </w:r>
      <w:r w:rsidRPr="008A6181">
        <w:rPr>
          <w:rFonts w:ascii="Times New Roman" w:hAnsi="Times New Roman" w:cs="Times New Roman"/>
        </w:rPr>
        <w:t xml:space="preserve"> industry</w:t>
      </w:r>
      <w:r w:rsidR="0033322C" w:rsidRPr="008A6181">
        <w:rPr>
          <w:rFonts w:ascii="Times New Roman" w:hAnsi="Times New Roman" w:cs="Times New Roman"/>
        </w:rPr>
        <w:t xml:space="preserve"> </w:t>
      </w:r>
      <w:r w:rsidRPr="008A6181">
        <w:rPr>
          <w:rFonts w:ascii="Times New Roman" w:hAnsi="Times New Roman" w:cs="Times New Roman"/>
        </w:rPr>
        <w:t>se</w:t>
      </w:r>
      <w:r w:rsidR="0033322C" w:rsidRPr="008A6181">
        <w:rPr>
          <w:rFonts w:ascii="Times New Roman" w:hAnsi="Times New Roman" w:cs="Times New Roman"/>
        </w:rPr>
        <w:t>t</w:t>
      </w:r>
      <w:r w:rsidRPr="008A6181">
        <w:rPr>
          <w:rFonts w:ascii="Times New Roman" w:hAnsi="Times New Roman" w:cs="Times New Roman"/>
        </w:rPr>
        <w:t>t</w:t>
      </w:r>
      <w:r w:rsidR="0033322C" w:rsidRPr="008A6181">
        <w:rPr>
          <w:rFonts w:ascii="Times New Roman" w:hAnsi="Times New Roman" w:cs="Times New Roman"/>
        </w:rPr>
        <w:t>ing</w:t>
      </w:r>
      <w:r w:rsidRPr="008A6181">
        <w:rPr>
          <w:rFonts w:ascii="Times New Roman" w:hAnsi="Times New Roman" w:cs="Times New Roman"/>
        </w:rPr>
        <w:t xml:space="preserve"> a high benchmark for talent retention (low turnover, high tenure) </w:t>
      </w:r>
      <w:r w:rsidR="0033322C" w:rsidRPr="008A6181">
        <w:rPr>
          <w:rFonts w:ascii="Times New Roman" w:hAnsi="Times New Roman" w:cs="Times New Roman"/>
        </w:rPr>
        <w:t>which also</w:t>
      </w:r>
      <w:r w:rsidRPr="008A6181">
        <w:rPr>
          <w:rFonts w:ascii="Times New Roman" w:hAnsi="Times New Roman" w:cs="Times New Roman"/>
        </w:rPr>
        <w:t xml:space="preserve"> emphasizes the criticality of functional roles</w:t>
      </w:r>
      <w:r w:rsidR="0033322C" w:rsidRPr="008A6181">
        <w:rPr>
          <w:rFonts w:ascii="Times New Roman" w:hAnsi="Times New Roman" w:cs="Times New Roman"/>
        </w:rPr>
        <w:t>.</w:t>
      </w:r>
    </w:p>
    <w:p w14:paraId="5AF3D3D6" w14:textId="586EAE2E" w:rsidR="005966E2" w:rsidRPr="008A6181" w:rsidRDefault="005966E2" w:rsidP="005966E2">
      <w:pPr>
        <w:rPr>
          <w:rFonts w:ascii="Times New Roman" w:hAnsi="Times New Roman" w:cs="Times New Roman"/>
        </w:rPr>
      </w:pPr>
      <w:r w:rsidRPr="008A6181">
        <w:rPr>
          <w:rFonts w:ascii="Times New Roman" w:hAnsi="Times New Roman" w:cs="Times New Roman"/>
          <w:b/>
          <w:bCs/>
        </w:rPr>
        <w:t>Stakeholders</w:t>
      </w:r>
      <w:r w:rsidR="0033322C" w:rsidRPr="008A6181">
        <w:rPr>
          <w:rFonts w:ascii="Times New Roman" w:hAnsi="Times New Roman" w:cs="Times New Roman"/>
          <w:b/>
          <w:bCs/>
        </w:rPr>
        <w:t xml:space="preserve">: </w:t>
      </w:r>
      <w:r w:rsidRPr="008A6181">
        <w:rPr>
          <w:rFonts w:ascii="Times New Roman" w:hAnsi="Times New Roman" w:cs="Times New Roman"/>
        </w:rPr>
        <w:t>Key recipients and beneficiaries of the findings include:</w:t>
      </w:r>
    </w:p>
    <w:p w14:paraId="5712A550" w14:textId="77777777" w:rsidR="005966E2" w:rsidRPr="008A6181" w:rsidRDefault="005966E2" w:rsidP="005966E2">
      <w:pPr>
        <w:numPr>
          <w:ilvl w:val="0"/>
          <w:numId w:val="6"/>
        </w:numPr>
        <w:rPr>
          <w:rFonts w:ascii="Times New Roman" w:hAnsi="Times New Roman" w:cs="Times New Roman"/>
        </w:rPr>
      </w:pPr>
      <w:r w:rsidRPr="008A6181">
        <w:rPr>
          <w:rFonts w:ascii="Times New Roman" w:hAnsi="Times New Roman" w:cs="Times New Roman"/>
        </w:rPr>
        <w:lastRenderedPageBreak/>
        <w:t>HR Department: Responsible for policy implementation and target setting (turnover, tenure).</w:t>
      </w:r>
    </w:p>
    <w:p w14:paraId="015CCF79" w14:textId="77777777" w:rsidR="005966E2" w:rsidRPr="008A6181" w:rsidRDefault="005966E2" w:rsidP="005966E2">
      <w:pPr>
        <w:numPr>
          <w:ilvl w:val="0"/>
          <w:numId w:val="6"/>
        </w:numPr>
        <w:rPr>
          <w:rFonts w:ascii="Times New Roman" w:hAnsi="Times New Roman" w:cs="Times New Roman"/>
        </w:rPr>
      </w:pPr>
      <w:r w:rsidRPr="008A6181">
        <w:rPr>
          <w:rFonts w:ascii="Times New Roman" w:hAnsi="Times New Roman" w:cs="Times New Roman"/>
        </w:rPr>
        <w:t>Department Heads: Accountable for localized retention issues (Accounting, Marketing).</w:t>
      </w:r>
    </w:p>
    <w:p w14:paraId="60900D87" w14:textId="77777777" w:rsidR="005966E2" w:rsidRPr="008A6181" w:rsidRDefault="005966E2" w:rsidP="005966E2">
      <w:pPr>
        <w:numPr>
          <w:ilvl w:val="0"/>
          <w:numId w:val="6"/>
        </w:numPr>
        <w:rPr>
          <w:rFonts w:ascii="Times New Roman" w:hAnsi="Times New Roman" w:cs="Times New Roman"/>
        </w:rPr>
      </w:pPr>
      <w:r w:rsidRPr="008A6181">
        <w:rPr>
          <w:rFonts w:ascii="Times New Roman" w:hAnsi="Times New Roman" w:cs="Times New Roman"/>
        </w:rPr>
        <w:t>Finance Department: Responsible for managing the bonus pool and compensation equity.</w:t>
      </w:r>
    </w:p>
    <w:p w14:paraId="1163D335" w14:textId="11375D2D" w:rsidR="005966E2" w:rsidRPr="008A6181" w:rsidRDefault="005966E2" w:rsidP="005966E2">
      <w:pPr>
        <w:numPr>
          <w:ilvl w:val="0"/>
          <w:numId w:val="6"/>
        </w:numPr>
        <w:rPr>
          <w:rFonts w:ascii="Times New Roman" w:hAnsi="Times New Roman" w:cs="Times New Roman"/>
        </w:rPr>
      </w:pPr>
      <w:r w:rsidRPr="008A6181">
        <w:rPr>
          <w:rFonts w:ascii="Times New Roman" w:hAnsi="Times New Roman" w:cs="Times New Roman"/>
        </w:rPr>
        <w:t>Executive Leadership: Responsible for strategic planning and mitigating succession risk.</w:t>
      </w:r>
    </w:p>
    <w:p w14:paraId="13FE53ED" w14:textId="1EE67701" w:rsidR="00B00740" w:rsidRPr="008A6181" w:rsidRDefault="00B00740" w:rsidP="00B00740">
      <w:pPr>
        <w:rPr>
          <w:rFonts w:ascii="Times New Roman" w:hAnsi="Times New Roman" w:cs="Times New Roman"/>
        </w:rPr>
      </w:pPr>
    </w:p>
    <w:p w14:paraId="5F26EC00" w14:textId="77777777" w:rsidR="00B00740" w:rsidRPr="008A6181" w:rsidRDefault="00B00740" w:rsidP="00B00740">
      <w:pPr>
        <w:rPr>
          <w:rFonts w:ascii="Times New Roman" w:hAnsi="Times New Roman" w:cs="Times New Roman"/>
        </w:rPr>
      </w:pPr>
      <w:r w:rsidRPr="008A6181">
        <w:rPr>
          <w:rFonts w:ascii="Times New Roman" w:hAnsi="Times New Roman" w:cs="Times New Roman"/>
        </w:rPr>
        <w:t xml:space="preserve">I then listed every potential analysis/ question I wanted to explore, pairing each with the expected pre-insight and potential insight. </w:t>
      </w:r>
    </w:p>
    <w:p w14:paraId="0A7014EB" w14:textId="77777777" w:rsidR="00B00740" w:rsidRPr="008A6181" w:rsidRDefault="00B00740" w:rsidP="00B00740">
      <w:pPr>
        <w:rPr>
          <w:rFonts w:ascii="Times New Roman" w:hAnsi="Times New Roman" w:cs="Times New Roman"/>
        </w:rPr>
      </w:pPr>
    </w:p>
    <w:p w14:paraId="4382EFD3" w14:textId="77777777" w:rsidR="00B00740" w:rsidRPr="008A6181" w:rsidRDefault="00B00740" w:rsidP="005966E2">
      <w:pPr>
        <w:rPr>
          <w:rFonts w:ascii="Times New Roman" w:hAnsi="Times New Roman" w:cs="Times New Roman"/>
        </w:rPr>
      </w:pPr>
    </w:p>
    <w:p w14:paraId="030A2B42" w14:textId="70D5574C" w:rsidR="00C83589" w:rsidRPr="008A6181" w:rsidRDefault="00C83589" w:rsidP="005966E2">
      <w:pPr>
        <w:rPr>
          <w:rFonts w:ascii="Times New Roman" w:hAnsi="Times New Roman" w:cs="Times New Roman"/>
        </w:rPr>
      </w:pPr>
      <w:r w:rsidRPr="008A6181">
        <w:rPr>
          <w:rFonts w:ascii="Times New Roman" w:hAnsi="Times New Roman" w:cs="Times New Roman"/>
          <w:noProof/>
        </w:rPr>
        <w:lastRenderedPageBreak/>
        <w:drawing>
          <wp:inline distT="0" distB="0" distL="0" distR="0" wp14:anchorId="418A8695" wp14:editId="59EFD7A0">
            <wp:extent cx="5943600" cy="64312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6431280"/>
                    </a:xfrm>
                    <a:prstGeom prst="rect">
                      <a:avLst/>
                    </a:prstGeom>
                  </pic:spPr>
                </pic:pic>
              </a:graphicData>
            </a:graphic>
          </wp:inline>
        </w:drawing>
      </w:r>
    </w:p>
    <w:p w14:paraId="46E50CE6" w14:textId="225037E3" w:rsidR="00C83589" w:rsidRPr="008A6181" w:rsidRDefault="00C83589" w:rsidP="005966E2">
      <w:pPr>
        <w:rPr>
          <w:rFonts w:ascii="Times New Roman" w:hAnsi="Times New Roman" w:cs="Times New Roman"/>
        </w:rPr>
      </w:pPr>
      <w:r w:rsidRPr="008A6181">
        <w:rPr>
          <w:rFonts w:ascii="Times New Roman" w:hAnsi="Times New Roman" w:cs="Times New Roman"/>
          <w:noProof/>
        </w:rPr>
        <w:lastRenderedPageBreak/>
        <w:drawing>
          <wp:inline distT="0" distB="0" distL="0" distR="0" wp14:anchorId="7A7CCBAA" wp14:editId="4616FC5F">
            <wp:extent cx="5943600" cy="559498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5594985"/>
                    </a:xfrm>
                    <a:prstGeom prst="rect">
                      <a:avLst/>
                    </a:prstGeom>
                  </pic:spPr>
                </pic:pic>
              </a:graphicData>
            </a:graphic>
          </wp:inline>
        </w:drawing>
      </w:r>
    </w:p>
    <w:p w14:paraId="490E37C5" w14:textId="382A394D" w:rsidR="005966E2" w:rsidRPr="008A6181" w:rsidRDefault="005966E2" w:rsidP="005966E2">
      <w:pPr>
        <w:rPr>
          <w:rFonts w:ascii="Times New Roman" w:hAnsi="Times New Roman" w:cs="Times New Roman"/>
        </w:rPr>
      </w:pPr>
      <w:r w:rsidRPr="008A6181">
        <w:rPr>
          <w:rFonts w:ascii="Times New Roman" w:hAnsi="Times New Roman" w:cs="Times New Roman"/>
        </w:rPr>
        <w:t xml:space="preserve">The insights </w:t>
      </w:r>
      <w:r w:rsidR="0033322C" w:rsidRPr="008A6181">
        <w:rPr>
          <w:rFonts w:ascii="Times New Roman" w:hAnsi="Times New Roman" w:cs="Times New Roman"/>
        </w:rPr>
        <w:t xml:space="preserve">generated from this report would </w:t>
      </w:r>
      <w:r w:rsidRPr="008A6181">
        <w:rPr>
          <w:rFonts w:ascii="Times New Roman" w:hAnsi="Times New Roman" w:cs="Times New Roman"/>
        </w:rPr>
        <w:t>enable the company to optimize human capital, directly impacting core business goals by reducing replacement costs, improving institutional knowledge retention, and ensuring fair compensation, which drives overall performance and productivity.</w:t>
      </w:r>
    </w:p>
    <w:p w14:paraId="417E58AF" w14:textId="56D42B73" w:rsidR="005966E2" w:rsidRPr="008A6181" w:rsidRDefault="005966E2" w:rsidP="005966E2">
      <w:pPr>
        <w:rPr>
          <w:rFonts w:ascii="Times New Roman" w:hAnsi="Times New Roman" w:cs="Times New Roman"/>
        </w:rPr>
      </w:pPr>
    </w:p>
    <w:p w14:paraId="03F01B0D" w14:textId="77777777" w:rsidR="00E93E2C" w:rsidRPr="008A6181" w:rsidRDefault="00E93E2C" w:rsidP="00E93E2C">
      <w:pPr>
        <w:rPr>
          <w:rFonts w:ascii="Times New Roman" w:hAnsi="Times New Roman" w:cs="Times New Roman"/>
          <w:b/>
          <w:bCs/>
        </w:rPr>
      </w:pPr>
      <w:r w:rsidRPr="008A6181">
        <w:rPr>
          <w:rFonts w:ascii="Times New Roman" w:hAnsi="Times New Roman" w:cs="Times New Roman"/>
          <w:b/>
          <w:bCs/>
        </w:rPr>
        <w:t>6. In-Analysis</w:t>
      </w:r>
    </w:p>
    <w:p w14:paraId="1D95CAA8" w14:textId="68EEAFE4" w:rsidR="00E93E2C" w:rsidRPr="008A6181" w:rsidRDefault="00E93E2C" w:rsidP="00E93E2C">
      <w:pPr>
        <w:rPr>
          <w:rFonts w:ascii="Times New Roman" w:hAnsi="Times New Roman" w:cs="Times New Roman"/>
        </w:rPr>
      </w:pPr>
      <w:r w:rsidRPr="008A6181">
        <w:rPr>
          <w:rFonts w:ascii="Times New Roman" w:hAnsi="Times New Roman" w:cs="Times New Roman"/>
        </w:rPr>
        <w:t xml:space="preserve">The in-analysis phase focused on Identifying the key trend </w:t>
      </w:r>
      <w:proofErr w:type="gramStart"/>
      <w:r w:rsidRPr="008A6181">
        <w:rPr>
          <w:rFonts w:ascii="Times New Roman" w:hAnsi="Times New Roman" w:cs="Times New Roman"/>
        </w:rPr>
        <w:t>In</w:t>
      </w:r>
      <w:proofErr w:type="gramEnd"/>
      <w:r w:rsidRPr="008A6181">
        <w:rPr>
          <w:rFonts w:ascii="Times New Roman" w:hAnsi="Times New Roman" w:cs="Times New Roman"/>
        </w:rPr>
        <w:t xml:space="preserve"> how the company is optimizing its human capital.</w:t>
      </w:r>
    </w:p>
    <w:p w14:paraId="1E0CCD0C" w14:textId="37CF2411" w:rsidR="005966E2" w:rsidRPr="008A6181" w:rsidRDefault="005966E2" w:rsidP="005966E2">
      <w:pPr>
        <w:rPr>
          <w:rFonts w:ascii="Times New Roman" w:hAnsi="Times New Roman" w:cs="Times New Roman"/>
          <w:b/>
          <w:bCs/>
        </w:rPr>
      </w:pPr>
      <w:r w:rsidRPr="008A6181">
        <w:rPr>
          <w:rFonts w:ascii="Times New Roman" w:hAnsi="Times New Roman" w:cs="Times New Roman"/>
          <w:b/>
          <w:bCs/>
        </w:rPr>
        <w:t>Key Trends</w:t>
      </w:r>
      <w:r w:rsidR="00E93E2C" w:rsidRPr="008A6181">
        <w:rPr>
          <w:rFonts w:ascii="Times New Roman" w:hAnsi="Times New Roman" w:cs="Times New Roman"/>
          <w:b/>
          <w:bCs/>
        </w:rPr>
        <w:t>:</w:t>
      </w:r>
    </w:p>
    <w:p w14:paraId="17689C1F" w14:textId="4203109D" w:rsidR="005966E2" w:rsidRPr="008A6181" w:rsidRDefault="005966E2" w:rsidP="00E93E2C">
      <w:pPr>
        <w:numPr>
          <w:ilvl w:val="0"/>
          <w:numId w:val="19"/>
        </w:numPr>
        <w:rPr>
          <w:rFonts w:ascii="Times New Roman" w:hAnsi="Times New Roman" w:cs="Times New Roman"/>
        </w:rPr>
      </w:pPr>
      <w:r w:rsidRPr="008A6181">
        <w:rPr>
          <w:rFonts w:ascii="Times New Roman" w:hAnsi="Times New Roman" w:cs="Times New Roman"/>
        </w:rPr>
        <w:lastRenderedPageBreak/>
        <w:t>The 13% turnover rate suggested a systemic issue with retention strategies.</w:t>
      </w:r>
    </w:p>
    <w:p w14:paraId="233A0471" w14:textId="52C1EB49" w:rsidR="005966E2" w:rsidRPr="008A6181" w:rsidRDefault="005966E2" w:rsidP="00E93E2C">
      <w:pPr>
        <w:numPr>
          <w:ilvl w:val="0"/>
          <w:numId w:val="19"/>
        </w:numPr>
        <w:rPr>
          <w:rFonts w:ascii="Times New Roman" w:hAnsi="Times New Roman" w:cs="Times New Roman"/>
        </w:rPr>
      </w:pPr>
      <w:r w:rsidRPr="008A6181">
        <w:rPr>
          <w:rFonts w:ascii="Times New Roman" w:hAnsi="Times New Roman" w:cs="Times New Roman"/>
        </w:rPr>
        <w:t>The headcount was heavily skewed, with Engineering dominating both active (56%) and inactive (55%) staff, indicating a high concentration and high-risk dependency.</w:t>
      </w:r>
    </w:p>
    <w:p w14:paraId="746C392A" w14:textId="4620B3F3" w:rsidR="00B00740" w:rsidRPr="008A6181" w:rsidRDefault="00B00740" w:rsidP="00B00740">
      <w:pPr>
        <w:rPr>
          <w:rFonts w:ascii="Times New Roman" w:hAnsi="Times New Roman" w:cs="Times New Roman"/>
        </w:rPr>
      </w:pPr>
      <w:r w:rsidRPr="008A6181">
        <w:rPr>
          <w:rFonts w:ascii="Times New Roman" w:hAnsi="Times New Roman" w:cs="Times New Roman"/>
          <w:noProof/>
        </w:rPr>
        <w:drawing>
          <wp:inline distT="0" distB="0" distL="0" distR="0" wp14:anchorId="6FA43FBA" wp14:editId="0B2DA33B">
            <wp:extent cx="3330229" cy="5037257"/>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30229" cy="5037257"/>
                    </a:xfrm>
                    <a:prstGeom prst="rect">
                      <a:avLst/>
                    </a:prstGeom>
                  </pic:spPr>
                </pic:pic>
              </a:graphicData>
            </a:graphic>
          </wp:inline>
        </w:drawing>
      </w:r>
    </w:p>
    <w:p w14:paraId="03C918DA" w14:textId="76DA04CE" w:rsidR="005966E2" w:rsidRPr="008A6181" w:rsidRDefault="005966E2" w:rsidP="00E93E2C">
      <w:pPr>
        <w:numPr>
          <w:ilvl w:val="0"/>
          <w:numId w:val="19"/>
        </w:numPr>
        <w:rPr>
          <w:rFonts w:ascii="Times New Roman" w:hAnsi="Times New Roman" w:cs="Times New Roman"/>
        </w:rPr>
      </w:pPr>
      <w:r w:rsidRPr="008A6181">
        <w:rPr>
          <w:rFonts w:ascii="Times New Roman" w:hAnsi="Times New Roman" w:cs="Times New Roman"/>
        </w:rPr>
        <w:t xml:space="preserve">Tenure Inconsistency: A significant gap existed between the overall average tenure (2.37 years) and the critically low tenure in </w:t>
      </w:r>
      <w:proofErr w:type="gramStart"/>
      <w:r w:rsidRPr="008A6181">
        <w:rPr>
          <w:rFonts w:ascii="Times New Roman" w:hAnsi="Times New Roman" w:cs="Times New Roman"/>
        </w:rPr>
        <w:t>Accounting</w:t>
      </w:r>
      <w:proofErr w:type="gramEnd"/>
      <w:r w:rsidRPr="008A6181">
        <w:rPr>
          <w:rFonts w:ascii="Times New Roman" w:hAnsi="Times New Roman" w:cs="Times New Roman"/>
        </w:rPr>
        <w:t xml:space="preserve"> (1.50 years) and Marketing (1.55 years).</w:t>
      </w:r>
    </w:p>
    <w:p w14:paraId="3B56E520" w14:textId="0D4297C6" w:rsidR="00B00740" w:rsidRPr="008A6181" w:rsidRDefault="00B00740" w:rsidP="00B00740">
      <w:pPr>
        <w:ind w:left="360"/>
        <w:jc w:val="center"/>
        <w:rPr>
          <w:rFonts w:ascii="Times New Roman" w:hAnsi="Times New Roman" w:cs="Times New Roman"/>
        </w:rPr>
      </w:pPr>
      <w:r w:rsidRPr="008A6181">
        <w:rPr>
          <w:rFonts w:ascii="Times New Roman" w:hAnsi="Times New Roman" w:cs="Times New Roman"/>
          <w:noProof/>
        </w:rPr>
        <w:lastRenderedPageBreak/>
        <w:drawing>
          <wp:inline distT="0" distB="0" distL="0" distR="0" wp14:anchorId="4EC547AB" wp14:editId="5E423D9F">
            <wp:extent cx="4919133" cy="253664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39291" cy="2547042"/>
                    </a:xfrm>
                    <a:prstGeom prst="rect">
                      <a:avLst/>
                    </a:prstGeom>
                  </pic:spPr>
                </pic:pic>
              </a:graphicData>
            </a:graphic>
          </wp:inline>
        </w:drawing>
      </w:r>
    </w:p>
    <w:p w14:paraId="24F7391D" w14:textId="77777777" w:rsidR="00B00740" w:rsidRPr="008A6181" w:rsidRDefault="00B00740" w:rsidP="00B00740">
      <w:pPr>
        <w:rPr>
          <w:rFonts w:ascii="Times New Roman" w:hAnsi="Times New Roman" w:cs="Times New Roman"/>
        </w:rPr>
      </w:pPr>
    </w:p>
    <w:p w14:paraId="1098BA7C" w14:textId="0FA0E36E" w:rsidR="005966E2" w:rsidRPr="008A6181" w:rsidRDefault="005966E2" w:rsidP="00E93E2C">
      <w:pPr>
        <w:pStyle w:val="ListParagraph"/>
        <w:numPr>
          <w:ilvl w:val="0"/>
          <w:numId w:val="19"/>
        </w:numPr>
        <w:rPr>
          <w:rFonts w:ascii="Times New Roman" w:hAnsi="Times New Roman" w:cs="Times New Roman"/>
        </w:rPr>
      </w:pPr>
      <w:r w:rsidRPr="008A6181">
        <w:rPr>
          <w:rFonts w:ascii="Times New Roman" w:hAnsi="Times New Roman" w:cs="Times New Roman"/>
        </w:rPr>
        <w:t xml:space="preserve">The high concentration of employees in the 36–45 age bracket, coupled with underrepresentation in the younger 26–30 group, pointed to a potential </w:t>
      </w:r>
      <w:r w:rsidRPr="008A6181">
        <w:rPr>
          <w:rFonts w:ascii="Times New Roman" w:hAnsi="Times New Roman" w:cs="Times New Roman"/>
          <w:b/>
          <w:bCs/>
        </w:rPr>
        <w:t>succession risk</w:t>
      </w:r>
      <w:r w:rsidRPr="008A6181">
        <w:rPr>
          <w:rFonts w:ascii="Times New Roman" w:hAnsi="Times New Roman" w:cs="Times New Roman"/>
        </w:rPr>
        <w:t xml:space="preserve"> driven by a lack of a structured talent pipeline.</w:t>
      </w:r>
    </w:p>
    <w:p w14:paraId="2A41AE88" w14:textId="3CA338DB" w:rsidR="00B00740" w:rsidRPr="008A6181" w:rsidRDefault="00B00740" w:rsidP="00B00740">
      <w:pPr>
        <w:jc w:val="center"/>
        <w:rPr>
          <w:rFonts w:ascii="Times New Roman" w:hAnsi="Times New Roman" w:cs="Times New Roman"/>
        </w:rPr>
      </w:pPr>
      <w:r w:rsidRPr="008A6181">
        <w:rPr>
          <w:rFonts w:ascii="Times New Roman" w:hAnsi="Times New Roman" w:cs="Times New Roman"/>
          <w:noProof/>
        </w:rPr>
        <w:drawing>
          <wp:inline distT="0" distB="0" distL="0" distR="0" wp14:anchorId="5CC8F8AE" wp14:editId="2F0385B0">
            <wp:extent cx="4851342" cy="2848398"/>
            <wp:effectExtent l="0" t="0" r="698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67893" cy="2858115"/>
                    </a:xfrm>
                    <a:prstGeom prst="rect">
                      <a:avLst/>
                    </a:prstGeom>
                  </pic:spPr>
                </pic:pic>
              </a:graphicData>
            </a:graphic>
          </wp:inline>
        </w:drawing>
      </w:r>
    </w:p>
    <w:p w14:paraId="4E36DA86" w14:textId="486859DD" w:rsidR="005966E2" w:rsidRPr="008A6181" w:rsidRDefault="005966E2" w:rsidP="00E93E2C">
      <w:pPr>
        <w:pStyle w:val="ListParagraph"/>
        <w:numPr>
          <w:ilvl w:val="0"/>
          <w:numId w:val="19"/>
        </w:numPr>
        <w:rPr>
          <w:rFonts w:ascii="Times New Roman" w:hAnsi="Times New Roman" w:cs="Times New Roman"/>
        </w:rPr>
      </w:pPr>
      <w:r w:rsidRPr="008A6181">
        <w:rPr>
          <w:rFonts w:ascii="Times New Roman" w:hAnsi="Times New Roman" w:cs="Times New Roman"/>
        </w:rPr>
        <w:t>The disproportionate allocation of the bonus pool to Engineering (55.34%) suggested a strong correlation between department size (rather than strictly performance) and incentive share.</w:t>
      </w:r>
    </w:p>
    <w:p w14:paraId="664C5849" w14:textId="3D046126" w:rsidR="00B00740" w:rsidRPr="008A6181" w:rsidRDefault="00B00740" w:rsidP="00B00740">
      <w:pPr>
        <w:jc w:val="center"/>
        <w:rPr>
          <w:rFonts w:ascii="Times New Roman" w:hAnsi="Times New Roman" w:cs="Times New Roman"/>
        </w:rPr>
      </w:pPr>
      <w:r w:rsidRPr="008A6181">
        <w:rPr>
          <w:rFonts w:ascii="Times New Roman" w:hAnsi="Times New Roman" w:cs="Times New Roman"/>
          <w:noProof/>
        </w:rPr>
        <w:lastRenderedPageBreak/>
        <w:drawing>
          <wp:inline distT="0" distB="0" distL="0" distR="0" wp14:anchorId="6C0FCEB6" wp14:editId="0A168966">
            <wp:extent cx="5054313" cy="2969260"/>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67932" cy="2977261"/>
                    </a:xfrm>
                    <a:prstGeom prst="rect">
                      <a:avLst/>
                    </a:prstGeom>
                  </pic:spPr>
                </pic:pic>
              </a:graphicData>
            </a:graphic>
          </wp:inline>
        </w:drawing>
      </w:r>
    </w:p>
    <w:p w14:paraId="66350E15" w14:textId="5FF846D3" w:rsidR="005966E2" w:rsidRPr="008A6181" w:rsidRDefault="005966E2" w:rsidP="005966E2">
      <w:pPr>
        <w:rPr>
          <w:rFonts w:ascii="Times New Roman" w:hAnsi="Times New Roman" w:cs="Times New Roman"/>
        </w:rPr>
      </w:pPr>
      <w:r w:rsidRPr="008A6181">
        <w:rPr>
          <w:rFonts w:ascii="Times New Roman" w:hAnsi="Times New Roman" w:cs="Times New Roman"/>
        </w:rPr>
        <w:t>The</w:t>
      </w:r>
      <w:r w:rsidR="00B00740" w:rsidRPr="008A6181">
        <w:rPr>
          <w:rFonts w:ascii="Times New Roman" w:hAnsi="Times New Roman" w:cs="Times New Roman"/>
        </w:rPr>
        <w:t>se</w:t>
      </w:r>
      <w:r w:rsidRPr="008A6181">
        <w:rPr>
          <w:rFonts w:ascii="Times New Roman" w:hAnsi="Times New Roman" w:cs="Times New Roman"/>
        </w:rPr>
        <w:t xml:space="preserve"> </w:t>
      </w:r>
      <w:r w:rsidR="00E93E2C" w:rsidRPr="008A6181">
        <w:rPr>
          <w:rFonts w:ascii="Times New Roman" w:hAnsi="Times New Roman" w:cs="Times New Roman"/>
        </w:rPr>
        <w:t xml:space="preserve">key trends </w:t>
      </w:r>
      <w:r w:rsidRPr="008A6181">
        <w:rPr>
          <w:rFonts w:ascii="Times New Roman" w:hAnsi="Times New Roman" w:cs="Times New Roman"/>
        </w:rPr>
        <w:t>raised critical questions about fairness and sustainability:</w:t>
      </w:r>
    </w:p>
    <w:p w14:paraId="1C6A3038" w14:textId="77777777" w:rsidR="005966E2" w:rsidRPr="008A6181" w:rsidRDefault="005966E2" w:rsidP="005966E2">
      <w:pPr>
        <w:numPr>
          <w:ilvl w:val="0"/>
          <w:numId w:val="9"/>
        </w:numPr>
        <w:rPr>
          <w:rFonts w:ascii="Times New Roman" w:hAnsi="Times New Roman" w:cs="Times New Roman"/>
        </w:rPr>
      </w:pPr>
      <w:r w:rsidRPr="008A6181">
        <w:rPr>
          <w:rFonts w:ascii="Times New Roman" w:hAnsi="Times New Roman" w:cs="Times New Roman"/>
        </w:rPr>
        <w:t>Is the compensation truly equitable if Sales/Marketing (revenue drivers) receive significantly lower bonus shares than Engineering (cost center)?</w:t>
      </w:r>
    </w:p>
    <w:p w14:paraId="30C8A019" w14:textId="77777777" w:rsidR="005966E2" w:rsidRPr="008A6181" w:rsidRDefault="005966E2" w:rsidP="005966E2">
      <w:pPr>
        <w:numPr>
          <w:ilvl w:val="0"/>
          <w:numId w:val="9"/>
        </w:numPr>
        <w:rPr>
          <w:rFonts w:ascii="Times New Roman" w:hAnsi="Times New Roman" w:cs="Times New Roman"/>
        </w:rPr>
      </w:pPr>
      <w:r w:rsidRPr="008A6181">
        <w:rPr>
          <w:rFonts w:ascii="Times New Roman" w:hAnsi="Times New Roman" w:cs="Times New Roman"/>
        </w:rPr>
        <w:t xml:space="preserve">What are the root causes driving the exceptionally low tenure in non-technical departments like </w:t>
      </w:r>
      <w:proofErr w:type="gramStart"/>
      <w:r w:rsidRPr="008A6181">
        <w:rPr>
          <w:rFonts w:ascii="Times New Roman" w:hAnsi="Times New Roman" w:cs="Times New Roman"/>
        </w:rPr>
        <w:t>Accounting</w:t>
      </w:r>
      <w:proofErr w:type="gramEnd"/>
      <w:r w:rsidRPr="008A6181">
        <w:rPr>
          <w:rFonts w:ascii="Times New Roman" w:hAnsi="Times New Roman" w:cs="Times New Roman"/>
        </w:rPr>
        <w:t>?</w:t>
      </w:r>
    </w:p>
    <w:p w14:paraId="1BB2AB10" w14:textId="19EEA487" w:rsidR="005966E2" w:rsidRPr="008A6181" w:rsidRDefault="005966E2" w:rsidP="005966E2">
      <w:pPr>
        <w:rPr>
          <w:rFonts w:ascii="Times New Roman" w:hAnsi="Times New Roman" w:cs="Times New Roman"/>
        </w:rPr>
      </w:pPr>
    </w:p>
    <w:p w14:paraId="4DA28631" w14:textId="77777777" w:rsidR="005966E2" w:rsidRPr="008A6181" w:rsidRDefault="005966E2" w:rsidP="005966E2">
      <w:pPr>
        <w:rPr>
          <w:rFonts w:ascii="Times New Roman" w:hAnsi="Times New Roman" w:cs="Times New Roman"/>
          <w:b/>
          <w:bCs/>
        </w:rPr>
      </w:pPr>
      <w:r w:rsidRPr="008A6181">
        <w:rPr>
          <w:rFonts w:ascii="Times New Roman" w:hAnsi="Times New Roman" w:cs="Times New Roman"/>
          <w:b/>
          <w:bCs/>
        </w:rPr>
        <w:t>Recommendations (Preliminary)</w:t>
      </w:r>
    </w:p>
    <w:p w14:paraId="6F02F79D" w14:textId="77777777" w:rsidR="005966E2" w:rsidRPr="008A6181" w:rsidRDefault="005966E2" w:rsidP="005966E2">
      <w:pPr>
        <w:rPr>
          <w:rFonts w:ascii="Times New Roman" w:hAnsi="Times New Roman" w:cs="Times New Roman"/>
        </w:rPr>
      </w:pPr>
      <w:r w:rsidRPr="008A6181">
        <w:rPr>
          <w:rFonts w:ascii="Times New Roman" w:hAnsi="Times New Roman" w:cs="Times New Roman"/>
        </w:rPr>
        <w:t>Based on the early findings (high turnover and low tenure), preliminary recommendations were:</w:t>
      </w:r>
    </w:p>
    <w:p w14:paraId="5FE23EDD" w14:textId="77777777" w:rsidR="005966E2" w:rsidRPr="008A6181" w:rsidRDefault="005966E2" w:rsidP="005966E2">
      <w:pPr>
        <w:numPr>
          <w:ilvl w:val="0"/>
          <w:numId w:val="11"/>
        </w:numPr>
        <w:rPr>
          <w:rFonts w:ascii="Times New Roman" w:hAnsi="Times New Roman" w:cs="Times New Roman"/>
        </w:rPr>
      </w:pPr>
      <w:r w:rsidRPr="008A6181">
        <w:rPr>
          <w:rFonts w:ascii="Times New Roman" w:hAnsi="Times New Roman" w:cs="Times New Roman"/>
        </w:rPr>
        <w:t>Targeted engagement surveys in high-attrition departments.</w:t>
      </w:r>
    </w:p>
    <w:p w14:paraId="059295CE" w14:textId="77777777" w:rsidR="005966E2" w:rsidRPr="008A6181" w:rsidRDefault="005966E2" w:rsidP="005966E2">
      <w:pPr>
        <w:numPr>
          <w:ilvl w:val="0"/>
          <w:numId w:val="11"/>
        </w:numPr>
        <w:rPr>
          <w:rFonts w:ascii="Times New Roman" w:hAnsi="Times New Roman" w:cs="Times New Roman"/>
        </w:rPr>
      </w:pPr>
      <w:r w:rsidRPr="008A6181">
        <w:rPr>
          <w:rFonts w:ascii="Times New Roman" w:hAnsi="Times New Roman" w:cs="Times New Roman"/>
        </w:rPr>
        <w:t>Review of Q1 hiring/exit data to identify seasonal triggers for high attrition.</w:t>
      </w:r>
    </w:p>
    <w:p w14:paraId="31DB6A0D" w14:textId="4AB70C2A" w:rsidR="005966E2" w:rsidRPr="008A6181" w:rsidRDefault="005966E2" w:rsidP="005966E2">
      <w:pPr>
        <w:rPr>
          <w:rFonts w:ascii="Times New Roman" w:hAnsi="Times New Roman" w:cs="Times New Roman"/>
        </w:rPr>
      </w:pPr>
    </w:p>
    <w:p w14:paraId="4980439F" w14:textId="77777777" w:rsidR="005966E2" w:rsidRPr="008A6181" w:rsidRDefault="005966E2" w:rsidP="005966E2">
      <w:pPr>
        <w:rPr>
          <w:rFonts w:ascii="Times New Roman" w:hAnsi="Times New Roman" w:cs="Times New Roman"/>
          <w:b/>
          <w:bCs/>
        </w:rPr>
      </w:pPr>
      <w:r w:rsidRPr="008A6181">
        <w:rPr>
          <w:rFonts w:ascii="Times New Roman" w:hAnsi="Times New Roman" w:cs="Times New Roman"/>
          <w:b/>
          <w:bCs/>
        </w:rPr>
        <w:t>7. Post-Analysis and Insights</w:t>
      </w:r>
    </w:p>
    <w:p w14:paraId="58AF0EDD" w14:textId="58D563C9" w:rsidR="005966E2" w:rsidRPr="008A6181" w:rsidRDefault="005966E2" w:rsidP="005966E2">
      <w:pPr>
        <w:rPr>
          <w:rFonts w:ascii="Times New Roman" w:hAnsi="Times New Roman" w:cs="Times New Roman"/>
          <w:b/>
          <w:bCs/>
        </w:rPr>
      </w:pPr>
      <w:r w:rsidRPr="008A6181">
        <w:rPr>
          <w:rFonts w:ascii="Times New Roman" w:hAnsi="Times New Roman" w:cs="Times New Roman"/>
          <w:b/>
          <w:bCs/>
        </w:rPr>
        <w:t>Key Findings</w:t>
      </w:r>
      <w:r w:rsidR="00E93E2C" w:rsidRPr="008A6181">
        <w:rPr>
          <w:rFonts w:ascii="Times New Roman" w:hAnsi="Times New Roman" w:cs="Times New Roman"/>
          <w:b/>
          <w:bCs/>
        </w:rPr>
        <w:t>:</w:t>
      </w:r>
    </w:p>
    <w:p w14:paraId="4EDA27E6" w14:textId="77777777" w:rsidR="005966E2" w:rsidRPr="008A6181" w:rsidRDefault="005966E2" w:rsidP="005966E2">
      <w:pPr>
        <w:rPr>
          <w:rFonts w:ascii="Times New Roman" w:hAnsi="Times New Roman" w:cs="Times New Roman"/>
        </w:rPr>
      </w:pPr>
      <w:r w:rsidRPr="008A6181">
        <w:rPr>
          <w:rFonts w:ascii="Times New Roman" w:hAnsi="Times New Roman" w:cs="Times New Roman"/>
        </w:rPr>
        <w:t>The detailed analysis confirmed the initial observations, solidifying the severity of the human capital risks:</w:t>
      </w:r>
    </w:p>
    <w:p w14:paraId="223986D0" w14:textId="0D620A76" w:rsidR="005966E2" w:rsidRPr="008A6181" w:rsidRDefault="005966E2" w:rsidP="005966E2">
      <w:pPr>
        <w:numPr>
          <w:ilvl w:val="0"/>
          <w:numId w:val="13"/>
        </w:numPr>
        <w:rPr>
          <w:rFonts w:ascii="Times New Roman" w:hAnsi="Times New Roman" w:cs="Times New Roman"/>
        </w:rPr>
      </w:pPr>
      <w:r w:rsidRPr="008A6181">
        <w:rPr>
          <w:rFonts w:ascii="Times New Roman" w:hAnsi="Times New Roman" w:cs="Times New Roman"/>
        </w:rPr>
        <w:t>The overall 13% turnover rate and 2.37 years average tenure were confirmed to be non-compliant with industry standards (8−10% turnover, 3−5 years tenure).</w:t>
      </w:r>
    </w:p>
    <w:p w14:paraId="13F58E64" w14:textId="05380EB0" w:rsidR="005966E2" w:rsidRPr="008A6181" w:rsidRDefault="005966E2" w:rsidP="005966E2">
      <w:pPr>
        <w:numPr>
          <w:ilvl w:val="0"/>
          <w:numId w:val="13"/>
        </w:numPr>
        <w:rPr>
          <w:rFonts w:ascii="Times New Roman" w:hAnsi="Times New Roman" w:cs="Times New Roman"/>
        </w:rPr>
      </w:pPr>
      <w:r w:rsidRPr="008A6181">
        <w:rPr>
          <w:rFonts w:ascii="Times New Roman" w:hAnsi="Times New Roman" w:cs="Times New Roman"/>
        </w:rPr>
        <w:lastRenderedPageBreak/>
        <w:t xml:space="preserve">The low tenure in </w:t>
      </w:r>
      <w:proofErr w:type="gramStart"/>
      <w:r w:rsidRPr="008A6181">
        <w:rPr>
          <w:rFonts w:ascii="Times New Roman" w:hAnsi="Times New Roman" w:cs="Times New Roman"/>
        </w:rPr>
        <w:t>Accounting</w:t>
      </w:r>
      <w:proofErr w:type="gramEnd"/>
      <w:r w:rsidRPr="008A6181">
        <w:rPr>
          <w:rFonts w:ascii="Times New Roman" w:hAnsi="Times New Roman" w:cs="Times New Roman"/>
        </w:rPr>
        <w:t xml:space="preserve"> (1.50 years) and Marketing (1.55 years) was statistically verified, confirming the need for localized interventions.</w:t>
      </w:r>
    </w:p>
    <w:p w14:paraId="4E6447FA" w14:textId="529823CB" w:rsidR="005966E2" w:rsidRPr="008A6181" w:rsidRDefault="005966E2" w:rsidP="005966E2">
      <w:pPr>
        <w:numPr>
          <w:ilvl w:val="0"/>
          <w:numId w:val="13"/>
        </w:numPr>
        <w:rPr>
          <w:rFonts w:ascii="Times New Roman" w:hAnsi="Times New Roman" w:cs="Times New Roman"/>
        </w:rPr>
      </w:pPr>
      <w:r w:rsidRPr="008A6181">
        <w:rPr>
          <w:rFonts w:ascii="Times New Roman" w:hAnsi="Times New Roman" w:cs="Times New Roman"/>
        </w:rPr>
        <w:t>The finding that 55.34% of bonuses went to Engineering, while critical revenue drivers received proportionally less, was confirmed, requiring immediate reform to link incentives to performance KPIs.</w:t>
      </w:r>
    </w:p>
    <w:p w14:paraId="3821F4EC" w14:textId="77777777" w:rsidR="00586CB9" w:rsidRPr="008A6181" w:rsidRDefault="005966E2" w:rsidP="00007FA5">
      <w:pPr>
        <w:numPr>
          <w:ilvl w:val="0"/>
          <w:numId w:val="13"/>
        </w:numPr>
        <w:rPr>
          <w:rFonts w:ascii="Times New Roman" w:hAnsi="Times New Roman" w:cs="Times New Roman"/>
        </w:rPr>
      </w:pPr>
      <w:r w:rsidRPr="008A6181">
        <w:rPr>
          <w:rFonts w:ascii="Times New Roman" w:hAnsi="Times New Roman" w:cs="Times New Roman"/>
        </w:rPr>
        <w:t>The observation that younger (26–30) and older (51–60) groups are significantly underrepresented was validated, confirming the imminent succession risk.</w:t>
      </w:r>
    </w:p>
    <w:p w14:paraId="50E007A1" w14:textId="77777777" w:rsidR="00586CB9" w:rsidRPr="008A6181" w:rsidRDefault="005966E2" w:rsidP="00007FA5">
      <w:pPr>
        <w:numPr>
          <w:ilvl w:val="0"/>
          <w:numId w:val="13"/>
        </w:numPr>
        <w:rPr>
          <w:rFonts w:ascii="Times New Roman" w:hAnsi="Times New Roman" w:cs="Times New Roman"/>
        </w:rPr>
      </w:pPr>
      <w:r w:rsidRPr="008A6181">
        <w:rPr>
          <w:rFonts w:ascii="Times New Roman" w:hAnsi="Times New Roman" w:cs="Times New Roman"/>
        </w:rPr>
        <w:t xml:space="preserve">A notable positive confirmation was the finding of </w:t>
      </w:r>
      <w:r w:rsidRPr="008A6181">
        <w:rPr>
          <w:rFonts w:ascii="Times New Roman" w:hAnsi="Times New Roman" w:cs="Times New Roman"/>
          <w:b/>
          <w:bCs/>
        </w:rPr>
        <w:t>near-perfect gender diversity (49.87% Male, 50.13% Female)</w:t>
      </w:r>
      <w:r w:rsidRPr="008A6181">
        <w:rPr>
          <w:rFonts w:ascii="Times New Roman" w:hAnsi="Times New Roman" w:cs="Times New Roman"/>
        </w:rPr>
        <w:t xml:space="preserve">, which is a strength to be maintained and leveraged. </w:t>
      </w:r>
    </w:p>
    <w:p w14:paraId="451A9EA7" w14:textId="732A8643" w:rsidR="005966E2" w:rsidRPr="008A6181" w:rsidRDefault="005966E2" w:rsidP="00007FA5">
      <w:pPr>
        <w:numPr>
          <w:ilvl w:val="0"/>
          <w:numId w:val="13"/>
        </w:numPr>
        <w:rPr>
          <w:rFonts w:ascii="Times New Roman" w:hAnsi="Times New Roman" w:cs="Times New Roman"/>
        </w:rPr>
      </w:pPr>
      <w:r w:rsidRPr="008A6181">
        <w:rPr>
          <w:rFonts w:ascii="Times New Roman" w:hAnsi="Times New Roman" w:cs="Times New Roman"/>
        </w:rPr>
        <w:t>The seasonal exit peaks in Q1 2021 and Q1 2023 were identified as significant, suggesting a failure point during critical business or compensation cycles.</w:t>
      </w:r>
    </w:p>
    <w:p w14:paraId="416DB386" w14:textId="2CF674B2" w:rsidR="00526EC0" w:rsidRPr="008A6181" w:rsidRDefault="00526EC0" w:rsidP="00526EC0">
      <w:pPr>
        <w:jc w:val="center"/>
        <w:rPr>
          <w:rFonts w:ascii="Times New Roman" w:hAnsi="Times New Roman" w:cs="Times New Roman"/>
        </w:rPr>
      </w:pPr>
      <w:r w:rsidRPr="008A6181">
        <w:rPr>
          <w:rFonts w:ascii="Times New Roman" w:hAnsi="Times New Roman" w:cs="Times New Roman"/>
          <w:noProof/>
        </w:rPr>
        <w:drawing>
          <wp:inline distT="0" distB="0" distL="0" distR="0" wp14:anchorId="05E7A171" wp14:editId="34B2662F">
            <wp:extent cx="5164667" cy="2228090"/>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88418" cy="2238336"/>
                    </a:xfrm>
                    <a:prstGeom prst="rect">
                      <a:avLst/>
                    </a:prstGeom>
                  </pic:spPr>
                </pic:pic>
              </a:graphicData>
            </a:graphic>
          </wp:inline>
        </w:drawing>
      </w:r>
    </w:p>
    <w:p w14:paraId="29455353" w14:textId="12DBA11E" w:rsidR="005966E2" w:rsidRPr="008A6181" w:rsidRDefault="005966E2" w:rsidP="005966E2">
      <w:pPr>
        <w:rPr>
          <w:rFonts w:ascii="Times New Roman" w:hAnsi="Times New Roman" w:cs="Times New Roman"/>
        </w:rPr>
      </w:pPr>
    </w:p>
    <w:p w14:paraId="0EC0ADE1" w14:textId="77777777" w:rsidR="00526EC0" w:rsidRPr="008A6181" w:rsidRDefault="00526EC0" w:rsidP="005966E2">
      <w:pPr>
        <w:rPr>
          <w:rFonts w:ascii="Times New Roman" w:hAnsi="Times New Roman" w:cs="Times New Roman"/>
        </w:rPr>
      </w:pPr>
    </w:p>
    <w:p w14:paraId="639A5BC9" w14:textId="4BC2C95D" w:rsidR="005966E2" w:rsidRDefault="005966E2" w:rsidP="005966E2">
      <w:pPr>
        <w:rPr>
          <w:rFonts w:ascii="Times New Roman" w:hAnsi="Times New Roman" w:cs="Times New Roman"/>
          <w:b/>
          <w:bCs/>
        </w:rPr>
      </w:pPr>
      <w:r w:rsidRPr="008A6181">
        <w:rPr>
          <w:rFonts w:ascii="Times New Roman" w:hAnsi="Times New Roman" w:cs="Times New Roman"/>
          <w:b/>
          <w:bCs/>
        </w:rPr>
        <w:t>8. Data Visualizations &amp; Charts</w:t>
      </w:r>
    </w:p>
    <w:p w14:paraId="0AB3D825" w14:textId="240833ED" w:rsidR="008A6181" w:rsidRPr="008A6181" w:rsidRDefault="008A6181" w:rsidP="005966E2">
      <w:pPr>
        <w:rPr>
          <w:rFonts w:ascii="Times New Roman" w:hAnsi="Times New Roman" w:cs="Times New Roman"/>
        </w:rPr>
      </w:pPr>
      <w:r>
        <w:rPr>
          <w:rFonts w:ascii="Times New Roman" w:hAnsi="Times New Roman" w:cs="Times New Roman"/>
        </w:rPr>
        <w:t xml:space="preserve">Below is a </w:t>
      </w:r>
      <w:r w:rsidRPr="008A6181">
        <w:rPr>
          <w:rFonts w:ascii="Times New Roman" w:hAnsi="Times New Roman" w:cs="Times New Roman"/>
        </w:rPr>
        <w:t>centralized HR Metric Dashboard was created, consolidating the Turnover Rate, Average Tenure, Gender Ratio, and a visual representation of the Age Group by Active Employee to provide Executive Leadership with an immediate, high-level overview of workforce health.</w:t>
      </w:r>
    </w:p>
    <w:p w14:paraId="47B7D96F" w14:textId="4BB8C8FE" w:rsidR="00526EC0" w:rsidRPr="008A6181" w:rsidRDefault="00526EC0" w:rsidP="005966E2">
      <w:pPr>
        <w:rPr>
          <w:rFonts w:ascii="Times New Roman" w:hAnsi="Times New Roman" w:cs="Times New Roman"/>
        </w:rPr>
      </w:pPr>
      <w:r w:rsidRPr="008A6181">
        <w:rPr>
          <w:rFonts w:ascii="Times New Roman" w:hAnsi="Times New Roman" w:cs="Times New Roman"/>
          <w:noProof/>
        </w:rPr>
        <w:lastRenderedPageBreak/>
        <w:drawing>
          <wp:inline distT="0" distB="0" distL="0" distR="0" wp14:anchorId="2A660567" wp14:editId="4928814F">
            <wp:extent cx="5943600" cy="2736215"/>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2736215"/>
                    </a:xfrm>
                    <a:prstGeom prst="rect">
                      <a:avLst/>
                    </a:prstGeom>
                    <a:noFill/>
                    <a:ln>
                      <a:noFill/>
                    </a:ln>
                  </pic:spPr>
                </pic:pic>
              </a:graphicData>
            </a:graphic>
          </wp:inline>
        </w:drawing>
      </w:r>
    </w:p>
    <w:p w14:paraId="4E904A14" w14:textId="77777777" w:rsidR="00586CB9" w:rsidRPr="00586CB9" w:rsidRDefault="00586CB9" w:rsidP="00586CB9">
      <w:pPr>
        <w:rPr>
          <w:rFonts w:ascii="Times New Roman" w:hAnsi="Times New Roman" w:cs="Times New Roman"/>
        </w:rPr>
      </w:pPr>
      <w:r w:rsidRPr="00586CB9">
        <w:rPr>
          <w:rFonts w:ascii="Times New Roman" w:hAnsi="Times New Roman" w:cs="Times New Roman"/>
          <w:b/>
          <w:bCs/>
        </w:rPr>
        <w:t>Key Metrics Displayed (KPIs):</w:t>
      </w:r>
      <w:r w:rsidRPr="00586CB9">
        <w:rPr>
          <w:rFonts w:ascii="Times New Roman" w:hAnsi="Times New Roman" w:cs="Times New Roman"/>
        </w:rPr>
        <w:t xml:space="preserve"> </w:t>
      </w:r>
    </w:p>
    <w:p w14:paraId="1076CC1E" w14:textId="5B4C6DBB" w:rsidR="00586CB9" w:rsidRPr="00586CB9" w:rsidRDefault="00586CB9" w:rsidP="00586CB9">
      <w:pPr>
        <w:numPr>
          <w:ilvl w:val="0"/>
          <w:numId w:val="22"/>
        </w:numPr>
        <w:rPr>
          <w:rFonts w:ascii="Times New Roman" w:hAnsi="Times New Roman" w:cs="Times New Roman"/>
        </w:rPr>
      </w:pPr>
      <w:r w:rsidRPr="00586CB9">
        <w:rPr>
          <w:rFonts w:ascii="Times New Roman" w:hAnsi="Times New Roman" w:cs="Times New Roman"/>
        </w:rPr>
        <w:t xml:space="preserve">Total </w:t>
      </w:r>
      <w:r w:rsidR="002D4CA2" w:rsidRPr="008A6181">
        <w:rPr>
          <w:rFonts w:ascii="Times New Roman" w:hAnsi="Times New Roman" w:cs="Times New Roman"/>
        </w:rPr>
        <w:t>Employee: 792</w:t>
      </w:r>
    </w:p>
    <w:p w14:paraId="38814F20" w14:textId="51975A76" w:rsidR="00586CB9" w:rsidRPr="00586CB9" w:rsidRDefault="002D4CA2" w:rsidP="00586CB9">
      <w:pPr>
        <w:numPr>
          <w:ilvl w:val="0"/>
          <w:numId w:val="22"/>
        </w:numPr>
        <w:rPr>
          <w:rFonts w:ascii="Times New Roman" w:hAnsi="Times New Roman" w:cs="Times New Roman"/>
        </w:rPr>
      </w:pPr>
      <w:r w:rsidRPr="008A6181">
        <w:rPr>
          <w:rFonts w:ascii="Times New Roman" w:hAnsi="Times New Roman" w:cs="Times New Roman"/>
        </w:rPr>
        <w:t>Active Employee</w:t>
      </w:r>
      <w:r w:rsidR="00586CB9" w:rsidRPr="00586CB9">
        <w:rPr>
          <w:rFonts w:ascii="Times New Roman" w:hAnsi="Times New Roman" w:cs="Times New Roman"/>
        </w:rPr>
        <w:t>:</w:t>
      </w:r>
      <w:r w:rsidRPr="008A6181">
        <w:rPr>
          <w:rFonts w:ascii="Times New Roman" w:hAnsi="Times New Roman" w:cs="Times New Roman"/>
        </w:rPr>
        <w:t xml:space="preserve"> 691</w:t>
      </w:r>
    </w:p>
    <w:p w14:paraId="53C54941" w14:textId="30AF94F8" w:rsidR="00586CB9" w:rsidRPr="00586CB9" w:rsidRDefault="002D4CA2" w:rsidP="00586CB9">
      <w:pPr>
        <w:numPr>
          <w:ilvl w:val="0"/>
          <w:numId w:val="22"/>
        </w:numPr>
        <w:rPr>
          <w:rFonts w:ascii="Times New Roman" w:hAnsi="Times New Roman" w:cs="Times New Roman"/>
        </w:rPr>
      </w:pPr>
      <w:r w:rsidRPr="008A6181">
        <w:rPr>
          <w:rFonts w:ascii="Times New Roman" w:hAnsi="Times New Roman" w:cs="Times New Roman"/>
        </w:rPr>
        <w:t>Inactive Employee</w:t>
      </w:r>
      <w:r w:rsidR="00586CB9" w:rsidRPr="00586CB9">
        <w:rPr>
          <w:rFonts w:ascii="Times New Roman" w:hAnsi="Times New Roman" w:cs="Times New Roman"/>
        </w:rPr>
        <w:t xml:space="preserve">: </w:t>
      </w:r>
      <w:r w:rsidRPr="008A6181">
        <w:rPr>
          <w:rFonts w:ascii="Times New Roman" w:hAnsi="Times New Roman" w:cs="Times New Roman"/>
        </w:rPr>
        <w:t>101</w:t>
      </w:r>
    </w:p>
    <w:p w14:paraId="52981928" w14:textId="48DEBF4B" w:rsidR="00586CB9" w:rsidRPr="00586CB9" w:rsidRDefault="00586CB9" w:rsidP="00586CB9">
      <w:pPr>
        <w:numPr>
          <w:ilvl w:val="0"/>
          <w:numId w:val="22"/>
        </w:numPr>
        <w:rPr>
          <w:rFonts w:ascii="Times New Roman" w:hAnsi="Times New Roman" w:cs="Times New Roman"/>
        </w:rPr>
      </w:pPr>
      <w:r w:rsidRPr="00586CB9">
        <w:rPr>
          <w:rFonts w:ascii="Times New Roman" w:hAnsi="Times New Roman" w:cs="Times New Roman"/>
        </w:rPr>
        <w:t xml:space="preserve">Average </w:t>
      </w:r>
      <w:r w:rsidR="002D4CA2" w:rsidRPr="008A6181">
        <w:rPr>
          <w:rFonts w:ascii="Times New Roman" w:hAnsi="Times New Roman" w:cs="Times New Roman"/>
        </w:rPr>
        <w:t>Tenure</w:t>
      </w:r>
      <w:r w:rsidRPr="00586CB9">
        <w:rPr>
          <w:rFonts w:ascii="Times New Roman" w:hAnsi="Times New Roman" w:cs="Times New Roman"/>
        </w:rPr>
        <w:t xml:space="preserve">: </w:t>
      </w:r>
      <w:r w:rsidR="002D4CA2" w:rsidRPr="008A6181">
        <w:rPr>
          <w:rFonts w:ascii="Times New Roman" w:hAnsi="Times New Roman" w:cs="Times New Roman"/>
        </w:rPr>
        <w:t>2</w:t>
      </w:r>
      <w:r w:rsidRPr="00586CB9">
        <w:rPr>
          <w:rFonts w:ascii="Times New Roman" w:hAnsi="Times New Roman" w:cs="Times New Roman"/>
        </w:rPr>
        <w:t>.3</w:t>
      </w:r>
      <w:r w:rsidR="002D4CA2" w:rsidRPr="008A6181">
        <w:rPr>
          <w:rFonts w:ascii="Times New Roman" w:hAnsi="Times New Roman" w:cs="Times New Roman"/>
        </w:rPr>
        <w:t>7</w:t>
      </w:r>
    </w:p>
    <w:p w14:paraId="3009E581" w14:textId="77777777" w:rsidR="00586CB9" w:rsidRPr="00586CB9" w:rsidRDefault="00586CB9" w:rsidP="00586CB9">
      <w:pPr>
        <w:rPr>
          <w:rFonts w:ascii="Times New Roman" w:hAnsi="Times New Roman" w:cs="Times New Roman"/>
        </w:rPr>
      </w:pPr>
      <w:r w:rsidRPr="00586CB9">
        <w:rPr>
          <w:rFonts w:ascii="Times New Roman" w:hAnsi="Times New Roman" w:cs="Times New Roman"/>
          <w:b/>
          <w:bCs/>
        </w:rPr>
        <w:t>Charts and Graphs:</w:t>
      </w:r>
    </w:p>
    <w:p w14:paraId="06B654C4" w14:textId="77777777" w:rsidR="00586CB9" w:rsidRPr="00586CB9" w:rsidRDefault="00586CB9" w:rsidP="00586CB9">
      <w:pPr>
        <w:rPr>
          <w:rFonts w:ascii="Times New Roman" w:hAnsi="Times New Roman" w:cs="Times New Roman"/>
          <w:b/>
          <w:bCs/>
        </w:rPr>
      </w:pPr>
      <w:r w:rsidRPr="00586CB9">
        <w:rPr>
          <w:rFonts w:ascii="Times New Roman" w:hAnsi="Times New Roman" w:cs="Times New Roman"/>
          <w:b/>
          <w:bCs/>
        </w:rPr>
        <w:t xml:space="preserve">Scatter Plot: </w:t>
      </w:r>
    </w:p>
    <w:p w14:paraId="1BDEA0F2" w14:textId="77777777" w:rsidR="00586CB9" w:rsidRPr="00586CB9" w:rsidRDefault="00586CB9" w:rsidP="00586CB9">
      <w:pPr>
        <w:numPr>
          <w:ilvl w:val="0"/>
          <w:numId w:val="23"/>
        </w:numPr>
        <w:rPr>
          <w:rFonts w:ascii="Times New Roman" w:hAnsi="Times New Roman" w:cs="Times New Roman"/>
        </w:rPr>
      </w:pPr>
      <w:r w:rsidRPr="00586CB9">
        <w:rPr>
          <w:rFonts w:ascii="Times New Roman" w:hAnsi="Times New Roman" w:cs="Times New Roman"/>
        </w:rPr>
        <w:t>Discount Percentage vs. Profit: This mandatory visualization provides the irrefutable evidence of the 12% "discount cliff" and the negative 83% margin.</w:t>
      </w:r>
    </w:p>
    <w:p w14:paraId="46D1312A" w14:textId="77777777" w:rsidR="00586CB9" w:rsidRPr="00586CB9" w:rsidRDefault="00586CB9" w:rsidP="00586CB9">
      <w:pPr>
        <w:rPr>
          <w:rFonts w:ascii="Times New Roman" w:hAnsi="Times New Roman" w:cs="Times New Roman"/>
          <w:b/>
          <w:bCs/>
        </w:rPr>
      </w:pPr>
      <w:r w:rsidRPr="00586CB9">
        <w:rPr>
          <w:rFonts w:ascii="Times New Roman" w:hAnsi="Times New Roman" w:cs="Times New Roman"/>
          <w:b/>
          <w:bCs/>
        </w:rPr>
        <w:t xml:space="preserve">Pie Chart: </w:t>
      </w:r>
    </w:p>
    <w:p w14:paraId="2104EDED" w14:textId="77777777" w:rsidR="002D4CA2" w:rsidRPr="008A6181" w:rsidRDefault="002D4CA2" w:rsidP="002D4CA2">
      <w:pPr>
        <w:pStyle w:val="ListParagraph"/>
        <w:numPr>
          <w:ilvl w:val="0"/>
          <w:numId w:val="19"/>
        </w:numPr>
        <w:rPr>
          <w:rFonts w:ascii="Times New Roman" w:hAnsi="Times New Roman" w:cs="Times New Roman"/>
        </w:rPr>
      </w:pPr>
      <w:r w:rsidRPr="008A6181">
        <w:rPr>
          <w:rFonts w:ascii="Times New Roman" w:hAnsi="Times New Roman" w:cs="Times New Roman"/>
        </w:rPr>
        <w:t>Staffing percentage by Gender</w:t>
      </w:r>
    </w:p>
    <w:p w14:paraId="647F08C7" w14:textId="77777777" w:rsidR="00586CB9" w:rsidRPr="00586CB9" w:rsidRDefault="00586CB9" w:rsidP="00586CB9">
      <w:pPr>
        <w:rPr>
          <w:rFonts w:ascii="Times New Roman" w:hAnsi="Times New Roman" w:cs="Times New Roman"/>
          <w:b/>
          <w:bCs/>
        </w:rPr>
      </w:pPr>
      <w:r w:rsidRPr="00586CB9">
        <w:rPr>
          <w:rFonts w:ascii="Times New Roman" w:hAnsi="Times New Roman" w:cs="Times New Roman"/>
          <w:b/>
          <w:bCs/>
        </w:rPr>
        <w:t xml:space="preserve">Line Chart: </w:t>
      </w:r>
    </w:p>
    <w:p w14:paraId="78130A45" w14:textId="06C2F4DD" w:rsidR="00586CB9" w:rsidRPr="00586CB9" w:rsidRDefault="002D4CA2" w:rsidP="00586CB9">
      <w:pPr>
        <w:numPr>
          <w:ilvl w:val="0"/>
          <w:numId w:val="21"/>
        </w:numPr>
        <w:rPr>
          <w:rFonts w:ascii="Times New Roman" w:hAnsi="Times New Roman" w:cs="Times New Roman"/>
        </w:rPr>
      </w:pPr>
      <w:r w:rsidRPr="008A6181">
        <w:rPr>
          <w:rFonts w:ascii="Times New Roman" w:hAnsi="Times New Roman" w:cs="Times New Roman"/>
        </w:rPr>
        <w:t xml:space="preserve">Hiring and Exiting Trend Over Time </w:t>
      </w:r>
    </w:p>
    <w:p w14:paraId="0D7DF47A" w14:textId="77777777" w:rsidR="00586CB9" w:rsidRPr="00586CB9" w:rsidRDefault="00586CB9" w:rsidP="00586CB9">
      <w:pPr>
        <w:rPr>
          <w:rFonts w:ascii="Times New Roman" w:hAnsi="Times New Roman" w:cs="Times New Roman"/>
          <w:b/>
          <w:bCs/>
        </w:rPr>
      </w:pPr>
      <w:r w:rsidRPr="00586CB9">
        <w:rPr>
          <w:rFonts w:ascii="Times New Roman" w:hAnsi="Times New Roman" w:cs="Times New Roman"/>
          <w:b/>
          <w:bCs/>
        </w:rPr>
        <w:t xml:space="preserve">Column Chart: </w:t>
      </w:r>
    </w:p>
    <w:p w14:paraId="32E0AA0E" w14:textId="77777777" w:rsidR="002D4CA2" w:rsidRPr="008A6181" w:rsidRDefault="002D4CA2" w:rsidP="00586CB9">
      <w:pPr>
        <w:numPr>
          <w:ilvl w:val="0"/>
          <w:numId w:val="20"/>
        </w:numPr>
        <w:rPr>
          <w:rFonts w:ascii="Times New Roman" w:hAnsi="Times New Roman" w:cs="Times New Roman"/>
        </w:rPr>
      </w:pPr>
      <w:r w:rsidRPr="008A6181">
        <w:rPr>
          <w:rFonts w:ascii="Times New Roman" w:hAnsi="Times New Roman" w:cs="Times New Roman"/>
        </w:rPr>
        <w:t xml:space="preserve">Age Group </w:t>
      </w:r>
      <w:proofErr w:type="gramStart"/>
      <w:r w:rsidRPr="008A6181">
        <w:rPr>
          <w:rFonts w:ascii="Times New Roman" w:hAnsi="Times New Roman" w:cs="Times New Roman"/>
        </w:rPr>
        <w:t>By</w:t>
      </w:r>
      <w:proofErr w:type="gramEnd"/>
      <w:r w:rsidRPr="008A6181">
        <w:rPr>
          <w:rFonts w:ascii="Times New Roman" w:hAnsi="Times New Roman" w:cs="Times New Roman"/>
        </w:rPr>
        <w:t xml:space="preserve"> Active Employee </w:t>
      </w:r>
    </w:p>
    <w:p w14:paraId="31B89C2E" w14:textId="7AD0AF43" w:rsidR="002D4CA2" w:rsidRPr="008A6181" w:rsidRDefault="002D4CA2" w:rsidP="00586CB9">
      <w:pPr>
        <w:numPr>
          <w:ilvl w:val="0"/>
          <w:numId w:val="20"/>
        </w:numPr>
        <w:rPr>
          <w:rFonts w:ascii="Times New Roman" w:hAnsi="Times New Roman" w:cs="Times New Roman"/>
        </w:rPr>
      </w:pPr>
      <w:r w:rsidRPr="008A6181">
        <w:rPr>
          <w:rFonts w:ascii="Times New Roman" w:hAnsi="Times New Roman" w:cs="Times New Roman"/>
        </w:rPr>
        <w:t xml:space="preserve">Average Tenure (year) By Department </w:t>
      </w:r>
    </w:p>
    <w:p w14:paraId="2C377176" w14:textId="77777777" w:rsidR="002D4CA2" w:rsidRPr="002D4CA2" w:rsidRDefault="002D4CA2" w:rsidP="002D4CA2">
      <w:pPr>
        <w:numPr>
          <w:ilvl w:val="0"/>
          <w:numId w:val="20"/>
        </w:numPr>
        <w:rPr>
          <w:rFonts w:ascii="Times New Roman" w:hAnsi="Times New Roman" w:cs="Times New Roman"/>
        </w:rPr>
      </w:pPr>
      <w:r w:rsidRPr="002D4CA2">
        <w:rPr>
          <w:rFonts w:ascii="Times New Roman" w:hAnsi="Times New Roman" w:cs="Times New Roman"/>
        </w:rPr>
        <w:t xml:space="preserve">Bonus Allocation </w:t>
      </w:r>
      <w:proofErr w:type="gramStart"/>
      <w:r w:rsidRPr="002D4CA2">
        <w:rPr>
          <w:rFonts w:ascii="Times New Roman" w:hAnsi="Times New Roman" w:cs="Times New Roman"/>
        </w:rPr>
        <w:t>By</w:t>
      </w:r>
      <w:proofErr w:type="gramEnd"/>
      <w:r w:rsidRPr="002D4CA2">
        <w:rPr>
          <w:rFonts w:ascii="Times New Roman" w:hAnsi="Times New Roman" w:cs="Times New Roman"/>
        </w:rPr>
        <w:t xml:space="preserve"> Department</w:t>
      </w:r>
    </w:p>
    <w:p w14:paraId="13D9EC00" w14:textId="5A1FFC03" w:rsidR="00586CB9" w:rsidRPr="008A6181" w:rsidRDefault="008A6181" w:rsidP="005966E2">
      <w:pPr>
        <w:rPr>
          <w:rFonts w:ascii="Times New Roman" w:hAnsi="Times New Roman" w:cs="Times New Roman"/>
          <w:b/>
          <w:bCs/>
        </w:rPr>
      </w:pPr>
      <w:r w:rsidRPr="008A6181">
        <w:rPr>
          <w:rFonts w:ascii="Times New Roman" w:hAnsi="Times New Roman" w:cs="Times New Roman"/>
          <w:b/>
          <w:bCs/>
        </w:rPr>
        <w:lastRenderedPageBreak/>
        <w:t>Bar Chart</w:t>
      </w:r>
    </w:p>
    <w:p w14:paraId="1813E8BE" w14:textId="2FD147BB" w:rsidR="008A6181" w:rsidRPr="008A6181" w:rsidRDefault="008A6181" w:rsidP="00475725">
      <w:pPr>
        <w:pStyle w:val="ListParagraph"/>
        <w:numPr>
          <w:ilvl w:val="0"/>
          <w:numId w:val="19"/>
        </w:numPr>
        <w:rPr>
          <w:rFonts w:ascii="Times New Roman" w:hAnsi="Times New Roman" w:cs="Times New Roman"/>
        </w:rPr>
      </w:pPr>
      <w:r w:rsidRPr="008A6181">
        <w:rPr>
          <w:rFonts w:ascii="Times New Roman" w:hAnsi="Times New Roman" w:cs="Times New Roman"/>
        </w:rPr>
        <w:t>Departmental Staffing Level</w:t>
      </w:r>
    </w:p>
    <w:p w14:paraId="5ED26AEC" w14:textId="495CC3EA" w:rsidR="00586CB9" w:rsidRPr="008A6181" w:rsidRDefault="00586CB9" w:rsidP="005966E2">
      <w:pPr>
        <w:rPr>
          <w:rFonts w:ascii="Times New Roman" w:hAnsi="Times New Roman" w:cs="Times New Roman"/>
        </w:rPr>
      </w:pPr>
    </w:p>
    <w:p w14:paraId="46C2FADA" w14:textId="77777777" w:rsidR="00586CB9" w:rsidRPr="008A6181" w:rsidRDefault="00586CB9" w:rsidP="005966E2">
      <w:pPr>
        <w:rPr>
          <w:rFonts w:ascii="Times New Roman" w:hAnsi="Times New Roman" w:cs="Times New Roman"/>
        </w:rPr>
      </w:pPr>
    </w:p>
    <w:p w14:paraId="6ACC810B" w14:textId="6535B827" w:rsidR="005966E2" w:rsidRPr="008A6181" w:rsidRDefault="005966E2" w:rsidP="005966E2">
      <w:pPr>
        <w:rPr>
          <w:rFonts w:ascii="Times New Roman" w:hAnsi="Times New Roman" w:cs="Times New Roman"/>
          <w:b/>
          <w:bCs/>
        </w:rPr>
      </w:pPr>
      <w:r w:rsidRPr="008A6181">
        <w:rPr>
          <w:rFonts w:ascii="Times New Roman" w:hAnsi="Times New Roman" w:cs="Times New Roman"/>
          <w:b/>
          <w:bCs/>
        </w:rPr>
        <w:t xml:space="preserve">9. </w:t>
      </w:r>
      <w:r w:rsidR="00CB4CB6">
        <w:rPr>
          <w:rFonts w:ascii="Times New Roman" w:hAnsi="Times New Roman" w:cs="Times New Roman"/>
          <w:b/>
          <w:bCs/>
        </w:rPr>
        <w:t xml:space="preserve">Actionable </w:t>
      </w:r>
      <w:r w:rsidRPr="008A6181">
        <w:rPr>
          <w:rFonts w:ascii="Times New Roman" w:hAnsi="Times New Roman" w:cs="Times New Roman"/>
          <w:b/>
          <w:bCs/>
        </w:rPr>
        <w:t>Recommendations</w:t>
      </w:r>
      <w:r w:rsidR="00CB4CB6">
        <w:rPr>
          <w:rFonts w:ascii="Times New Roman" w:hAnsi="Times New Roman" w:cs="Times New Roman"/>
          <w:b/>
          <w:bCs/>
        </w:rPr>
        <w:t>:</w:t>
      </w:r>
    </w:p>
    <w:p w14:paraId="427F6AC6" w14:textId="436DEE3C" w:rsidR="005966E2" w:rsidRPr="008A6181" w:rsidRDefault="005966E2" w:rsidP="005966E2">
      <w:pPr>
        <w:rPr>
          <w:rFonts w:ascii="Times New Roman" w:hAnsi="Times New Roman" w:cs="Times New Roman"/>
        </w:rPr>
      </w:pPr>
      <w:r w:rsidRPr="008A6181">
        <w:rPr>
          <w:rFonts w:ascii="Times New Roman" w:hAnsi="Times New Roman" w:cs="Times New Roman"/>
        </w:rPr>
        <w:t xml:space="preserve">The findings translate into eight mandatory, actionable recommendations for optimizing </w:t>
      </w:r>
      <w:proofErr w:type="spellStart"/>
      <w:r w:rsidRPr="008A6181">
        <w:rPr>
          <w:rFonts w:ascii="Times New Roman" w:hAnsi="Times New Roman" w:cs="Times New Roman"/>
        </w:rPr>
        <w:t>Windcave's</w:t>
      </w:r>
      <w:proofErr w:type="spellEnd"/>
      <w:r w:rsidRPr="008A6181">
        <w:rPr>
          <w:rFonts w:ascii="Times New Roman" w:hAnsi="Times New Roman" w:cs="Times New Roman"/>
        </w:rPr>
        <w:t xml:space="preserve"> human capital.</w:t>
      </w:r>
    </w:p>
    <w:p w14:paraId="6B59574D" w14:textId="2D4BA8A8" w:rsidR="00085046" w:rsidRPr="00CB4CB6" w:rsidRDefault="00085046" w:rsidP="00CB4CB6">
      <w:pPr>
        <w:pStyle w:val="ListParagraph"/>
        <w:numPr>
          <w:ilvl w:val="0"/>
          <w:numId w:val="19"/>
        </w:numPr>
        <w:rPr>
          <w:rFonts w:ascii="Times New Roman" w:hAnsi="Times New Roman" w:cs="Times New Roman"/>
        </w:rPr>
      </w:pPr>
      <w:r w:rsidRPr="00CB4CB6">
        <w:rPr>
          <w:rFonts w:ascii="Times New Roman" w:hAnsi="Times New Roman" w:cs="Times New Roman"/>
        </w:rPr>
        <w:t>Implement structured retention strategies (onboarding, career development, pulse surveys).</w:t>
      </w:r>
    </w:p>
    <w:p w14:paraId="3A5C34D3" w14:textId="28D89D57" w:rsidR="00085046" w:rsidRPr="00CB4CB6" w:rsidRDefault="00085046" w:rsidP="00373350">
      <w:pPr>
        <w:pStyle w:val="ListParagraph"/>
        <w:numPr>
          <w:ilvl w:val="0"/>
          <w:numId w:val="19"/>
        </w:numPr>
        <w:rPr>
          <w:rFonts w:ascii="Times New Roman" w:hAnsi="Times New Roman" w:cs="Times New Roman"/>
        </w:rPr>
      </w:pPr>
      <w:r w:rsidRPr="00CB4CB6">
        <w:rPr>
          <w:rFonts w:ascii="Times New Roman" w:hAnsi="Times New Roman" w:cs="Times New Roman"/>
        </w:rPr>
        <w:t>Create structured career progression and internal mobility programs</w:t>
      </w:r>
      <w:r w:rsidR="00CB4CB6">
        <w:rPr>
          <w:rFonts w:ascii="Times New Roman" w:hAnsi="Times New Roman" w:cs="Times New Roman"/>
        </w:rPr>
        <w:t xml:space="preserve"> and c</w:t>
      </w:r>
      <w:r w:rsidRPr="00CB4CB6">
        <w:rPr>
          <w:rFonts w:ascii="Times New Roman" w:hAnsi="Times New Roman" w:cs="Times New Roman"/>
        </w:rPr>
        <w:t>onduct pulse surveys in low-tenure departments.</w:t>
      </w:r>
    </w:p>
    <w:p w14:paraId="51EC85B7" w14:textId="257339CB" w:rsidR="00085046" w:rsidRPr="00CB4CB6" w:rsidRDefault="00085046" w:rsidP="00CB4CB6">
      <w:pPr>
        <w:pStyle w:val="ListParagraph"/>
        <w:numPr>
          <w:ilvl w:val="0"/>
          <w:numId w:val="19"/>
        </w:numPr>
        <w:rPr>
          <w:rFonts w:ascii="Times New Roman" w:hAnsi="Times New Roman" w:cs="Times New Roman"/>
        </w:rPr>
      </w:pPr>
      <w:r w:rsidRPr="00CB4CB6">
        <w:rPr>
          <w:rFonts w:ascii="Times New Roman" w:hAnsi="Times New Roman" w:cs="Times New Roman"/>
        </w:rPr>
        <w:t xml:space="preserve">Build structured graduate and early-career pipelines, ensuring </w:t>
      </w:r>
      <w:r w:rsidRPr="00CB4CB6">
        <w:rPr>
          <w:rFonts w:ascii="Times New Roman" w:hAnsi="Times New Roman" w:cs="Times New Roman"/>
          <w:b/>
          <w:bCs/>
        </w:rPr>
        <w:t>20−30% of new hires</w:t>
      </w:r>
      <w:r w:rsidRPr="00CB4CB6">
        <w:rPr>
          <w:rFonts w:ascii="Times New Roman" w:hAnsi="Times New Roman" w:cs="Times New Roman"/>
        </w:rPr>
        <w:t xml:space="preserve"> are early-career talent.</w:t>
      </w:r>
    </w:p>
    <w:p w14:paraId="5A55B7A6" w14:textId="488E48E4" w:rsidR="00085046" w:rsidRPr="00CB4CB6" w:rsidRDefault="00085046" w:rsidP="00CB4CB6">
      <w:pPr>
        <w:pStyle w:val="ListParagraph"/>
        <w:numPr>
          <w:ilvl w:val="0"/>
          <w:numId w:val="19"/>
        </w:numPr>
        <w:rPr>
          <w:rFonts w:ascii="Times New Roman" w:hAnsi="Times New Roman" w:cs="Times New Roman"/>
        </w:rPr>
      </w:pPr>
      <w:r w:rsidRPr="00CB4CB6">
        <w:rPr>
          <w:rFonts w:ascii="Times New Roman" w:hAnsi="Times New Roman" w:cs="Times New Roman"/>
        </w:rPr>
        <w:t>Review and restructure the performance incentive system</w:t>
      </w:r>
      <w:r w:rsidR="00CB4CB6">
        <w:rPr>
          <w:rFonts w:ascii="Times New Roman" w:hAnsi="Times New Roman" w:cs="Times New Roman"/>
        </w:rPr>
        <w:t xml:space="preserve"> and </w:t>
      </w:r>
      <w:proofErr w:type="gramStart"/>
      <w:r w:rsidR="00CB4CB6">
        <w:rPr>
          <w:rFonts w:ascii="Times New Roman" w:hAnsi="Times New Roman" w:cs="Times New Roman"/>
        </w:rPr>
        <w:t>I</w:t>
      </w:r>
      <w:r w:rsidRPr="00CB4CB6">
        <w:rPr>
          <w:rFonts w:ascii="Times New Roman" w:hAnsi="Times New Roman" w:cs="Times New Roman"/>
        </w:rPr>
        <w:t>ntroduce</w:t>
      </w:r>
      <w:proofErr w:type="gramEnd"/>
      <w:r w:rsidRPr="00CB4CB6">
        <w:rPr>
          <w:rFonts w:ascii="Times New Roman" w:hAnsi="Times New Roman" w:cs="Times New Roman"/>
        </w:rPr>
        <w:t xml:space="preserve"> transparent KPIs to link rewards to measurable contribution.</w:t>
      </w:r>
    </w:p>
    <w:p w14:paraId="45AC3643" w14:textId="6F7FC537" w:rsidR="00085046" w:rsidRPr="00CB4CB6" w:rsidRDefault="00085046" w:rsidP="00CB4CB6">
      <w:pPr>
        <w:pStyle w:val="ListParagraph"/>
        <w:numPr>
          <w:ilvl w:val="0"/>
          <w:numId w:val="19"/>
        </w:numPr>
        <w:rPr>
          <w:rFonts w:ascii="Times New Roman" w:hAnsi="Times New Roman" w:cs="Times New Roman"/>
        </w:rPr>
      </w:pPr>
      <w:r w:rsidRPr="00CB4CB6">
        <w:rPr>
          <w:rFonts w:ascii="Times New Roman" w:hAnsi="Times New Roman" w:cs="Times New Roman"/>
        </w:rPr>
        <w:t>Reduce concentration risk by diversifying the workforce while building targeted Engineering retention levers and succession plans.</w:t>
      </w:r>
    </w:p>
    <w:p w14:paraId="13BDC465" w14:textId="72242271" w:rsidR="00085046" w:rsidRPr="00CB4CB6" w:rsidRDefault="00085046" w:rsidP="00CB4CB6">
      <w:pPr>
        <w:pStyle w:val="ListParagraph"/>
        <w:numPr>
          <w:ilvl w:val="0"/>
          <w:numId w:val="19"/>
        </w:numPr>
        <w:rPr>
          <w:rFonts w:ascii="Times New Roman" w:hAnsi="Times New Roman" w:cs="Times New Roman"/>
        </w:rPr>
      </w:pPr>
      <w:r w:rsidRPr="00CB4CB6">
        <w:rPr>
          <w:rFonts w:ascii="Times New Roman" w:hAnsi="Times New Roman" w:cs="Times New Roman"/>
        </w:rPr>
        <w:t>Conduct detailed exit interviews to identify root causes of Q1 spikes and align onboarding/engagement initiatives to preemptively improve retention during these critical business cycles</w:t>
      </w:r>
    </w:p>
    <w:p w14:paraId="4559916C" w14:textId="77777777" w:rsidR="005C6AB5" w:rsidRDefault="005C6AB5" w:rsidP="005966E2">
      <w:pPr>
        <w:rPr>
          <w:rFonts w:ascii="Times New Roman" w:hAnsi="Times New Roman" w:cs="Times New Roman"/>
          <w:b/>
          <w:bCs/>
        </w:rPr>
      </w:pPr>
    </w:p>
    <w:p w14:paraId="59526AF7" w14:textId="238F23B5" w:rsidR="005966E2" w:rsidRPr="008A6181" w:rsidRDefault="005966E2" w:rsidP="005966E2">
      <w:pPr>
        <w:rPr>
          <w:rFonts w:ascii="Times New Roman" w:hAnsi="Times New Roman" w:cs="Times New Roman"/>
          <w:b/>
          <w:bCs/>
        </w:rPr>
      </w:pPr>
      <w:r w:rsidRPr="008A6181">
        <w:rPr>
          <w:rFonts w:ascii="Times New Roman" w:hAnsi="Times New Roman" w:cs="Times New Roman"/>
          <w:b/>
          <w:bCs/>
        </w:rPr>
        <w:t>10. Conclusion</w:t>
      </w:r>
    </w:p>
    <w:p w14:paraId="74E2603D" w14:textId="77777777" w:rsidR="005966E2" w:rsidRPr="008A6181" w:rsidRDefault="005966E2" w:rsidP="005966E2">
      <w:pPr>
        <w:rPr>
          <w:rFonts w:ascii="Times New Roman" w:hAnsi="Times New Roman" w:cs="Times New Roman"/>
        </w:rPr>
      </w:pPr>
      <w:r w:rsidRPr="008A6181">
        <w:rPr>
          <w:rFonts w:ascii="Times New Roman" w:hAnsi="Times New Roman" w:cs="Times New Roman"/>
        </w:rPr>
        <w:t xml:space="preserve">The analysis confirms that </w:t>
      </w:r>
      <w:proofErr w:type="spellStart"/>
      <w:r w:rsidRPr="008A6181">
        <w:rPr>
          <w:rFonts w:ascii="Times New Roman" w:hAnsi="Times New Roman" w:cs="Times New Roman"/>
        </w:rPr>
        <w:t>Windcave’s</w:t>
      </w:r>
      <w:proofErr w:type="spellEnd"/>
      <w:r w:rsidRPr="008A6181">
        <w:rPr>
          <w:rFonts w:ascii="Times New Roman" w:hAnsi="Times New Roman" w:cs="Times New Roman"/>
        </w:rPr>
        <w:t xml:space="preserve"> primary challenge lies in workforce stability, evidenced by turnover exceeding benchmarks and critically low tenure in key non-technical departments. While the gender ratio is a significant strength, compensation structures require urgent reform to ensure fairness based on performance and contribution.</w:t>
      </w:r>
    </w:p>
    <w:p w14:paraId="2B930A5C" w14:textId="77777777" w:rsidR="005966E2" w:rsidRPr="008A6181" w:rsidRDefault="005966E2" w:rsidP="005966E2">
      <w:pPr>
        <w:rPr>
          <w:rFonts w:ascii="Times New Roman" w:hAnsi="Times New Roman" w:cs="Times New Roman"/>
          <w:b/>
          <w:bCs/>
        </w:rPr>
      </w:pPr>
      <w:r w:rsidRPr="008A6181">
        <w:rPr>
          <w:rFonts w:ascii="Times New Roman" w:hAnsi="Times New Roman" w:cs="Times New Roman"/>
          <w:b/>
          <w:bCs/>
        </w:rPr>
        <w:t>Limitations</w:t>
      </w:r>
    </w:p>
    <w:p w14:paraId="43012B30" w14:textId="6F4A3B64" w:rsidR="005966E2" w:rsidRPr="008A6181" w:rsidRDefault="005966E2" w:rsidP="005966E2">
      <w:pPr>
        <w:rPr>
          <w:rFonts w:ascii="Times New Roman" w:hAnsi="Times New Roman" w:cs="Times New Roman"/>
        </w:rPr>
      </w:pPr>
      <w:r w:rsidRPr="008A6181">
        <w:rPr>
          <w:rFonts w:ascii="Times New Roman" w:hAnsi="Times New Roman" w:cs="Times New Roman"/>
        </w:rPr>
        <w:t xml:space="preserve">This analysis was limited by the available data. Specifically, the lack of quantitative, normalized employee performance data prevents the definitive calculation of performance-adjusted bonus equity. </w:t>
      </w:r>
    </w:p>
    <w:p w14:paraId="1EE29A05" w14:textId="77777777" w:rsidR="005966E2" w:rsidRPr="008A6181" w:rsidRDefault="005966E2" w:rsidP="005966E2">
      <w:pPr>
        <w:rPr>
          <w:rFonts w:ascii="Times New Roman" w:hAnsi="Times New Roman" w:cs="Times New Roman"/>
          <w:b/>
          <w:bCs/>
        </w:rPr>
      </w:pPr>
      <w:r w:rsidRPr="008A6181">
        <w:rPr>
          <w:rFonts w:ascii="Times New Roman" w:hAnsi="Times New Roman" w:cs="Times New Roman"/>
          <w:b/>
          <w:bCs/>
        </w:rPr>
        <w:t>Future Research</w:t>
      </w:r>
    </w:p>
    <w:p w14:paraId="763B7387" w14:textId="77777777" w:rsidR="005966E2" w:rsidRPr="008A6181" w:rsidRDefault="005966E2" w:rsidP="005966E2">
      <w:pPr>
        <w:rPr>
          <w:rFonts w:ascii="Times New Roman" w:hAnsi="Times New Roman" w:cs="Times New Roman"/>
        </w:rPr>
      </w:pPr>
      <w:r w:rsidRPr="008A6181">
        <w:rPr>
          <w:rFonts w:ascii="Times New Roman" w:hAnsi="Times New Roman" w:cs="Times New Roman"/>
        </w:rPr>
        <w:t>Future research should focus on:</w:t>
      </w:r>
    </w:p>
    <w:p w14:paraId="61CBE758" w14:textId="0DD54C5D" w:rsidR="005966E2" w:rsidRPr="008A6181" w:rsidRDefault="005966E2" w:rsidP="005966E2">
      <w:pPr>
        <w:numPr>
          <w:ilvl w:val="0"/>
          <w:numId w:val="14"/>
        </w:numPr>
        <w:rPr>
          <w:rFonts w:ascii="Times New Roman" w:hAnsi="Times New Roman" w:cs="Times New Roman"/>
        </w:rPr>
      </w:pPr>
      <w:r w:rsidRPr="008A6181">
        <w:rPr>
          <w:rFonts w:ascii="Times New Roman" w:hAnsi="Times New Roman" w:cs="Times New Roman"/>
        </w:rPr>
        <w:lastRenderedPageBreak/>
        <w:t>A deeper dive into salary variances across specific job roles and seniority levels by gender.</w:t>
      </w:r>
    </w:p>
    <w:p w14:paraId="66770AFC" w14:textId="4ADF47F4" w:rsidR="005966E2" w:rsidRPr="008A6181" w:rsidRDefault="005966E2" w:rsidP="005966E2">
      <w:pPr>
        <w:numPr>
          <w:ilvl w:val="0"/>
          <w:numId w:val="14"/>
        </w:numPr>
        <w:rPr>
          <w:rFonts w:ascii="Times New Roman" w:hAnsi="Times New Roman" w:cs="Times New Roman"/>
        </w:rPr>
      </w:pPr>
      <w:r w:rsidRPr="008A6181">
        <w:rPr>
          <w:rFonts w:ascii="Times New Roman" w:hAnsi="Times New Roman" w:cs="Times New Roman"/>
        </w:rPr>
        <w:t>Detailed investigation into the causes of low tenure in Accounting/Marketing and the recurring Q1 exit spikes.</w:t>
      </w:r>
    </w:p>
    <w:p w14:paraId="7FED5496" w14:textId="72D83002" w:rsidR="005966E2" w:rsidRPr="008A6181" w:rsidRDefault="005966E2" w:rsidP="005966E2">
      <w:pPr>
        <w:numPr>
          <w:ilvl w:val="0"/>
          <w:numId w:val="14"/>
        </w:numPr>
        <w:rPr>
          <w:rFonts w:ascii="Times New Roman" w:hAnsi="Times New Roman" w:cs="Times New Roman"/>
        </w:rPr>
      </w:pPr>
      <w:r w:rsidRPr="008A6181">
        <w:rPr>
          <w:rFonts w:ascii="Times New Roman" w:hAnsi="Times New Roman" w:cs="Times New Roman"/>
        </w:rPr>
        <w:t>Analyzing the number of job title changes to quantify career progression opportunities within different departments.</w:t>
      </w:r>
    </w:p>
    <w:p w14:paraId="4ED30609" w14:textId="77777777" w:rsidR="005966E2" w:rsidRPr="008A6181" w:rsidRDefault="00C12D94" w:rsidP="005966E2">
      <w:pPr>
        <w:rPr>
          <w:rFonts w:ascii="Times New Roman" w:hAnsi="Times New Roman" w:cs="Times New Roman"/>
        </w:rPr>
      </w:pPr>
      <w:r>
        <w:rPr>
          <w:rFonts w:ascii="Times New Roman" w:hAnsi="Times New Roman" w:cs="Times New Roman"/>
        </w:rPr>
        <w:pict w14:anchorId="1047CF61">
          <v:rect id="_x0000_i1025" style="width:0;height:1.5pt" o:hralign="center" o:hrstd="t" o:hr="t" fillcolor="#a0a0a0" stroked="f"/>
        </w:pict>
      </w:r>
    </w:p>
    <w:p w14:paraId="109B77BD" w14:textId="77777777" w:rsidR="005966E2" w:rsidRPr="008A6181" w:rsidRDefault="005966E2" w:rsidP="005966E2">
      <w:pPr>
        <w:rPr>
          <w:rFonts w:ascii="Times New Roman" w:hAnsi="Times New Roman" w:cs="Times New Roman"/>
          <w:b/>
          <w:bCs/>
        </w:rPr>
      </w:pPr>
      <w:r w:rsidRPr="008A6181">
        <w:rPr>
          <w:rFonts w:ascii="Times New Roman" w:hAnsi="Times New Roman" w:cs="Times New Roman"/>
          <w:b/>
          <w:bCs/>
        </w:rPr>
        <w:t>11. References &amp; Appendices</w:t>
      </w:r>
    </w:p>
    <w:p w14:paraId="374D59CA" w14:textId="77777777" w:rsidR="005966E2" w:rsidRPr="008A6181" w:rsidRDefault="005966E2" w:rsidP="005966E2">
      <w:pPr>
        <w:rPr>
          <w:rFonts w:ascii="Times New Roman" w:hAnsi="Times New Roman" w:cs="Times New Roman"/>
          <w:b/>
          <w:bCs/>
        </w:rPr>
      </w:pPr>
      <w:r w:rsidRPr="008A6181">
        <w:rPr>
          <w:rFonts w:ascii="Times New Roman" w:hAnsi="Times New Roman" w:cs="Times New Roman"/>
          <w:b/>
          <w:bCs/>
        </w:rPr>
        <w:t>References</w:t>
      </w:r>
    </w:p>
    <w:p w14:paraId="2D7A62D7" w14:textId="77777777" w:rsidR="005966E2" w:rsidRPr="008A6181" w:rsidRDefault="005966E2" w:rsidP="005966E2">
      <w:pPr>
        <w:numPr>
          <w:ilvl w:val="0"/>
          <w:numId w:val="15"/>
        </w:numPr>
        <w:rPr>
          <w:rFonts w:ascii="Times New Roman" w:hAnsi="Times New Roman" w:cs="Times New Roman"/>
        </w:rPr>
      </w:pPr>
      <w:proofErr w:type="spellStart"/>
      <w:r w:rsidRPr="008A6181">
        <w:rPr>
          <w:rFonts w:ascii="Times New Roman" w:hAnsi="Times New Roman" w:cs="Times New Roman"/>
        </w:rPr>
        <w:t>Windcave</w:t>
      </w:r>
      <w:proofErr w:type="spellEnd"/>
      <w:r w:rsidRPr="008A6181">
        <w:rPr>
          <w:rFonts w:ascii="Times New Roman" w:hAnsi="Times New Roman" w:cs="Times New Roman"/>
        </w:rPr>
        <w:t xml:space="preserve"> Internal Human Resources Log (2020-2024).</w:t>
      </w:r>
    </w:p>
    <w:p w14:paraId="4B2E9E62" w14:textId="44AA0D2E" w:rsidR="005966E2" w:rsidRPr="008A6181" w:rsidRDefault="00CE5FA4" w:rsidP="005966E2">
      <w:pPr>
        <w:numPr>
          <w:ilvl w:val="0"/>
          <w:numId w:val="15"/>
        </w:numPr>
        <w:rPr>
          <w:rFonts w:ascii="Times New Roman" w:hAnsi="Times New Roman" w:cs="Times New Roman"/>
        </w:rPr>
      </w:pPr>
      <w:r w:rsidRPr="008A6181">
        <w:rPr>
          <w:rFonts w:ascii="Times New Roman" w:hAnsi="Times New Roman" w:cs="Times New Roman"/>
        </w:rPr>
        <w:t>Microsoft Excel</w:t>
      </w:r>
    </w:p>
    <w:bookmarkEnd w:id="0"/>
    <w:p w14:paraId="5F7FC8AC" w14:textId="16B45640" w:rsidR="001728AE" w:rsidRPr="008A6181" w:rsidRDefault="001728AE" w:rsidP="001728AE">
      <w:pPr>
        <w:rPr>
          <w:rFonts w:ascii="Times New Roman" w:hAnsi="Times New Roman" w:cs="Times New Roman"/>
          <w:b/>
          <w:bCs/>
        </w:rPr>
      </w:pPr>
    </w:p>
    <w:sectPr w:rsidR="001728AE" w:rsidRPr="008A61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15CB5"/>
    <w:multiLevelType w:val="multilevel"/>
    <w:tmpl w:val="8B8E7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F64DDC"/>
    <w:multiLevelType w:val="hybridMultilevel"/>
    <w:tmpl w:val="5A76E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B97313"/>
    <w:multiLevelType w:val="multilevel"/>
    <w:tmpl w:val="E70E9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D77E74"/>
    <w:multiLevelType w:val="multilevel"/>
    <w:tmpl w:val="D4C2A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5154AE"/>
    <w:multiLevelType w:val="multilevel"/>
    <w:tmpl w:val="B3740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5C5B87"/>
    <w:multiLevelType w:val="multilevel"/>
    <w:tmpl w:val="3EBAB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E82F84"/>
    <w:multiLevelType w:val="hybridMultilevel"/>
    <w:tmpl w:val="0A50E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B93A24"/>
    <w:multiLevelType w:val="multilevel"/>
    <w:tmpl w:val="4BE050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9832135"/>
    <w:multiLevelType w:val="hybridMultilevel"/>
    <w:tmpl w:val="65B8D3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B142EE3"/>
    <w:multiLevelType w:val="multilevel"/>
    <w:tmpl w:val="1092E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FFF5F34"/>
    <w:multiLevelType w:val="hybridMultilevel"/>
    <w:tmpl w:val="54800A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54F237B"/>
    <w:multiLevelType w:val="multilevel"/>
    <w:tmpl w:val="AA40E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823179F"/>
    <w:multiLevelType w:val="multilevel"/>
    <w:tmpl w:val="DB9686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9BE4095"/>
    <w:multiLevelType w:val="multilevel"/>
    <w:tmpl w:val="894E0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C286ABB"/>
    <w:multiLevelType w:val="multilevel"/>
    <w:tmpl w:val="AC48D5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09951F5"/>
    <w:multiLevelType w:val="multilevel"/>
    <w:tmpl w:val="D6CCD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1C23A4F"/>
    <w:multiLevelType w:val="multilevel"/>
    <w:tmpl w:val="5C5ED5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4062530"/>
    <w:multiLevelType w:val="multilevel"/>
    <w:tmpl w:val="B038D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DC33D3E"/>
    <w:multiLevelType w:val="multilevel"/>
    <w:tmpl w:val="5266A4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1E71E30"/>
    <w:multiLevelType w:val="multilevel"/>
    <w:tmpl w:val="90C66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27871BB"/>
    <w:multiLevelType w:val="multilevel"/>
    <w:tmpl w:val="C2F01B5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B1B2730"/>
    <w:multiLevelType w:val="multilevel"/>
    <w:tmpl w:val="19343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29D3791"/>
    <w:multiLevelType w:val="multilevel"/>
    <w:tmpl w:val="0180FC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C872532"/>
    <w:multiLevelType w:val="hybridMultilevel"/>
    <w:tmpl w:val="47B0B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19"/>
  </w:num>
  <w:num w:numId="3">
    <w:abstractNumId w:val="22"/>
  </w:num>
  <w:num w:numId="4">
    <w:abstractNumId w:val="11"/>
  </w:num>
  <w:num w:numId="5">
    <w:abstractNumId w:val="3"/>
  </w:num>
  <w:num w:numId="6">
    <w:abstractNumId w:val="13"/>
  </w:num>
  <w:num w:numId="7">
    <w:abstractNumId w:val="7"/>
  </w:num>
  <w:num w:numId="8">
    <w:abstractNumId w:val="9"/>
  </w:num>
  <w:num w:numId="9">
    <w:abstractNumId w:val="4"/>
  </w:num>
  <w:num w:numId="10">
    <w:abstractNumId w:val="5"/>
  </w:num>
  <w:num w:numId="11">
    <w:abstractNumId w:val="14"/>
  </w:num>
  <w:num w:numId="12">
    <w:abstractNumId w:val="17"/>
  </w:num>
  <w:num w:numId="13">
    <w:abstractNumId w:val="2"/>
  </w:num>
  <w:num w:numId="14">
    <w:abstractNumId w:val="18"/>
  </w:num>
  <w:num w:numId="15">
    <w:abstractNumId w:val="0"/>
  </w:num>
  <w:num w:numId="16">
    <w:abstractNumId w:val="15"/>
  </w:num>
  <w:num w:numId="17">
    <w:abstractNumId w:val="16"/>
  </w:num>
  <w:num w:numId="18">
    <w:abstractNumId w:val="12"/>
  </w:num>
  <w:num w:numId="19">
    <w:abstractNumId w:val="20"/>
  </w:num>
  <w:num w:numId="20">
    <w:abstractNumId w:val="10"/>
  </w:num>
  <w:num w:numId="21">
    <w:abstractNumId w:val="8"/>
  </w:num>
  <w:num w:numId="22">
    <w:abstractNumId w:val="1"/>
  </w:num>
  <w:num w:numId="23">
    <w:abstractNumId w:val="23"/>
  </w:num>
  <w:num w:numId="2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66E2"/>
    <w:rsid w:val="00085046"/>
    <w:rsid w:val="000C703A"/>
    <w:rsid w:val="001728AE"/>
    <w:rsid w:val="001953D8"/>
    <w:rsid w:val="001B23CA"/>
    <w:rsid w:val="0024111C"/>
    <w:rsid w:val="002D4CA2"/>
    <w:rsid w:val="0033322C"/>
    <w:rsid w:val="00362E50"/>
    <w:rsid w:val="00526EC0"/>
    <w:rsid w:val="00586CB9"/>
    <w:rsid w:val="005966E2"/>
    <w:rsid w:val="005B6C4D"/>
    <w:rsid w:val="005C6AB5"/>
    <w:rsid w:val="00774A33"/>
    <w:rsid w:val="00853F8E"/>
    <w:rsid w:val="008A6181"/>
    <w:rsid w:val="008F56A4"/>
    <w:rsid w:val="00985AE1"/>
    <w:rsid w:val="00AD739B"/>
    <w:rsid w:val="00B00740"/>
    <w:rsid w:val="00BC1CEA"/>
    <w:rsid w:val="00C12D94"/>
    <w:rsid w:val="00C75659"/>
    <w:rsid w:val="00C83589"/>
    <w:rsid w:val="00CB4CB6"/>
    <w:rsid w:val="00CE5FA4"/>
    <w:rsid w:val="00D83903"/>
    <w:rsid w:val="00DF58A6"/>
    <w:rsid w:val="00E701C2"/>
    <w:rsid w:val="00E93E2C"/>
    <w:rsid w:val="00EA5FFD"/>
    <w:rsid w:val="00F332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8BBF20"/>
  <w15:chartTrackingRefBased/>
  <w15:docId w15:val="{AE5B2F24-9438-4D63-B834-1E3DE0052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22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3E2C"/>
    <w:pPr>
      <w:ind w:left="720"/>
      <w:contextualSpacing/>
    </w:pPr>
  </w:style>
  <w:style w:type="table" w:styleId="TableGrid">
    <w:name w:val="Table Grid"/>
    <w:basedOn w:val="TableNormal"/>
    <w:uiPriority w:val="39"/>
    <w:rsid w:val="002D4C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305930">
      <w:bodyDiv w:val="1"/>
      <w:marLeft w:val="0"/>
      <w:marRight w:val="0"/>
      <w:marTop w:val="0"/>
      <w:marBottom w:val="0"/>
      <w:divBdr>
        <w:top w:val="none" w:sz="0" w:space="0" w:color="auto"/>
        <w:left w:val="none" w:sz="0" w:space="0" w:color="auto"/>
        <w:bottom w:val="none" w:sz="0" w:space="0" w:color="auto"/>
        <w:right w:val="none" w:sz="0" w:space="0" w:color="auto"/>
      </w:divBdr>
    </w:div>
    <w:div w:id="156116352">
      <w:bodyDiv w:val="1"/>
      <w:marLeft w:val="0"/>
      <w:marRight w:val="0"/>
      <w:marTop w:val="0"/>
      <w:marBottom w:val="0"/>
      <w:divBdr>
        <w:top w:val="none" w:sz="0" w:space="0" w:color="auto"/>
        <w:left w:val="none" w:sz="0" w:space="0" w:color="auto"/>
        <w:bottom w:val="none" w:sz="0" w:space="0" w:color="auto"/>
        <w:right w:val="none" w:sz="0" w:space="0" w:color="auto"/>
      </w:divBdr>
    </w:div>
    <w:div w:id="517961282">
      <w:bodyDiv w:val="1"/>
      <w:marLeft w:val="0"/>
      <w:marRight w:val="0"/>
      <w:marTop w:val="0"/>
      <w:marBottom w:val="0"/>
      <w:divBdr>
        <w:top w:val="none" w:sz="0" w:space="0" w:color="auto"/>
        <w:left w:val="none" w:sz="0" w:space="0" w:color="auto"/>
        <w:bottom w:val="none" w:sz="0" w:space="0" w:color="auto"/>
        <w:right w:val="none" w:sz="0" w:space="0" w:color="auto"/>
      </w:divBdr>
    </w:div>
    <w:div w:id="740759903">
      <w:bodyDiv w:val="1"/>
      <w:marLeft w:val="0"/>
      <w:marRight w:val="0"/>
      <w:marTop w:val="0"/>
      <w:marBottom w:val="0"/>
      <w:divBdr>
        <w:top w:val="none" w:sz="0" w:space="0" w:color="auto"/>
        <w:left w:val="none" w:sz="0" w:space="0" w:color="auto"/>
        <w:bottom w:val="none" w:sz="0" w:space="0" w:color="auto"/>
        <w:right w:val="none" w:sz="0" w:space="0" w:color="auto"/>
      </w:divBdr>
    </w:div>
    <w:div w:id="987706889">
      <w:bodyDiv w:val="1"/>
      <w:marLeft w:val="0"/>
      <w:marRight w:val="0"/>
      <w:marTop w:val="0"/>
      <w:marBottom w:val="0"/>
      <w:divBdr>
        <w:top w:val="none" w:sz="0" w:space="0" w:color="auto"/>
        <w:left w:val="none" w:sz="0" w:space="0" w:color="auto"/>
        <w:bottom w:val="none" w:sz="0" w:space="0" w:color="auto"/>
        <w:right w:val="none" w:sz="0" w:space="0" w:color="auto"/>
      </w:divBdr>
      <w:divsChild>
        <w:div w:id="1244991774">
          <w:marLeft w:val="0"/>
          <w:marRight w:val="0"/>
          <w:marTop w:val="0"/>
          <w:marBottom w:val="0"/>
          <w:divBdr>
            <w:top w:val="none" w:sz="0" w:space="0" w:color="auto"/>
            <w:left w:val="none" w:sz="0" w:space="0" w:color="auto"/>
            <w:bottom w:val="none" w:sz="0" w:space="0" w:color="auto"/>
            <w:right w:val="none" w:sz="0" w:space="0" w:color="auto"/>
          </w:divBdr>
          <w:divsChild>
            <w:div w:id="12803080">
              <w:marLeft w:val="0"/>
              <w:marRight w:val="0"/>
              <w:marTop w:val="0"/>
              <w:marBottom w:val="0"/>
              <w:divBdr>
                <w:top w:val="none" w:sz="0" w:space="0" w:color="auto"/>
                <w:left w:val="none" w:sz="0" w:space="0" w:color="auto"/>
                <w:bottom w:val="none" w:sz="0" w:space="0" w:color="auto"/>
                <w:right w:val="none" w:sz="0" w:space="0" w:color="auto"/>
              </w:divBdr>
              <w:divsChild>
                <w:div w:id="85881267">
                  <w:marLeft w:val="0"/>
                  <w:marRight w:val="0"/>
                  <w:marTop w:val="0"/>
                  <w:marBottom w:val="0"/>
                  <w:divBdr>
                    <w:top w:val="none" w:sz="0" w:space="0" w:color="auto"/>
                    <w:left w:val="none" w:sz="0" w:space="0" w:color="auto"/>
                    <w:bottom w:val="none" w:sz="0" w:space="0" w:color="auto"/>
                    <w:right w:val="none" w:sz="0" w:space="0" w:color="auto"/>
                  </w:divBdr>
                  <w:divsChild>
                    <w:div w:id="644555399">
                      <w:marLeft w:val="0"/>
                      <w:marRight w:val="0"/>
                      <w:marTop w:val="0"/>
                      <w:marBottom w:val="0"/>
                      <w:divBdr>
                        <w:top w:val="none" w:sz="0" w:space="0" w:color="auto"/>
                        <w:left w:val="none" w:sz="0" w:space="0" w:color="auto"/>
                        <w:bottom w:val="none" w:sz="0" w:space="0" w:color="auto"/>
                        <w:right w:val="none" w:sz="0" w:space="0" w:color="auto"/>
                      </w:divBdr>
                    </w:div>
                    <w:div w:id="92695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3406837">
          <w:marLeft w:val="0"/>
          <w:marRight w:val="0"/>
          <w:marTop w:val="0"/>
          <w:marBottom w:val="0"/>
          <w:divBdr>
            <w:top w:val="none" w:sz="0" w:space="0" w:color="auto"/>
            <w:left w:val="none" w:sz="0" w:space="0" w:color="auto"/>
            <w:bottom w:val="none" w:sz="0" w:space="0" w:color="auto"/>
            <w:right w:val="none" w:sz="0" w:space="0" w:color="auto"/>
          </w:divBdr>
          <w:divsChild>
            <w:div w:id="564681528">
              <w:marLeft w:val="0"/>
              <w:marRight w:val="0"/>
              <w:marTop w:val="0"/>
              <w:marBottom w:val="0"/>
              <w:divBdr>
                <w:top w:val="none" w:sz="0" w:space="0" w:color="auto"/>
                <w:left w:val="none" w:sz="0" w:space="0" w:color="auto"/>
                <w:bottom w:val="none" w:sz="0" w:space="0" w:color="auto"/>
                <w:right w:val="none" w:sz="0" w:space="0" w:color="auto"/>
              </w:divBdr>
              <w:divsChild>
                <w:div w:id="986780384">
                  <w:marLeft w:val="0"/>
                  <w:marRight w:val="0"/>
                  <w:marTop w:val="0"/>
                  <w:marBottom w:val="0"/>
                  <w:divBdr>
                    <w:top w:val="none" w:sz="0" w:space="0" w:color="auto"/>
                    <w:left w:val="none" w:sz="0" w:space="0" w:color="auto"/>
                    <w:bottom w:val="none" w:sz="0" w:space="0" w:color="auto"/>
                    <w:right w:val="none" w:sz="0" w:space="0" w:color="auto"/>
                  </w:divBdr>
                  <w:divsChild>
                    <w:div w:id="138768473">
                      <w:marLeft w:val="0"/>
                      <w:marRight w:val="0"/>
                      <w:marTop w:val="0"/>
                      <w:marBottom w:val="0"/>
                      <w:divBdr>
                        <w:top w:val="none" w:sz="0" w:space="0" w:color="auto"/>
                        <w:left w:val="none" w:sz="0" w:space="0" w:color="auto"/>
                        <w:bottom w:val="none" w:sz="0" w:space="0" w:color="auto"/>
                        <w:right w:val="none" w:sz="0" w:space="0" w:color="auto"/>
                      </w:divBdr>
                    </w:div>
                    <w:div w:id="623733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7938741">
          <w:marLeft w:val="0"/>
          <w:marRight w:val="0"/>
          <w:marTop w:val="0"/>
          <w:marBottom w:val="0"/>
          <w:divBdr>
            <w:top w:val="none" w:sz="0" w:space="0" w:color="auto"/>
            <w:left w:val="none" w:sz="0" w:space="0" w:color="auto"/>
            <w:bottom w:val="none" w:sz="0" w:space="0" w:color="auto"/>
            <w:right w:val="none" w:sz="0" w:space="0" w:color="auto"/>
          </w:divBdr>
          <w:divsChild>
            <w:div w:id="387611032">
              <w:marLeft w:val="0"/>
              <w:marRight w:val="0"/>
              <w:marTop w:val="0"/>
              <w:marBottom w:val="0"/>
              <w:divBdr>
                <w:top w:val="none" w:sz="0" w:space="0" w:color="auto"/>
                <w:left w:val="none" w:sz="0" w:space="0" w:color="auto"/>
                <w:bottom w:val="none" w:sz="0" w:space="0" w:color="auto"/>
                <w:right w:val="none" w:sz="0" w:space="0" w:color="auto"/>
              </w:divBdr>
              <w:divsChild>
                <w:div w:id="32268889">
                  <w:marLeft w:val="0"/>
                  <w:marRight w:val="0"/>
                  <w:marTop w:val="0"/>
                  <w:marBottom w:val="0"/>
                  <w:divBdr>
                    <w:top w:val="none" w:sz="0" w:space="0" w:color="auto"/>
                    <w:left w:val="none" w:sz="0" w:space="0" w:color="auto"/>
                    <w:bottom w:val="none" w:sz="0" w:space="0" w:color="auto"/>
                    <w:right w:val="none" w:sz="0" w:space="0" w:color="auto"/>
                  </w:divBdr>
                  <w:divsChild>
                    <w:div w:id="1116870943">
                      <w:marLeft w:val="0"/>
                      <w:marRight w:val="0"/>
                      <w:marTop w:val="0"/>
                      <w:marBottom w:val="0"/>
                      <w:divBdr>
                        <w:top w:val="none" w:sz="0" w:space="0" w:color="auto"/>
                        <w:left w:val="none" w:sz="0" w:space="0" w:color="auto"/>
                        <w:bottom w:val="none" w:sz="0" w:space="0" w:color="auto"/>
                        <w:right w:val="none" w:sz="0" w:space="0" w:color="auto"/>
                      </w:divBdr>
                    </w:div>
                    <w:div w:id="1265964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6081291">
      <w:bodyDiv w:val="1"/>
      <w:marLeft w:val="0"/>
      <w:marRight w:val="0"/>
      <w:marTop w:val="0"/>
      <w:marBottom w:val="0"/>
      <w:divBdr>
        <w:top w:val="none" w:sz="0" w:space="0" w:color="auto"/>
        <w:left w:val="none" w:sz="0" w:space="0" w:color="auto"/>
        <w:bottom w:val="none" w:sz="0" w:space="0" w:color="auto"/>
        <w:right w:val="none" w:sz="0" w:space="0" w:color="auto"/>
      </w:divBdr>
    </w:div>
    <w:div w:id="1418138454">
      <w:bodyDiv w:val="1"/>
      <w:marLeft w:val="0"/>
      <w:marRight w:val="0"/>
      <w:marTop w:val="0"/>
      <w:marBottom w:val="0"/>
      <w:divBdr>
        <w:top w:val="none" w:sz="0" w:space="0" w:color="auto"/>
        <w:left w:val="none" w:sz="0" w:space="0" w:color="auto"/>
        <w:bottom w:val="none" w:sz="0" w:space="0" w:color="auto"/>
        <w:right w:val="none" w:sz="0" w:space="0" w:color="auto"/>
      </w:divBdr>
      <w:divsChild>
        <w:div w:id="205945627">
          <w:marLeft w:val="0"/>
          <w:marRight w:val="0"/>
          <w:marTop w:val="0"/>
          <w:marBottom w:val="0"/>
          <w:divBdr>
            <w:top w:val="none" w:sz="0" w:space="0" w:color="auto"/>
            <w:left w:val="none" w:sz="0" w:space="0" w:color="auto"/>
            <w:bottom w:val="none" w:sz="0" w:space="0" w:color="auto"/>
            <w:right w:val="none" w:sz="0" w:space="0" w:color="auto"/>
          </w:divBdr>
          <w:divsChild>
            <w:div w:id="667710956">
              <w:marLeft w:val="0"/>
              <w:marRight w:val="0"/>
              <w:marTop w:val="0"/>
              <w:marBottom w:val="0"/>
              <w:divBdr>
                <w:top w:val="none" w:sz="0" w:space="0" w:color="auto"/>
                <w:left w:val="none" w:sz="0" w:space="0" w:color="auto"/>
                <w:bottom w:val="none" w:sz="0" w:space="0" w:color="auto"/>
                <w:right w:val="none" w:sz="0" w:space="0" w:color="auto"/>
              </w:divBdr>
              <w:divsChild>
                <w:div w:id="922959687">
                  <w:marLeft w:val="0"/>
                  <w:marRight w:val="0"/>
                  <w:marTop w:val="0"/>
                  <w:marBottom w:val="0"/>
                  <w:divBdr>
                    <w:top w:val="none" w:sz="0" w:space="0" w:color="auto"/>
                    <w:left w:val="none" w:sz="0" w:space="0" w:color="auto"/>
                    <w:bottom w:val="none" w:sz="0" w:space="0" w:color="auto"/>
                    <w:right w:val="none" w:sz="0" w:space="0" w:color="auto"/>
                  </w:divBdr>
                  <w:divsChild>
                    <w:div w:id="1165512082">
                      <w:marLeft w:val="0"/>
                      <w:marRight w:val="0"/>
                      <w:marTop w:val="0"/>
                      <w:marBottom w:val="0"/>
                      <w:divBdr>
                        <w:top w:val="none" w:sz="0" w:space="0" w:color="auto"/>
                        <w:left w:val="none" w:sz="0" w:space="0" w:color="auto"/>
                        <w:bottom w:val="none" w:sz="0" w:space="0" w:color="auto"/>
                        <w:right w:val="none" w:sz="0" w:space="0" w:color="auto"/>
                      </w:divBdr>
                    </w:div>
                    <w:div w:id="147329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918278">
          <w:marLeft w:val="0"/>
          <w:marRight w:val="0"/>
          <w:marTop w:val="0"/>
          <w:marBottom w:val="0"/>
          <w:divBdr>
            <w:top w:val="none" w:sz="0" w:space="0" w:color="auto"/>
            <w:left w:val="none" w:sz="0" w:space="0" w:color="auto"/>
            <w:bottom w:val="none" w:sz="0" w:space="0" w:color="auto"/>
            <w:right w:val="none" w:sz="0" w:space="0" w:color="auto"/>
          </w:divBdr>
          <w:divsChild>
            <w:div w:id="111826039">
              <w:marLeft w:val="0"/>
              <w:marRight w:val="0"/>
              <w:marTop w:val="0"/>
              <w:marBottom w:val="0"/>
              <w:divBdr>
                <w:top w:val="none" w:sz="0" w:space="0" w:color="auto"/>
                <w:left w:val="none" w:sz="0" w:space="0" w:color="auto"/>
                <w:bottom w:val="none" w:sz="0" w:space="0" w:color="auto"/>
                <w:right w:val="none" w:sz="0" w:space="0" w:color="auto"/>
              </w:divBdr>
              <w:divsChild>
                <w:div w:id="628440492">
                  <w:marLeft w:val="0"/>
                  <w:marRight w:val="0"/>
                  <w:marTop w:val="0"/>
                  <w:marBottom w:val="0"/>
                  <w:divBdr>
                    <w:top w:val="none" w:sz="0" w:space="0" w:color="auto"/>
                    <w:left w:val="none" w:sz="0" w:space="0" w:color="auto"/>
                    <w:bottom w:val="none" w:sz="0" w:space="0" w:color="auto"/>
                    <w:right w:val="none" w:sz="0" w:space="0" w:color="auto"/>
                  </w:divBdr>
                  <w:divsChild>
                    <w:div w:id="2121140650">
                      <w:marLeft w:val="0"/>
                      <w:marRight w:val="0"/>
                      <w:marTop w:val="0"/>
                      <w:marBottom w:val="0"/>
                      <w:divBdr>
                        <w:top w:val="none" w:sz="0" w:space="0" w:color="auto"/>
                        <w:left w:val="none" w:sz="0" w:space="0" w:color="auto"/>
                        <w:bottom w:val="none" w:sz="0" w:space="0" w:color="auto"/>
                        <w:right w:val="none" w:sz="0" w:space="0" w:color="auto"/>
                      </w:divBdr>
                    </w:div>
                    <w:div w:id="1218473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304523">
          <w:marLeft w:val="0"/>
          <w:marRight w:val="0"/>
          <w:marTop w:val="0"/>
          <w:marBottom w:val="0"/>
          <w:divBdr>
            <w:top w:val="none" w:sz="0" w:space="0" w:color="auto"/>
            <w:left w:val="none" w:sz="0" w:space="0" w:color="auto"/>
            <w:bottom w:val="none" w:sz="0" w:space="0" w:color="auto"/>
            <w:right w:val="none" w:sz="0" w:space="0" w:color="auto"/>
          </w:divBdr>
          <w:divsChild>
            <w:div w:id="1351377630">
              <w:marLeft w:val="0"/>
              <w:marRight w:val="0"/>
              <w:marTop w:val="0"/>
              <w:marBottom w:val="0"/>
              <w:divBdr>
                <w:top w:val="none" w:sz="0" w:space="0" w:color="auto"/>
                <w:left w:val="none" w:sz="0" w:space="0" w:color="auto"/>
                <w:bottom w:val="none" w:sz="0" w:space="0" w:color="auto"/>
                <w:right w:val="none" w:sz="0" w:space="0" w:color="auto"/>
              </w:divBdr>
              <w:divsChild>
                <w:div w:id="1824735095">
                  <w:marLeft w:val="0"/>
                  <w:marRight w:val="0"/>
                  <w:marTop w:val="0"/>
                  <w:marBottom w:val="0"/>
                  <w:divBdr>
                    <w:top w:val="none" w:sz="0" w:space="0" w:color="auto"/>
                    <w:left w:val="none" w:sz="0" w:space="0" w:color="auto"/>
                    <w:bottom w:val="none" w:sz="0" w:space="0" w:color="auto"/>
                    <w:right w:val="none" w:sz="0" w:space="0" w:color="auto"/>
                  </w:divBdr>
                  <w:divsChild>
                    <w:div w:id="1038972356">
                      <w:marLeft w:val="0"/>
                      <w:marRight w:val="0"/>
                      <w:marTop w:val="0"/>
                      <w:marBottom w:val="0"/>
                      <w:divBdr>
                        <w:top w:val="none" w:sz="0" w:space="0" w:color="auto"/>
                        <w:left w:val="none" w:sz="0" w:space="0" w:color="auto"/>
                        <w:bottom w:val="none" w:sz="0" w:space="0" w:color="auto"/>
                        <w:right w:val="none" w:sz="0" w:space="0" w:color="auto"/>
                      </w:divBdr>
                    </w:div>
                    <w:div w:id="58213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4063763">
      <w:bodyDiv w:val="1"/>
      <w:marLeft w:val="0"/>
      <w:marRight w:val="0"/>
      <w:marTop w:val="0"/>
      <w:marBottom w:val="0"/>
      <w:divBdr>
        <w:top w:val="none" w:sz="0" w:space="0" w:color="auto"/>
        <w:left w:val="none" w:sz="0" w:space="0" w:color="auto"/>
        <w:bottom w:val="none" w:sz="0" w:space="0" w:color="auto"/>
        <w:right w:val="none" w:sz="0" w:space="0" w:color="auto"/>
      </w:divBdr>
    </w:div>
    <w:div w:id="2135368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351</TotalTime>
  <Pages>14</Pages>
  <Words>1640</Words>
  <Characters>9353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Ojo</dc:creator>
  <cp:keywords/>
  <dc:description/>
  <cp:lastModifiedBy>David Ojo</cp:lastModifiedBy>
  <cp:revision>16</cp:revision>
  <dcterms:created xsi:type="dcterms:W3CDTF">2025-10-15T05:22:00Z</dcterms:created>
  <dcterms:modified xsi:type="dcterms:W3CDTF">2025-10-17T07:43:00Z</dcterms:modified>
</cp:coreProperties>
</file>