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0"/>
      </w:pPr>
      <w:r>
        <w:t xml:space="preserve"/>
      </w:r>
    </w:p>
    <w:p>
      <w:pPr>
        <w:spacing w:after="0"/>
        <w:jc w:val="center"/>
      </w:pPr>
      <w:r>
        <w:rPr>
          <w:rFonts w:ascii="Arial" w:cs="Arial" w:eastAsia="Arial" w:hAnsi="Arial"/>
          <w:b/>
          <w:bCs/>
          <w:color w:val="6B7280"/>
          <w:sz w:val="28"/>
          <w:szCs w:val="28"/>
        </w:rPr>
        <w:t xml:space="preserve">CRITEO UPLIFT V2.1</w:t>
      </w:r>
    </w:p>
    <w:p>
      <w:pPr>
        <w:pBdr>
          <w:bottom w:val="single" w:color="2563EB" w:sz="12" w:space="6"/>
        </w:pBdr>
        <w:spacing w:after="240"/>
        <w:jc w:val="center"/>
      </w:pPr>
      <w:r>
        <w:rPr>
          <w:rFonts w:ascii="Arial" w:cs="Arial" w:eastAsia="Arial" w:hAnsi="Arial"/>
          <w:sz w:val="12"/>
          <w:szCs w:val="12"/>
        </w:rPr>
        <w:t xml:space="preserve"> </w:t>
      </w:r>
    </w:p>
    <w:p>
      <w:pPr>
        <w:spacing w:after="200"/>
        <w:jc w:val="center"/>
      </w:pPr>
      <w:r>
        <w:rPr>
          <w:rFonts w:ascii="Arial" w:cs="Arial" w:eastAsia="Arial" w:hAnsi="Arial"/>
          <w:b/>
          <w:bCs/>
          <w:color w:val="1E3A5F"/>
          <w:sz w:val="44"/>
          <w:szCs w:val="44"/>
        </w:rPr>
        <w:t xml:space="preserve">Measuring the Incremental Effect of Digital Advertising:</w:t>
      </w:r>
    </w:p>
    <w:p>
      <w:pPr>
        <w:spacing w:after="400"/>
        <w:jc w:val="center"/>
      </w:pPr>
      <w:r>
        <w:rPr>
          <w:rFonts w:ascii="Arial" w:cs="Arial" w:eastAsia="Arial" w:hAnsi="Arial"/>
          <w:b/>
          <w:bCs/>
          <w:color w:val="2563EB"/>
          <w:sz w:val="36"/>
          <w:szCs w:val="36"/>
        </w:rPr>
        <w:t xml:space="preserve">A Causal Inference and Uplift Modelling Approach</w:t>
      </w:r>
    </w:p>
    <w:p>
      <w:pPr>
        <w:spacing w:after="120"/>
        <w:jc w:val="center"/>
      </w:pPr>
      <w:r>
        <w:rPr>
          <w:rFonts w:ascii="Arial" w:cs="Arial" w:eastAsia="Arial" w:hAnsi="Arial"/>
          <w:i/>
          <w:iCs/>
          <w:color w:val="6B7280"/>
          <w:sz w:val="24"/>
          <w:szCs w:val="24"/>
        </w:rPr>
        <w:t xml:space="preserve">Full Data Science Portfolio Project</w:t>
      </w:r>
    </w:p>
    <w:p>
      <w:pPr>
        <w:spacing w:after="0"/>
      </w:pPr>
      <w:r>
        <w:t xml:space="preserve"/>
      </w:r>
    </w:p>
    <w:p>
      <w:pPr>
        <w:spacing w:after="0"/>
      </w:pPr>
      <w:r>
        <w:t xml:space="preserve"/>
      </w:r>
    </w:p>
    <w:p>
      <w:pPr>
        <w:spacing w:after="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4"/>
              <w:left w:val="single" w:color="CCCCCC" w:sz="4"/>
              <w:bottom w:val="single" w:color="CCCCCC" w:sz="4"/>
              <w:right w:val="single" w:color="CCCCCC" w:sz="4"/>
            </w:tcBorders>
            <w:shd w:fill="DBEAFE"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Author</w:t>
            </w:r>
          </w:p>
        </w:tc>
        <w:tc>
          <w:tcPr>
            <w:tcW w:type="dxa" w:w="36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David</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Course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ECON 5140 — Applied Econometrics</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Dataset</w:t>
            </w:r>
          </w:p>
        </w:tc>
        <w:tc>
          <w:tcPr>
            <w:tcW w:type="dxa" w:w="36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Criteo Uplift v2.1 (Kaggle)</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Sample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200,000 users (of 13.9M)</w:t>
            </w:r>
          </w:p>
        </w:tc>
      </w:tr>
      <w:tr>
        <w:tc>
          <w:tcPr>
            <w:tcW w:type="dxa" w:w="2400"/>
            <w:tcBorders>
              <w:top w:val="single" w:color="CCCCCC" w:sz="4"/>
              <w:left w:val="single" w:color="CCCCCC" w:sz="4"/>
              <w:bottom w:val="single" w:color="CCCCCC" w:sz="4"/>
              <w:right w:val="single" w:color="CCCCCC" w:sz="4"/>
            </w:tcBorders>
            <w:shd w:fill="DBEAFE"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Date</w:t>
            </w:r>
          </w:p>
        </w:tc>
        <w:tc>
          <w:tcPr>
            <w:tcW w:type="dxa" w:w="360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April 2026</w:t>
            </w:r>
          </w:p>
        </w:tc>
      </w:tr>
    </w:tbl>
    <w:p>
      <w:pPr>
        <w:spacing w:after="0"/>
      </w:pPr>
      <w:r>
        <w:t xml:space="preserve"/>
      </w:r>
    </w:p>
    <w:p>
      <w:pPr>
        <w:spacing w:after="0"/>
      </w:pPr>
      <w:r>
        <w:t xml:space="preserve"/>
      </w:r>
    </w:p>
    <w:p>
      <w:r>
        <w:br w:type="page"/>
      </w:r>
    </w:p>
    <w:p>
      <w:pPr>
        <w:pStyle w:val="Heading1"/>
        <w:pBdr>
          <w:bottom w:val="single" w:color="2563EB" w:sz="6" w:space="4"/>
        </w:pBdr>
        <w:spacing w:after="180" w:before="360"/>
      </w:pPr>
      <w:r>
        <w:rPr>
          <w:rFonts w:ascii="Arial" w:cs="Arial" w:eastAsia="Arial" w:hAnsi="Arial"/>
          <w:b/>
          <w:bCs/>
          <w:color w:val="1E3A5F"/>
          <w:sz w:val="32"/>
          <w:szCs w:val="32"/>
        </w:rPr>
        <w:t xml:space="preserve">Abstract</w:t>
      </w:r>
    </w:p>
    <w:p>
      <w:pPr>
        <w:spacing w:after="160" w:line="320"/>
        <w:jc w:val="both"/>
      </w:pPr>
      <w:r>
        <w:rPr>
          <w:rFonts w:ascii="Arial" w:cs="Arial" w:eastAsia="Arial" w:hAnsi="Arial"/>
          <w:b w:val="false"/>
          <w:bCs w:val="false"/>
          <w:i w:val="false"/>
          <w:iCs w:val="false"/>
          <w:color w:val="000000"/>
          <w:sz w:val="22"/>
          <w:szCs w:val="22"/>
        </w:rPr>
        <w:t xml:space="preserve">This paper investigates the causal effect of digital advertising on user behaviour using the Criteo Uplift v2.1 dataset, a large-scale benchmark from randomised incrementality tests conducted by Criteo AI Lab. A random sample of 200,000 users is analysed across four methodological approaches: naive difference-in-means, Inverse Probability Weighting (IPW), S-Learner meta-learner, and T-Learner meta-learner. The analysis addresses two research questions: (1) what is the average causal effect of ad treatment on website visits and conversions, and (2) which users benefit most from being targeted (heterogeneous treatment effects).</w:t>
      </w:r>
    </w:p>
    <w:p>
      <w:pPr>
        <w:spacing w:after="160" w:line="320"/>
        <w:jc w:val="both"/>
      </w:pPr>
      <w:r>
        <w:rPr>
          <w:rFonts w:ascii="Arial" w:cs="Arial" w:eastAsia="Arial" w:hAnsi="Arial"/>
          <w:b w:val="false"/>
          <w:bCs w:val="false"/>
          <w:i w:val="false"/>
          <w:iCs w:val="false"/>
          <w:color w:val="000000"/>
          <w:sz w:val="22"/>
          <w:szCs w:val="22"/>
        </w:rPr>
        <w:t xml:space="preserve">Results confirm a statistically significant Average Treatment Effect of +1.03 percentage points on website visits (t = 7.71, p &lt; 0.001) and +0.17 percentage points on conversions (t = 4.72, p &lt; 0.001), corresponding to relative lifts of +26.4% and +93.0% respectively. IPW estimation corroborates these findings. Conditional Average Treatment Effect (CATE) estimation via T-Learner reveals substantial heterogeneity, with individual effects ranging from -0.1526 to +0.3339. Uplift curve evaluation demonstrates that targeting the top 20% of users ranked by predicted CATE captures 65-79% of total campaign uplift — a dramatic improvement over random targeting of the same group. These findings provide a rigorous causal framework for campaign optimisation and budget allocation.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DBEAFE"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Keywords</w:t>
            </w:r>
          </w:p>
        </w:tc>
        <w:tc>
          <w:tcPr>
            <w:tcW w:type="dxa" w:w="756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20"/>
                <w:szCs w:val="20"/>
              </w:rPr>
              <w:t xml:space="preserve">Uplift Modelling, Causal Inference, Average Treatment Effect, CATE, Meta-Learners, S-Learner, T-Learner, IPW, Digital Advertising, Randomised Controlled Trial</w:t>
            </w:r>
          </w:p>
        </w:tc>
      </w:tr>
    </w:tbl>
    <w:p>
      <w:r>
        <w:br w:type="page"/>
      </w:r>
    </w:p>
    <w:p>
      <w:pPr>
        <w:pStyle w:val="Heading1"/>
        <w:pBdr>
          <w:bottom w:val="single" w:color="2563EB" w:sz="6" w:space="4"/>
        </w:pBdr>
        <w:spacing w:after="180" w:before="360"/>
      </w:pPr>
      <w:r>
        <w:rPr>
          <w:rFonts w:ascii="Arial" w:cs="Arial" w:eastAsia="Arial" w:hAnsi="Arial"/>
          <w:b/>
          <w:bCs/>
          <w:color w:val="1E3A5F"/>
          <w:sz w:val="32"/>
          <w:szCs w:val="32"/>
        </w:rPr>
        <w:t xml:space="preserve">1. Introduction</w:t>
      </w:r>
    </w:p>
    <w:p>
      <w:pPr>
        <w:pStyle w:val="Heading2"/>
        <w:spacing w:after="120" w:before="280"/>
      </w:pPr>
      <w:r>
        <w:rPr>
          <w:rFonts w:ascii="Arial" w:cs="Arial" w:eastAsia="Arial" w:hAnsi="Arial"/>
          <w:b/>
          <w:bCs/>
          <w:color w:val="2563EB"/>
          <w:sz w:val="26"/>
          <w:szCs w:val="26"/>
        </w:rPr>
        <w:t xml:space="preserve">1.1 The Business Problem</w:t>
      </w:r>
    </w:p>
    <w:p>
      <w:pPr>
        <w:spacing w:after="160" w:line="320"/>
        <w:jc w:val="both"/>
      </w:pPr>
      <w:r>
        <w:rPr>
          <w:rFonts w:ascii="Arial" w:cs="Arial" w:eastAsia="Arial" w:hAnsi="Arial"/>
          <w:b w:val="false"/>
          <w:bCs w:val="false"/>
          <w:i w:val="false"/>
          <w:iCs w:val="false"/>
          <w:color w:val="000000"/>
          <w:sz w:val="22"/>
          <w:szCs w:val="22"/>
        </w:rPr>
        <w:t xml:space="preserve">Digital advertising generates enormous volumes of data but answering the fundamental question of whether an advertisement causally changes user behaviour remains technically challenging. The naive approach of targeting users who are most likely to purchase conflates two distinct populations: users who would have purchased regardless of seeing the ad (Sure Things) and users whose behaviour is genuinely changed by the ad (Persuadables). Treating these groups identically wastes advertising budget and, in some cases, may actively reduce conversions by reaching users who respond negatively to advertising pressure (Sleeping Dogs).</w:t>
      </w:r>
    </w:p>
    <w:p>
      <w:pPr>
        <w:spacing w:after="160" w:line="320"/>
        <w:jc w:val="both"/>
      </w:pPr>
      <w:r>
        <w:rPr>
          <w:rFonts w:ascii="Arial" w:cs="Arial" w:eastAsia="Arial" w:hAnsi="Arial"/>
          <w:b w:val="false"/>
          <w:bCs w:val="false"/>
          <w:i w:val="false"/>
          <w:iCs w:val="false"/>
          <w:color w:val="000000"/>
          <w:sz w:val="22"/>
          <w:szCs w:val="22"/>
        </w:rPr>
        <w:t xml:space="preserve">Uplift modelling addresses this limitation by estimating the incremental causal effect of treatment at the individual level. Rather than predicting who will buy, uplift modelling predicts whose buying behaviour will change because of the ad. This distinction is the foundation of modern personalised advertising strategy.</w:t>
      </w:r>
    </w:p>
    <w:p>
      <w:pPr>
        <w:pStyle w:val="Heading2"/>
        <w:spacing w:after="120" w:before="280"/>
      </w:pPr>
      <w:r>
        <w:rPr>
          <w:rFonts w:ascii="Arial" w:cs="Arial" w:eastAsia="Arial" w:hAnsi="Arial"/>
          <w:b/>
          <w:bCs/>
          <w:color w:val="2563EB"/>
          <w:sz w:val="26"/>
          <w:szCs w:val="26"/>
        </w:rPr>
        <w:t xml:space="preserve">1.2 The Four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234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With Ad</w:t>
            </w:r>
          </w:p>
        </w:tc>
        <w:tc>
          <w:tcPr>
            <w:tcW w:type="dxa" w:w="234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Without Ad</w:t>
            </w:r>
          </w:p>
        </w:tc>
        <w:tc>
          <w:tcPr>
            <w:tcW w:type="dxa" w:w="234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Target?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59669"/>
                <w:sz w:val="20"/>
                <w:szCs w:val="20"/>
              </w:rPr>
              <w:t xml:space="preserve">Persuadables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Buys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Does not buy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59669"/>
                <w:sz w:val="20"/>
                <w:szCs w:val="20"/>
              </w:rPr>
              <w:t xml:space="preserve">YES — Primary target</w:t>
            </w:r>
          </w:p>
        </w:tc>
      </w:tr>
      <w:tr>
        <w:tc>
          <w:tcPr>
            <w:tcW w:type="dxa" w:w="23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Sure Things</w:t>
            </w:r>
          </w:p>
        </w:tc>
        <w:tc>
          <w:tcPr>
            <w:tcW w:type="dxa" w:w="23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Buys</w:t>
            </w:r>
          </w:p>
        </w:tc>
        <w:tc>
          <w:tcPr>
            <w:tcW w:type="dxa" w:w="23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Buys anyway</w:t>
            </w:r>
          </w:p>
        </w:tc>
        <w:tc>
          <w:tcPr>
            <w:tcW w:type="dxa" w:w="23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 — Waste of budget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Lost Causes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Does not buy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Does not buy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 — Waste of budget</w:t>
            </w:r>
          </w:p>
        </w:tc>
      </w:tr>
      <w:tr>
        <w:tc>
          <w:tcPr>
            <w:tcW w:type="dxa" w:w="23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DC2626"/>
                <w:sz w:val="20"/>
                <w:szCs w:val="20"/>
              </w:rPr>
              <w:t xml:space="preserve">Sleeping Dogs</w:t>
            </w:r>
          </w:p>
        </w:tc>
        <w:tc>
          <w:tcPr>
            <w:tcW w:type="dxa" w:w="23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Does not buy</w:t>
            </w:r>
          </w:p>
        </w:tc>
        <w:tc>
          <w:tcPr>
            <w:tcW w:type="dxa" w:w="23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Would have bought</w:t>
            </w:r>
          </w:p>
        </w:tc>
        <w:tc>
          <w:tcPr>
            <w:tcW w:type="dxa" w:w="23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DC2626"/>
                <w:sz w:val="20"/>
                <w:szCs w:val="20"/>
              </w:rPr>
              <w:t xml:space="preserve">NO — Ad causes harm</w:t>
            </w:r>
          </w:p>
        </w:tc>
      </w:tr>
    </w:tbl>
    <w:p>
      <w:pPr>
        <w:spacing w:after="0"/>
      </w:pPr>
      <w:r>
        <w:t xml:space="preserve"/>
      </w:r>
    </w:p>
    <w:p>
      <w:pPr>
        <w:pStyle w:val="Heading2"/>
        <w:spacing w:after="120" w:before="280"/>
      </w:pPr>
      <w:r>
        <w:rPr>
          <w:rFonts w:ascii="Arial" w:cs="Arial" w:eastAsia="Arial" w:hAnsi="Arial"/>
          <w:b/>
          <w:bCs/>
          <w:color w:val="2563EB"/>
          <w:sz w:val="26"/>
          <w:szCs w:val="26"/>
        </w:rPr>
        <w:t xml:space="preserve">1.3 Research Questions</w:t>
      </w:r>
    </w:p>
    <w:p>
      <w:pPr>
        <w:spacing w:after="160" w:line="320"/>
        <w:jc w:val="both"/>
      </w:pPr>
      <w:r>
        <w:rPr>
          <w:rFonts w:ascii="Arial" w:cs="Arial" w:eastAsia="Arial" w:hAnsi="Arial"/>
          <w:b w:val="false"/>
          <w:bCs w:val="false"/>
          <w:i w:val="false"/>
          <w:iCs w:val="false"/>
          <w:color w:val="000000"/>
          <w:sz w:val="22"/>
          <w:szCs w:val="22"/>
        </w:rPr>
        <w:t xml:space="preserve">This paper addresses two formally stated research questions:</w:t>
      </w:r>
    </w:p>
    <w:p>
      <w:pPr>
        <w:pStyle w:val="ListParagraph"/>
        <w:numPr>
          <w:ilvl w:val="0"/>
          <w:numId w:val="2"/>
        </w:numPr>
        <w:spacing w:after="100" w:line="300"/>
      </w:pPr>
      <w:r>
        <w:rPr>
          <w:rFonts w:ascii="Arial" w:cs="Arial" w:eastAsia="Arial" w:hAnsi="Arial"/>
          <w:b w:val="false"/>
          <w:bCs w:val="false"/>
          <w:color w:val="000000"/>
          <w:sz w:val="22"/>
          <w:szCs w:val="22"/>
        </w:rPr>
        <w:t xml:space="preserve">RQ1 (Average Effect): What is the incremental causal effect of Criteo's ad treatment on website visits and conversions across the user population?</w:t>
      </w:r>
    </w:p>
    <w:p>
      <w:pPr>
        <w:pStyle w:val="ListParagraph"/>
        <w:numPr>
          <w:ilvl w:val="0"/>
          <w:numId w:val="2"/>
        </w:numPr>
        <w:spacing w:after="100" w:line="300"/>
      </w:pPr>
      <w:r>
        <w:rPr>
          <w:rFonts w:ascii="Arial" w:cs="Arial" w:eastAsia="Arial" w:hAnsi="Arial"/>
          <w:b w:val="false"/>
          <w:bCs w:val="false"/>
          <w:color w:val="000000"/>
          <w:sz w:val="22"/>
          <w:szCs w:val="22"/>
        </w:rPr>
        <w:t xml:space="preserve">RQ2 (Heterogeneous Effects): Which users benefit most from advertising? Can we identify Persuadables using user features and produce actionable targeting recommendations?</w:t>
      </w:r>
    </w:p>
    <w:p>
      <w:pPr>
        <w:spacing w:after="0"/>
      </w:pPr>
      <w:r>
        <w:t xml:space="preserve"/>
      </w:r>
    </w:p>
    <w:p>
      <w:pPr>
        <w:pStyle w:val="Heading2"/>
        <w:spacing w:after="120" w:before="280"/>
      </w:pPr>
      <w:r>
        <w:rPr>
          <w:rFonts w:ascii="Arial" w:cs="Arial" w:eastAsia="Arial" w:hAnsi="Arial"/>
          <w:b/>
          <w:bCs/>
          <w:color w:val="2563EB"/>
          <w:sz w:val="26"/>
          <w:szCs w:val="26"/>
        </w:rPr>
        <w:t xml:space="preserve">1.4 Paper Structure</w:t>
      </w:r>
    </w:p>
    <w:p>
      <w:pPr>
        <w:spacing w:after="160" w:line="320"/>
        <w:jc w:val="both"/>
      </w:pPr>
      <w:r>
        <w:rPr>
          <w:rFonts w:ascii="Arial" w:cs="Arial" w:eastAsia="Arial" w:hAnsi="Arial"/>
          <w:b w:val="false"/>
          <w:bCs w:val="false"/>
          <w:i w:val="false"/>
          <w:iCs w:val="false"/>
          <w:color w:val="000000"/>
          <w:sz w:val="22"/>
          <w:szCs w:val="22"/>
        </w:rPr>
        <w:t xml:space="preserve">Section 2 describes the dataset and experimental design. Section 3 presents the methodological framework. Sections 4 through 7 present results for each analytical step. Section 8 provides business recommendations. Section 9 concludes.</w:t>
      </w:r>
    </w:p>
    <w:p>
      <w:r>
        <w:br w:type="page"/>
      </w:r>
    </w:p>
    <w:p>
      <w:pPr>
        <w:pStyle w:val="Heading1"/>
        <w:pBdr>
          <w:bottom w:val="single" w:color="2563EB" w:sz="6" w:space="4"/>
        </w:pBdr>
        <w:spacing w:after="180" w:before="360"/>
      </w:pPr>
      <w:r>
        <w:rPr>
          <w:rFonts w:ascii="Arial" w:cs="Arial" w:eastAsia="Arial" w:hAnsi="Arial"/>
          <w:b/>
          <w:bCs/>
          <w:color w:val="1E3A5F"/>
          <w:sz w:val="32"/>
          <w:szCs w:val="32"/>
        </w:rPr>
        <w:t xml:space="preserve">2. Data &amp; Experimental Design</w:t>
      </w:r>
    </w:p>
    <w:p>
      <w:pPr>
        <w:pStyle w:val="Heading2"/>
        <w:spacing w:after="120" w:before="280"/>
      </w:pPr>
      <w:r>
        <w:rPr>
          <w:rFonts w:ascii="Arial" w:cs="Arial" w:eastAsia="Arial" w:hAnsi="Arial"/>
          <w:b/>
          <w:bCs/>
          <w:color w:val="2563EB"/>
          <w:sz w:val="26"/>
          <w:szCs w:val="26"/>
        </w:rPr>
        <w:t xml:space="preserve">2.1 Dataset Overview</w:t>
      </w:r>
    </w:p>
    <w:p>
      <w:pPr>
        <w:spacing w:after="160" w:line="320"/>
        <w:jc w:val="both"/>
      </w:pPr>
      <w:r>
        <w:rPr>
          <w:rFonts w:ascii="Arial" w:cs="Arial" w:eastAsia="Arial" w:hAnsi="Arial"/>
          <w:b w:val="false"/>
          <w:bCs w:val="false"/>
          <w:i w:val="false"/>
          <w:iCs w:val="false"/>
          <w:color w:val="000000"/>
          <w:sz w:val="22"/>
          <w:szCs w:val="22"/>
        </w:rPr>
        <w:t xml:space="preserve">The Criteo Uplift v2.1 dataset was constructed by assembling data from several incrementality tests conducted by Criteo AI Lab. Incrementality tests are a specific form of randomised controlled trial (RCT) where a random portion of the user population is deliberately prevented from receiving advertising. This design enables unconfounded causal inference because treatment assignment is independent of user characteristics by construction.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Property</w:t>
            </w:r>
          </w:p>
        </w:tc>
        <w:tc>
          <w:tcPr>
            <w:tcW w:type="dxa" w:w="624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 rows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13,979,592 users</w:t>
            </w:r>
          </w:p>
        </w:tc>
      </w:tr>
      <w:tr>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Sample used</w:t>
            </w:r>
          </w:p>
        </w:tc>
        <w:tc>
          <w:tcPr>
            <w:tcW w:type="dxa" w:w="62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200,000 users (random subsample)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Features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 anonymous dense float features (f0-f11)</w:t>
            </w:r>
          </w:p>
        </w:tc>
      </w:tr>
      <w:tr>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Treatment ratio</w:t>
            </w:r>
          </w:p>
        </w:tc>
        <w:tc>
          <w:tcPr>
            <w:tcW w:type="dxa" w:w="62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85% treated / 15% control</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Visit rate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~4.7% overall</w:t>
            </w:r>
          </w:p>
        </w:tc>
      </w:tr>
      <w:tr>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Conversion rate</w:t>
            </w:r>
          </w:p>
        </w:tc>
        <w:tc>
          <w:tcPr>
            <w:tcW w:type="dxa" w:w="62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~0.29% overall (highly imbalanced)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Source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Criteo AI Lab — ailab.criteo.com</w:t>
            </w:r>
          </w:p>
        </w:tc>
      </w:tr>
    </w:tbl>
    <w:p>
      <w:pPr>
        <w:spacing w:after="0"/>
      </w:pPr>
      <w:r>
        <w:t xml:space="preserve"/>
      </w:r>
    </w:p>
    <w:p>
      <w:pPr>
        <w:pStyle w:val="Heading2"/>
        <w:spacing w:after="120" w:before="280"/>
      </w:pPr>
      <w:r>
        <w:rPr>
          <w:rFonts w:ascii="Arial" w:cs="Arial" w:eastAsia="Arial" w:hAnsi="Arial"/>
          <w:b/>
          <w:bCs/>
          <w:color w:val="2563EB"/>
          <w:sz w:val="26"/>
          <w:szCs w:val="26"/>
        </w:rPr>
        <w:t xml:space="preserve">2.2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Variable</w:t>
            </w:r>
          </w:p>
        </w:tc>
        <w:tc>
          <w:tcPr>
            <w:tcW w:type="dxa" w:w="156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546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f0 - f11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Float</w:t>
            </w:r>
          </w:p>
        </w:tc>
        <w:tc>
          <w:tcPr>
            <w:tcW w:type="dxa" w:w="5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 anonymous user features — anonymised for privacy</w:t>
            </w:r>
          </w:p>
        </w:tc>
      </w:tr>
      <w:tr>
        <w:tc>
          <w:tcPr>
            <w:tcW w:type="dxa" w:w="23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treatment</w:t>
            </w:r>
          </w:p>
        </w:tc>
        <w:tc>
          <w:tcPr>
            <w:tcW w:type="dxa" w:w="156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Binary</w:t>
            </w:r>
          </w:p>
        </w:tc>
        <w:tc>
          <w:tcPr>
            <w:tcW w:type="dxa" w:w="546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 Criteo entered RTB auction for this user; 0 = held out (control)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exposure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Binary</w:t>
            </w:r>
          </w:p>
        </w:tc>
        <w:tc>
          <w:tcPr>
            <w:tcW w:type="dxa" w:w="5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 Criteo won the auction and user actually saw the ad</w:t>
            </w:r>
          </w:p>
        </w:tc>
      </w:tr>
      <w:tr>
        <w:tc>
          <w:tcPr>
            <w:tcW w:type="dxa" w:w="23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visit</w:t>
            </w:r>
          </w:p>
        </w:tc>
        <w:tc>
          <w:tcPr>
            <w:tcW w:type="dxa" w:w="156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Binary</w:t>
            </w:r>
          </w:p>
        </w:tc>
        <w:tc>
          <w:tcPr>
            <w:tcW w:type="dxa" w:w="546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 user visited the retailer website within the tracking window</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conversion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Binary</w:t>
            </w:r>
          </w:p>
        </w:tc>
        <w:tc>
          <w:tcPr>
            <w:tcW w:type="dxa" w:w="5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 user made a purchase within the tracking window</w:t>
            </w:r>
          </w:p>
        </w:tc>
      </w:tr>
    </w:tbl>
    <w:p>
      <w:pPr>
        <w:spacing w:after="0"/>
      </w:pPr>
      <w:r>
        <w:t xml:space="preserve"/>
      </w:r>
    </w:p>
    <w:p>
      <w:pPr>
        <w:pStyle w:val="Heading2"/>
        <w:spacing w:after="120" w:before="280"/>
      </w:pPr>
      <w:r>
        <w:rPr>
          <w:rFonts w:ascii="Arial" w:cs="Arial" w:eastAsia="Arial" w:hAnsi="Arial"/>
          <w:b/>
          <w:bCs/>
          <w:color w:val="2563EB"/>
          <w:sz w:val="26"/>
          <w:szCs w:val="26"/>
        </w:rPr>
        <w:t xml:space="preserve">2.3 Experimental Design Validity</w:t>
      </w:r>
    </w:p>
    <w:p>
      <w:pPr>
        <w:spacing w:after="160" w:line="320"/>
        <w:jc w:val="both"/>
      </w:pPr>
      <w:r>
        <w:rPr>
          <w:rFonts w:ascii="Arial" w:cs="Arial" w:eastAsia="Arial" w:hAnsi="Arial"/>
          <w:b w:val="false"/>
          <w:bCs w:val="false"/>
          <w:i w:val="false"/>
          <w:iCs w:val="false"/>
          <w:color w:val="000000"/>
          <w:sz w:val="22"/>
          <w:szCs w:val="22"/>
        </w:rPr>
        <w:t xml:space="preserve">The randomisation of the incrementality test is confirmed empirically. Logistic regression predicting treatment assignment from features f0-f11 yields an AUC-ROC of 0.5089 — statistically indistinguishable from random guessing. Propensity scores fall within the narrow range [0.827, 0.949] for both treated and control groups, with means of 0.8501 and 0.8497 respectively — a difference of just 0.0004. This near-perfect overlap satisfies the common support assumption and validates both difference-in-means and IPW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24"/>
              <w:bottom w:val="single" w:color="2563EB" w:sz="4"/>
              <w:right w:val="none" w:color="FFFFFF" w:sz="0"/>
            </w:tcBorders>
            <w:shd w:fill="DBEAFE" w:val="clear"/>
            <w:tcMar>
              <w:top w:type="dxa" w:w="120"/>
              <w:left w:type="dxa" w:w="200"/>
              <w:bottom w:type="dxa" w:w="120"/>
              <w:right w:type="dxa" w:w="200"/>
            </w:tcMar>
          </w:tcPr>
          <w:p>
            <w:r>
              <w:rPr>
                <w:rFonts w:ascii="Arial" w:cs="Arial" w:eastAsia="Arial" w:hAnsi="Arial"/>
                <w:i/>
                <w:iCs/>
                <w:color w:val="1E3A5F"/>
                <w:sz w:val="22"/>
                <w:szCs w:val="22"/>
              </w:rPr>
              <w:t xml:space="preserve">Key design insight: Because treatment is randomised, any difference in outcomes between treated and control groups is causally attributable to the ad — not to pre-existing differences between users. This eliminates confounding without the need for instrumental variables or regression discontinuity designs.</w:t>
            </w:r>
          </w:p>
        </w:tc>
      </w:tr>
    </w:tbl>
    <w:p>
      <w:r>
        <w:br w:type="page"/>
      </w:r>
    </w:p>
    <w:p>
      <w:pPr>
        <w:pStyle w:val="Heading1"/>
        <w:pBdr>
          <w:bottom w:val="single" w:color="2563EB" w:sz="6" w:space="4"/>
        </w:pBdr>
        <w:spacing w:after="180" w:before="360"/>
      </w:pPr>
      <w:r>
        <w:rPr>
          <w:rFonts w:ascii="Arial" w:cs="Arial" w:eastAsia="Arial" w:hAnsi="Arial"/>
          <w:b/>
          <w:bCs/>
          <w:color w:val="1E3A5F"/>
          <w:sz w:val="32"/>
          <w:szCs w:val="32"/>
        </w:rPr>
        <w:t xml:space="preserve">3. Methodology</w:t>
      </w:r>
    </w:p>
    <w:p>
      <w:pPr>
        <w:pStyle w:val="Heading2"/>
        <w:spacing w:after="120" w:before="280"/>
      </w:pPr>
      <w:r>
        <w:rPr>
          <w:rFonts w:ascii="Arial" w:cs="Arial" w:eastAsia="Arial" w:hAnsi="Arial"/>
          <w:b/>
          <w:bCs/>
          <w:color w:val="2563EB"/>
          <w:sz w:val="26"/>
          <w:szCs w:val="26"/>
        </w:rPr>
        <w:t xml:space="preserve">3.1 Average Treatment Effect — Difference in Means</w:t>
      </w:r>
    </w:p>
    <w:p>
      <w:pPr>
        <w:spacing w:after="160" w:line="320"/>
        <w:jc w:val="both"/>
      </w:pPr>
      <w:r>
        <w:rPr>
          <w:rFonts w:ascii="Arial" w:cs="Arial" w:eastAsia="Arial" w:hAnsi="Arial"/>
          <w:b w:val="false"/>
          <w:bCs w:val="false"/>
          <w:i w:val="false"/>
          <w:iCs w:val="false"/>
          <w:color w:val="000000"/>
          <w:sz w:val="22"/>
          <w:szCs w:val="22"/>
        </w:rPr>
        <w:t xml:space="preserve">Under random assignment, the Average Treatment Effect is identified by the simple difference in conditional means:</w:t>
      </w:r>
    </w:p>
    <w:p>
      <w:pPr>
        <w:spacing w:after="160"/>
        <w:jc w:val="center"/>
      </w:pPr>
      <w:r>
        <w:rPr>
          <w:rFonts w:ascii="Arial" w:cs="Arial" w:eastAsia="Arial" w:hAnsi="Arial"/>
          <w:b/>
          <w:bCs/>
          <w:i/>
          <w:iCs/>
          <w:color w:val="1E3A5F"/>
          <w:sz w:val="24"/>
          <w:szCs w:val="24"/>
        </w:rPr>
        <w:t xml:space="preserve">ATE = E[Y | T=1] - E[Y | T=0]</w:t>
      </w:r>
    </w:p>
    <w:p>
      <w:pPr>
        <w:spacing w:after="160" w:line="320"/>
        <w:jc w:val="both"/>
      </w:pPr>
      <w:r>
        <w:rPr>
          <w:rFonts w:ascii="Arial" w:cs="Arial" w:eastAsia="Arial" w:hAnsi="Arial"/>
          <w:b w:val="false"/>
          <w:bCs w:val="false"/>
          <w:i w:val="false"/>
          <w:iCs w:val="false"/>
          <w:color w:val="000000"/>
          <w:sz w:val="22"/>
          <w:szCs w:val="22"/>
        </w:rPr>
        <w:t xml:space="preserve">Statistical significance is assessed using a two-sample t-test under the null hypothesis H0: ATE = 0. A 95% confidence interval is constructed as ATE +/- 1.96 x SE, where SE = sqrt(Var1/n1 + Var2/n2). Practical significance is quantified using Cohen's h for proportions.</w:t>
      </w:r>
    </w:p>
    <w:p>
      <w:pPr>
        <w:pStyle w:val="Heading2"/>
        <w:spacing w:after="120" w:before="280"/>
      </w:pPr>
      <w:r>
        <w:rPr>
          <w:rFonts w:ascii="Arial" w:cs="Arial" w:eastAsia="Arial" w:hAnsi="Arial"/>
          <w:b/>
          <w:bCs/>
          <w:color w:val="2563EB"/>
          <w:sz w:val="26"/>
          <w:szCs w:val="26"/>
        </w:rPr>
        <w:t xml:space="preserve">3.2 Inverse Probability Weighting (IPW)</w:t>
      </w:r>
    </w:p>
    <w:p>
      <w:pPr>
        <w:spacing w:after="160" w:line="320"/>
        <w:jc w:val="both"/>
      </w:pPr>
      <w:r>
        <w:rPr>
          <w:rFonts w:ascii="Arial" w:cs="Arial" w:eastAsia="Arial" w:hAnsi="Arial"/>
          <w:b w:val="false"/>
          <w:bCs w:val="false"/>
          <w:i w:val="false"/>
          <w:iCs w:val="false"/>
          <w:color w:val="000000"/>
          <w:sz w:val="22"/>
          <w:szCs w:val="22"/>
        </w:rPr>
        <w:t xml:space="preserve">IPW provides a robustness check by reweighting users according to their propensity score e(x) = P(T=1 | X=x), estimated via Logistic Regression. The IPW estimator is:</w:t>
      </w:r>
    </w:p>
    <w:p>
      <w:pPr>
        <w:spacing w:after="160"/>
        <w:jc w:val="center"/>
      </w:pPr>
      <w:r>
        <w:rPr>
          <w:rFonts w:ascii="Arial" w:cs="Arial" w:eastAsia="Arial" w:hAnsi="Arial"/>
          <w:i/>
          <w:iCs/>
          <w:color w:val="1E3A5F"/>
          <w:sz w:val="22"/>
          <w:szCs w:val="22"/>
        </w:rPr>
        <w:t xml:space="preserve">ATE_IPW = (1/n) * SUM [ D_i*Y_i/e(x_i) - (1-D_i)*Y_i/(1-e(x_i)) ]</w:t>
      </w:r>
    </w:p>
    <w:p>
      <w:pPr>
        <w:spacing w:after="160" w:line="320"/>
        <w:jc w:val="both"/>
      </w:pPr>
      <w:r>
        <w:rPr>
          <w:rFonts w:ascii="Arial" w:cs="Arial" w:eastAsia="Arial" w:hAnsi="Arial"/>
          <w:b w:val="false"/>
          <w:bCs w:val="false"/>
          <w:i w:val="false"/>
          <w:iCs w:val="false"/>
          <w:color w:val="000000"/>
          <w:sz w:val="22"/>
          <w:szCs w:val="22"/>
        </w:rPr>
        <w:t xml:space="preserve">Propensity scores are clipped at [0.01, 0.99] to prevent extreme weights. Convergence of IPW and naive ATE estimates validates the causal identification strategy.</w:t>
      </w:r>
    </w:p>
    <w:p>
      <w:pPr>
        <w:pStyle w:val="Heading2"/>
        <w:spacing w:after="120" w:before="280"/>
      </w:pPr>
      <w:r>
        <w:rPr>
          <w:rFonts w:ascii="Arial" w:cs="Arial" w:eastAsia="Arial" w:hAnsi="Arial"/>
          <w:b/>
          <w:bCs/>
          <w:color w:val="2563EB"/>
          <w:sz w:val="26"/>
          <w:szCs w:val="26"/>
        </w:rPr>
        <w:t xml:space="preserve">3.3 S-Learner (Single Model CATE)</w:t>
      </w:r>
    </w:p>
    <w:p>
      <w:pPr>
        <w:spacing w:after="160" w:line="320"/>
        <w:jc w:val="both"/>
      </w:pPr>
      <w:r>
        <w:rPr>
          <w:rFonts w:ascii="Arial" w:cs="Arial" w:eastAsia="Arial" w:hAnsi="Arial"/>
          <w:b w:val="false"/>
          <w:bCs w:val="false"/>
          <w:i w:val="false"/>
          <w:iCs w:val="false"/>
          <w:color w:val="000000"/>
          <w:sz w:val="22"/>
          <w:szCs w:val="22"/>
        </w:rPr>
        <w:t xml:space="preserve">The S-Learner estimates the Conditional Average Treatment Effect by training a single predictive model m(X, T) that includes the treatment indicator as a feature. CATE is recovered by predicting each user twice:</w:t>
      </w:r>
    </w:p>
    <w:p>
      <w:pPr>
        <w:spacing w:after="160"/>
        <w:jc w:val="center"/>
      </w:pPr>
      <w:r>
        <w:rPr>
          <w:rFonts w:ascii="Arial" w:cs="Arial" w:eastAsia="Arial" w:hAnsi="Arial"/>
          <w:i/>
          <w:iCs/>
          <w:color w:val="1E3A5F"/>
          <w:sz w:val="22"/>
          <w:szCs w:val="22"/>
        </w:rPr>
        <w:t xml:space="preserve">CATE_S(x) = m(x, T=1) - m(x, T=0)</w:t>
      </w:r>
    </w:p>
    <w:p>
      <w:pPr>
        <w:spacing w:after="160" w:line="320"/>
        <w:jc w:val="both"/>
      </w:pPr>
      <w:r>
        <w:rPr>
          <w:rFonts w:ascii="Arial" w:cs="Arial" w:eastAsia="Arial" w:hAnsi="Arial"/>
          <w:b w:val="false"/>
          <w:bCs w:val="false"/>
          <w:i w:val="false"/>
          <w:iCs w:val="false"/>
          <w:color w:val="000000"/>
          <w:sz w:val="22"/>
          <w:szCs w:val="22"/>
        </w:rPr>
        <w:t xml:space="preserve">A Logistic Regression with L2 regularisation (C=1.0) is used as the base learner. The S-Learner is computationally efficient but may underestimate heterogeneity when the treatment effect is small relative to feature effects, as regularisation shrinks the treatment coefficient.</w:t>
      </w:r>
    </w:p>
    <w:p>
      <w:pPr>
        <w:pStyle w:val="Heading2"/>
        <w:spacing w:after="120" w:before="280"/>
      </w:pPr>
      <w:r>
        <w:rPr>
          <w:rFonts w:ascii="Arial" w:cs="Arial" w:eastAsia="Arial" w:hAnsi="Arial"/>
          <w:b/>
          <w:bCs/>
          <w:color w:val="2563EB"/>
          <w:sz w:val="26"/>
          <w:szCs w:val="26"/>
        </w:rPr>
        <w:t xml:space="preserve">3.4 T-Learner (Two Model CATE)</w:t>
      </w:r>
    </w:p>
    <w:p>
      <w:pPr>
        <w:spacing w:after="160" w:line="320"/>
        <w:jc w:val="both"/>
      </w:pPr>
      <w:r>
        <w:rPr>
          <w:rFonts w:ascii="Arial" w:cs="Arial" w:eastAsia="Arial" w:hAnsi="Arial"/>
          <w:b w:val="false"/>
          <w:bCs w:val="false"/>
          <w:i w:val="false"/>
          <w:iCs w:val="false"/>
          <w:color w:val="000000"/>
          <w:sz w:val="22"/>
          <w:szCs w:val="22"/>
        </w:rPr>
        <w:t xml:space="preserve">The T-Learner trains two separate models — one on treated users, one on control users — then computes CATE as the difference in their predictions for every user:</w:t>
      </w:r>
    </w:p>
    <w:p>
      <w:pPr>
        <w:spacing w:after="160"/>
        <w:jc w:val="center"/>
      </w:pPr>
      <w:r>
        <w:rPr>
          <w:rFonts w:ascii="Arial" w:cs="Arial" w:eastAsia="Arial" w:hAnsi="Arial"/>
          <w:i/>
          <w:iCs/>
          <w:color w:val="1E3A5F"/>
          <w:sz w:val="22"/>
          <w:szCs w:val="22"/>
        </w:rPr>
        <w:t xml:space="preserve">CATE_T(x) = mu_1(x) - mu_0(x)</w:t>
      </w:r>
    </w:p>
    <w:p>
      <w:pPr>
        <w:spacing w:after="160" w:line="320"/>
        <w:jc w:val="both"/>
      </w:pPr>
      <w:r>
        <w:rPr>
          <w:rFonts w:ascii="Arial" w:cs="Arial" w:eastAsia="Arial" w:hAnsi="Arial"/>
          <w:b w:val="false"/>
          <w:bCs w:val="false"/>
          <w:i w:val="false"/>
          <w:iCs w:val="false"/>
          <w:color w:val="000000"/>
          <w:sz w:val="22"/>
          <w:szCs w:val="22"/>
        </w:rPr>
        <w:t xml:space="preserve">where mu_1(x) = E[Y | X=x, T=1] and mu_0(x) = E[Y | X=x, T=0]. This approach allows each model to specialise fully on its group, capturing richer heterogeneity. The 85/15 treatment split provides sufficient control group data (20,995 training users) for stable estimation.</w:t>
      </w:r>
    </w:p>
    <w:p>
      <w:pPr>
        <w:pStyle w:val="Heading2"/>
        <w:spacing w:after="120" w:before="280"/>
      </w:pPr>
      <w:r>
        <w:rPr>
          <w:rFonts w:ascii="Arial" w:cs="Arial" w:eastAsia="Arial" w:hAnsi="Arial"/>
          <w:b/>
          <w:bCs/>
          <w:color w:val="2563EB"/>
          <w:sz w:val="26"/>
          <w:szCs w:val="26"/>
        </w:rPr>
        <w:t xml:space="preserve">3.5 Uplift Curve Evaluation</w:t>
      </w:r>
    </w:p>
    <w:p>
      <w:pPr>
        <w:spacing w:after="160" w:line="320"/>
        <w:jc w:val="both"/>
      </w:pPr>
      <w:r>
        <w:rPr>
          <w:rFonts w:ascii="Arial" w:cs="Arial" w:eastAsia="Arial" w:hAnsi="Arial"/>
          <w:b w:val="false"/>
          <w:bCs w:val="false"/>
          <w:i w:val="false"/>
          <w:iCs w:val="false"/>
          <w:color w:val="000000"/>
          <w:sz w:val="22"/>
          <w:szCs w:val="22"/>
        </w:rPr>
        <w:t xml:space="preserve">Model performance is evaluated using uplift curves and the Qini coefficient. Users are ranked by predicted CATE from highest to lowest. The uplift curve plots cumulative incremental outcomes against the fraction of population targeted. The Qini coefficient measures the area between the model curve and the random baseline — a higher Qini indicates better identification of Persuadables.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624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Difference-in-means + t-test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Estimate and test average causal effect (RQ1)</w:t>
            </w:r>
          </w:p>
        </w:tc>
      </w:tr>
      <w:tr>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Inverse Probability Weighting</w:t>
            </w:r>
          </w:p>
        </w:tc>
        <w:tc>
          <w:tcPr>
            <w:tcW w:type="dxa" w:w="62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Robustness check for ATE — corrects for any imbalance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S-Learner</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Conservative CATE estimation — individual treatment effects (RQ2)</w:t>
            </w:r>
          </w:p>
        </w:tc>
      </w:tr>
      <w:tr>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T-Learner</w:t>
            </w:r>
          </w:p>
        </w:tc>
        <w:tc>
          <w:tcPr>
            <w:tcW w:type="dxa" w:w="62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Flexible CATE estimation — finds negative effects (Sleeping Dogs)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Uplift Curves + Qini</w:t>
            </w:r>
          </w:p>
        </w:tc>
        <w:tc>
          <w:tcPr>
            <w:tcW w:type="dxa" w:w="6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Evaluate targeting efficiency and model quality</w:t>
            </w:r>
          </w:p>
        </w:tc>
      </w:tr>
    </w:tbl>
    <w:p>
      <w:r>
        <w:br w:type="page"/>
      </w:r>
    </w:p>
    <w:p>
      <w:pPr>
        <w:pStyle w:val="Heading1"/>
        <w:pBdr>
          <w:bottom w:val="single" w:color="2563EB" w:sz="6" w:space="4"/>
        </w:pBdr>
        <w:spacing w:after="180" w:before="360"/>
      </w:pPr>
      <w:r>
        <w:rPr>
          <w:rFonts w:ascii="Arial" w:cs="Arial" w:eastAsia="Arial" w:hAnsi="Arial"/>
          <w:b/>
          <w:bCs/>
          <w:color w:val="1E3A5F"/>
          <w:sz w:val="32"/>
          <w:szCs w:val="32"/>
        </w:rPr>
        <w:t xml:space="preserve">4. Exploratory Data Analysis</w:t>
      </w:r>
    </w:p>
    <w:p>
      <w:pPr>
        <w:pStyle w:val="Heading2"/>
        <w:spacing w:after="120" w:before="280"/>
      </w:pPr>
      <w:r>
        <w:rPr>
          <w:rFonts w:ascii="Arial" w:cs="Arial" w:eastAsia="Arial" w:hAnsi="Arial"/>
          <w:b/>
          <w:bCs/>
          <w:color w:val="2563EB"/>
          <w:sz w:val="26"/>
          <w:szCs w:val="26"/>
        </w:rPr>
        <w:t xml:space="preserve">4.1 Experimental Balance</w:t>
      </w:r>
    </w:p>
    <w:p>
      <w:pPr>
        <w:spacing w:after="160" w:line="320"/>
        <w:jc w:val="both"/>
      </w:pPr>
      <w:r>
        <w:rPr>
          <w:rFonts w:ascii="Arial" w:cs="Arial" w:eastAsia="Arial" w:hAnsi="Arial"/>
          <w:b w:val="false"/>
          <w:bCs w:val="false"/>
          <w:i w:val="false"/>
          <w:iCs w:val="false"/>
          <w:color w:val="000000"/>
          <w:sz w:val="22"/>
          <w:szCs w:val="22"/>
        </w:rPr>
        <w:t xml:space="preserve">The 200,000-user sample reproduces the full dataset's treatment ratio faithfully. The treatment group contains 169,935 users (85.0%) and the control group contains 30,065 users (15.0%). Propensity scores are virtually identical across groups (mean treated: 0.8501, mean control: 0.8497), confirming successful randomisation.</w:t>
      </w:r>
    </w:p>
    <w:p>
      <w:pPr>
        <w:pStyle w:val="Heading2"/>
        <w:spacing w:after="120" w:before="280"/>
      </w:pPr>
      <w:r>
        <w:rPr>
          <w:rFonts w:ascii="Arial" w:cs="Arial" w:eastAsia="Arial" w:hAnsi="Arial"/>
          <w:b/>
          <w:bCs/>
          <w:color w:val="2563EB"/>
          <w:sz w:val="26"/>
          <w:szCs w:val="26"/>
        </w:rPr>
        <w:t xml:space="preserve">4.2 Outcome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234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Control</w:t>
            </w:r>
          </w:p>
        </w:tc>
        <w:tc>
          <w:tcPr>
            <w:tcW w:type="dxa" w:w="234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Treatment</w:t>
            </w:r>
          </w:p>
        </w:tc>
        <w:tc>
          <w:tcPr>
            <w:tcW w:type="dxa" w:w="234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Raw Uplift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Visit Rate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3.885%</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4.912%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59669"/>
                <w:sz w:val="20"/>
                <w:szCs w:val="20"/>
              </w:rPr>
              <w:t xml:space="preserve">+1.027 pp</w:t>
            </w:r>
          </w:p>
        </w:tc>
      </w:tr>
      <w:tr>
        <w:tc>
          <w:tcPr>
            <w:tcW w:type="dxa" w:w="23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Conversion Rate</w:t>
            </w:r>
          </w:p>
        </w:tc>
        <w:tc>
          <w:tcPr>
            <w:tcW w:type="dxa" w:w="23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0.180%</w:t>
            </w:r>
          </w:p>
        </w:tc>
        <w:tc>
          <w:tcPr>
            <w:tcW w:type="dxa" w:w="23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0.347%</w:t>
            </w:r>
          </w:p>
        </w:tc>
        <w:tc>
          <w:tcPr>
            <w:tcW w:type="dxa" w:w="23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bCs/>
                <w:i w:val="false"/>
                <w:iCs w:val="false"/>
                <w:color w:val="059669"/>
                <w:sz w:val="20"/>
                <w:szCs w:val="20"/>
              </w:rPr>
              <w:t xml:space="preserve">+0.167 pp</w:t>
            </w:r>
          </w:p>
        </w:tc>
      </w:tr>
    </w:tbl>
    <w:p>
      <w:pPr>
        <w:spacing w:after="0"/>
      </w:pPr>
      <w:r>
        <w:t xml:space="preserve"/>
      </w:r>
    </w:p>
    <w:p>
      <w:pPr>
        <w:pStyle w:val="Heading2"/>
        <w:spacing w:after="120" w:before="280"/>
      </w:pPr>
      <w:r>
        <w:rPr>
          <w:rFonts w:ascii="Arial" w:cs="Arial" w:eastAsia="Arial" w:hAnsi="Arial"/>
          <w:b/>
          <w:bCs/>
          <w:color w:val="2563EB"/>
          <w:sz w:val="26"/>
          <w:szCs w:val="26"/>
        </w:rPr>
        <w:t xml:space="preserve">4.3 Feature Structure</w:t>
      </w:r>
    </w:p>
    <w:p>
      <w:pPr>
        <w:spacing w:after="160" w:line="320"/>
        <w:jc w:val="both"/>
      </w:pPr>
      <w:r>
        <w:rPr>
          <w:rFonts w:ascii="Arial" w:cs="Arial" w:eastAsia="Arial" w:hAnsi="Arial"/>
          <w:b w:val="false"/>
          <w:bCs w:val="false"/>
          <w:i w:val="false"/>
          <w:iCs w:val="false"/>
          <w:color w:val="000000"/>
          <w:sz w:val="22"/>
          <w:szCs w:val="22"/>
        </w:rPr>
        <w:t xml:space="preserve">All 12 features (f0-f11) are continuous float values with varying ranges and distributional shapes. Features f1 and f4 exhibit mild correlation with f0 and f2 respectively, suggesting possible underlying latent variables in user behaviour. Treated and control feature distributions overlap almost perfectly across all 12 dimensions, further confirming randomisation integrity. No missing values were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24"/>
              <w:bottom w:val="single" w:color="2563EB" w:sz="4"/>
              <w:right w:val="none" w:color="FFFFFF" w:sz="0"/>
            </w:tcBorders>
            <w:shd w:fill="DBEAFE" w:val="clear"/>
            <w:tcMar>
              <w:top w:type="dxa" w:w="120"/>
              <w:left w:type="dxa" w:w="200"/>
              <w:bottom w:type="dxa" w:w="120"/>
              <w:right w:type="dxa" w:w="200"/>
            </w:tcMar>
          </w:tcPr>
          <w:p>
            <w:r>
              <w:rPr>
                <w:rFonts w:ascii="Arial" w:cs="Arial" w:eastAsia="Arial" w:hAnsi="Arial"/>
                <w:i/>
                <w:iCs/>
                <w:color w:val="1E3A5F"/>
                <w:sz w:val="22"/>
                <w:szCs w:val="22"/>
              </w:rPr>
              <w:t xml:space="preserve">EDA finding: The propensity score AUC of 0.5089 — barely above chance — is the strongest possible confirmation of randomisation quality. In an observational study, this would be alarming. In an RCT, it is the desired result.</w:t>
            </w:r>
          </w:p>
        </w:tc>
      </w:tr>
    </w:tbl>
    <w:p>
      <w:r>
        <w:br w:type="page"/>
      </w:r>
    </w:p>
    <w:p>
      <w:pPr>
        <w:pStyle w:val="Heading1"/>
        <w:pBdr>
          <w:bottom w:val="single" w:color="2563EB" w:sz="6" w:space="4"/>
        </w:pBdr>
        <w:spacing w:after="180" w:before="360"/>
      </w:pPr>
      <w:r>
        <w:rPr>
          <w:rFonts w:ascii="Arial" w:cs="Arial" w:eastAsia="Arial" w:hAnsi="Arial"/>
          <w:b/>
          <w:bCs/>
          <w:color w:val="1E3A5F"/>
          <w:sz w:val="32"/>
          <w:szCs w:val="32"/>
        </w:rPr>
        <w:t xml:space="preserve">5. Average Treatment Effect Results</w:t>
      </w:r>
    </w:p>
    <w:p>
      <w:pPr>
        <w:pStyle w:val="Heading2"/>
        <w:spacing w:after="120" w:before="280"/>
      </w:pPr>
      <w:r>
        <w:rPr>
          <w:rFonts w:ascii="Arial" w:cs="Arial" w:eastAsia="Arial" w:hAnsi="Arial"/>
          <w:b/>
          <w:bCs/>
          <w:color w:val="2563EB"/>
          <w:sz w:val="26"/>
          <w:szCs w:val="26"/>
        </w:rPr>
        <w:t xml:space="preserve">5.1 Visit Outcome</w:t>
      </w:r>
    </w:p>
    <w:p>
      <w:pPr>
        <w:spacing w:after="160" w:line="320"/>
        <w:jc w:val="both"/>
      </w:pPr>
      <w:r>
        <w:rPr>
          <w:rFonts w:ascii="Arial" w:cs="Arial" w:eastAsia="Arial" w:hAnsi="Arial"/>
          <w:b w:val="false"/>
          <w:bCs w:val="false"/>
          <w:i w:val="false"/>
          <w:iCs w:val="false"/>
          <w:color w:val="000000"/>
          <w:sz w:val="22"/>
          <w:szCs w:val="22"/>
        </w:rPr>
        <w:t xml:space="preserve">The ad campaign produces a statistically significant positive effect on website visits. Treated users visit the retailer site at a rate of 4.912% compared to 3.885% for control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468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Control visit rate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0.0388</w:t>
            </w:r>
          </w:p>
        </w:tc>
      </w:tr>
      <w:tr>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Treatment visit rate</w:t>
            </w:r>
          </w:p>
        </w:tc>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0.0491</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ATE (visit)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59669"/>
                <w:sz w:val="20"/>
                <w:szCs w:val="20"/>
              </w:rPr>
              <w:t xml:space="preserve">+0.0103</w:t>
            </w:r>
          </w:p>
        </w:tc>
      </w:tr>
      <w:tr>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95% Confidence Interval</w:t>
            </w:r>
          </w:p>
        </w:tc>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[+0.0079, +0.0127]</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t-statistic</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7.7120</w:t>
            </w:r>
          </w:p>
        </w:tc>
      </w:tr>
      <w:tr>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p-value</w:t>
            </w:r>
          </w:p>
        </w:tc>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bCs/>
                <w:i w:val="false"/>
                <w:iCs w:val="false"/>
                <w:color w:val="059669"/>
                <w:sz w:val="20"/>
                <w:szCs w:val="20"/>
              </w:rPr>
              <w:t xml:space="preserve">&lt; 0.000001</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Cohen's h (effect size)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0.0502 (small)</w:t>
            </w:r>
          </w:p>
        </w:tc>
      </w:tr>
      <w:tr>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Relative lift</w:t>
            </w:r>
          </w:p>
        </w:tc>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bCs/>
                <w:i w:val="false"/>
                <w:iCs w:val="false"/>
                <w:color w:val="059669"/>
                <w:sz w:val="20"/>
                <w:szCs w:val="20"/>
              </w:rPr>
              <w:t xml:space="preserve">+26.4%</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Statistically significant?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59669"/>
                <w:sz w:val="20"/>
                <w:szCs w:val="20"/>
              </w:rPr>
              <w:t xml:space="preserve">YES (p &lt; 0.05)</w:t>
            </w:r>
          </w:p>
        </w:tc>
      </w:tr>
    </w:tbl>
    <w:p>
      <w:pPr>
        <w:spacing w:after="0"/>
      </w:pPr>
      <w:r>
        <w:t xml:space="preserve"/>
      </w:r>
    </w:p>
    <w:p>
      <w:pPr>
        <w:pStyle w:val="Heading2"/>
        <w:spacing w:after="120" w:before="280"/>
      </w:pPr>
      <w:r>
        <w:rPr>
          <w:rFonts w:ascii="Arial" w:cs="Arial" w:eastAsia="Arial" w:hAnsi="Arial"/>
          <w:b/>
          <w:bCs/>
          <w:color w:val="2563EB"/>
          <w:sz w:val="26"/>
          <w:szCs w:val="26"/>
        </w:rPr>
        <w:t xml:space="preserve">5.2 Conversion Outcome</w:t>
      </w:r>
    </w:p>
    <w:p>
      <w:pPr>
        <w:spacing w:after="160" w:line="320"/>
        <w:jc w:val="both"/>
      </w:pPr>
      <w:r>
        <w:rPr>
          <w:rFonts w:ascii="Arial" w:cs="Arial" w:eastAsia="Arial" w:hAnsi="Arial"/>
          <w:b w:val="false"/>
          <w:bCs w:val="false"/>
          <w:i w:val="false"/>
          <w:iCs w:val="false"/>
          <w:color w:val="000000"/>
          <w:sz w:val="22"/>
          <w:szCs w:val="22"/>
        </w:rPr>
        <w:t xml:space="preserve">The conversion result is equally significant. The treatment group converts at 0.347% versus 0.180% for the control group — a near-doubling of the purchase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468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Control conversion rate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0.0018</w:t>
            </w:r>
          </w:p>
        </w:tc>
      </w:tr>
      <w:tr>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Treatment conversion rate</w:t>
            </w:r>
          </w:p>
        </w:tc>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0.0035</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ATE (conversion)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59669"/>
                <w:sz w:val="20"/>
                <w:szCs w:val="20"/>
              </w:rPr>
              <w:t xml:space="preserve">+0.0017</w:t>
            </w:r>
          </w:p>
        </w:tc>
      </w:tr>
      <w:tr>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95% Confidence Interval</w:t>
            </w:r>
          </w:p>
        </w:tc>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[+0.0011, +0.0022]</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t-statistic</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4.7150</w:t>
            </w:r>
          </w:p>
        </w:tc>
      </w:tr>
      <w:tr>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p-value</w:t>
            </w:r>
          </w:p>
        </w:tc>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bCs/>
                <w:i w:val="false"/>
                <w:iCs w:val="false"/>
                <w:color w:val="059669"/>
                <w:sz w:val="20"/>
                <w:szCs w:val="20"/>
              </w:rPr>
              <w:t xml:space="preserve">0.000002</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Cohen's h (effect size)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0.0330 (small)</w:t>
            </w:r>
          </w:p>
        </w:tc>
      </w:tr>
      <w:tr>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Relative lift</w:t>
            </w:r>
          </w:p>
        </w:tc>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bCs/>
                <w:i w:val="false"/>
                <w:iCs w:val="false"/>
                <w:color w:val="059669"/>
                <w:sz w:val="20"/>
                <w:szCs w:val="20"/>
              </w:rPr>
              <w:t xml:space="preserve">+93.0%</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Statistically significant?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59669"/>
                <w:sz w:val="20"/>
                <w:szCs w:val="20"/>
              </w:rPr>
              <w:t xml:space="preserve">YES (p &lt; 0.05)</w:t>
            </w:r>
          </w:p>
        </w:tc>
      </w:tr>
    </w:tbl>
    <w:p>
      <w:pPr>
        <w:spacing w:after="0"/>
      </w:pPr>
      <w:r>
        <w:t xml:space="preserve"/>
      </w:r>
    </w:p>
    <w:p>
      <w:pPr>
        <w:pStyle w:val="Heading2"/>
        <w:spacing w:after="120" w:before="280"/>
      </w:pPr>
      <w:r>
        <w:rPr>
          <w:rFonts w:ascii="Arial" w:cs="Arial" w:eastAsia="Arial" w:hAnsi="Arial"/>
          <w:b/>
          <w:bCs/>
          <w:color w:val="2563EB"/>
          <w:sz w:val="26"/>
          <w:szCs w:val="26"/>
        </w:rPr>
        <w:t xml:space="preserve">5.3 Interpretation</w:t>
      </w:r>
    </w:p>
    <w:p>
      <w:pPr>
        <w:spacing w:after="160" w:line="320"/>
        <w:jc w:val="both"/>
      </w:pPr>
      <w:r>
        <w:rPr>
          <w:rFonts w:ascii="Arial" w:cs="Arial" w:eastAsia="Arial" w:hAnsi="Arial"/>
          <w:b w:val="false"/>
          <w:bCs w:val="false"/>
          <w:i w:val="false"/>
          <w:iCs w:val="false"/>
          <w:color w:val="000000"/>
          <w:sz w:val="22"/>
          <w:szCs w:val="22"/>
        </w:rPr>
        <w:t xml:space="preserve">Both outcomes yield p-values effectively equal to zero, rejecting the null hypothesis of no treatment effect with overwhelming confidence. The 95% confidence intervals exclude zero entirely for both outcomes, confirming the direction and magnitude of the effect.</w:t>
      </w:r>
    </w:p>
    <w:p>
      <w:pPr>
        <w:spacing w:after="160" w:line="320"/>
        <w:jc w:val="both"/>
      </w:pPr>
      <w:r>
        <w:rPr>
          <w:rFonts w:ascii="Arial" w:cs="Arial" w:eastAsia="Arial" w:hAnsi="Arial"/>
          <w:b w:val="false"/>
          <w:bCs w:val="false"/>
          <w:i w:val="false"/>
          <w:iCs w:val="false"/>
          <w:color w:val="000000"/>
          <w:sz w:val="22"/>
          <w:szCs w:val="22"/>
        </w:rPr>
        <w:t xml:space="preserve">The effect sizes are classified as small by Cohen's h — consistent with the digital advertising literature where individual-level effects are inherently modest. The commercially relevant metric is the relative lift: a 26.4% increase in visits and a 93.0% increase in conversions represent substantial business impact when applied at scale across millions of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24"/>
              <w:bottom w:val="single" w:color="2563EB" w:sz="4"/>
              <w:right w:val="none" w:color="FFFFFF" w:sz="0"/>
            </w:tcBorders>
            <w:shd w:fill="DBEAFE" w:val="clear"/>
            <w:tcMar>
              <w:top w:type="dxa" w:w="120"/>
              <w:left w:type="dxa" w:w="200"/>
              <w:bottom w:type="dxa" w:w="120"/>
              <w:right w:type="dxa" w:w="200"/>
            </w:tcMar>
          </w:tcPr>
          <w:p>
            <w:r>
              <w:rPr>
                <w:rFonts w:ascii="Arial" w:cs="Arial" w:eastAsia="Arial" w:hAnsi="Arial"/>
                <w:i/>
                <w:iCs/>
                <w:color w:val="1E3A5F"/>
                <w:sz w:val="22"/>
                <w:szCs w:val="22"/>
              </w:rPr>
              <w:t xml:space="preserve">Key finding (RQ1): The ad campaign causally increases website visits by 1.03 percentage points (+26.4% relative lift) and nearly doubles the conversion rate (+93.0% relative lift). Both effects are statistically significant at the 0.1% level.</w:t>
            </w:r>
          </w:p>
        </w:tc>
      </w:tr>
    </w:tbl>
    <w:p>
      <w:r>
        <w:br w:type="page"/>
      </w:r>
    </w:p>
    <w:p>
      <w:pPr>
        <w:pStyle w:val="Heading1"/>
        <w:pBdr>
          <w:bottom w:val="single" w:color="2563EB" w:sz="6" w:space="4"/>
        </w:pBdr>
        <w:spacing w:after="180" w:before="360"/>
      </w:pPr>
      <w:r>
        <w:rPr>
          <w:rFonts w:ascii="Arial" w:cs="Arial" w:eastAsia="Arial" w:hAnsi="Arial"/>
          <w:b/>
          <w:bCs/>
          <w:color w:val="1E3A5F"/>
          <w:sz w:val="32"/>
          <w:szCs w:val="32"/>
        </w:rPr>
        <w:t xml:space="preserve">6. Inverse Probability Weighting Results</w:t>
      </w:r>
    </w:p>
    <w:p>
      <w:pPr>
        <w:pStyle w:val="Heading2"/>
        <w:spacing w:after="120" w:before="280"/>
      </w:pPr>
      <w:r>
        <w:rPr>
          <w:rFonts w:ascii="Arial" w:cs="Arial" w:eastAsia="Arial" w:hAnsi="Arial"/>
          <w:b/>
          <w:bCs/>
          <w:color w:val="2563EB"/>
          <w:sz w:val="26"/>
          <w:szCs w:val="26"/>
        </w:rPr>
        <w:t xml:space="preserve">6.1 Propensity Score Model</w:t>
      </w:r>
    </w:p>
    <w:p>
      <w:pPr>
        <w:spacing w:after="160" w:line="320"/>
        <w:jc w:val="both"/>
      </w:pPr>
      <w:r>
        <w:rPr>
          <w:rFonts w:ascii="Arial" w:cs="Arial" w:eastAsia="Arial" w:hAnsi="Arial"/>
          <w:b w:val="false"/>
          <w:bCs w:val="false"/>
          <w:i w:val="false"/>
          <w:iCs w:val="false"/>
          <w:color w:val="000000"/>
          <w:sz w:val="22"/>
          <w:szCs w:val="22"/>
        </w:rPr>
        <w:t xml:space="preserve">A Logistic Regression trained on features f0-f11 to predict treatment assignment yields an AUC-ROC of 0.5089 on the held-out test set (60,000 users). Propensity scores range from 0.827 to 0.949, concentrated in a narrow band consistent with the 85/15 treatment split. The near-chance AUC confirms that treatment assignment is effectively independent of user features.</w:t>
      </w:r>
    </w:p>
    <w:p>
      <w:pPr>
        <w:pStyle w:val="Heading2"/>
        <w:spacing w:after="120" w:before="280"/>
      </w:pPr>
      <w:r>
        <w:rPr>
          <w:rFonts w:ascii="Arial" w:cs="Arial" w:eastAsia="Arial" w:hAnsi="Arial"/>
          <w:b/>
          <w:bCs/>
          <w:color w:val="2563EB"/>
          <w:sz w:val="26"/>
          <w:szCs w:val="26"/>
        </w:rPr>
        <w:t xml:space="preserve">6.2 IPW ATE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312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Visit</w:t>
            </w:r>
          </w:p>
        </w:tc>
        <w:tc>
          <w:tcPr>
            <w:tcW w:type="dxa" w:w="312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Conversion</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Naive ATE (Step 5)</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+0.0103</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+0.0017</w:t>
            </w:r>
          </w:p>
        </w:tc>
      </w:tr>
      <w:tr>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IPW ATE</w:t>
            </w:r>
          </w:p>
        </w:tc>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+0.0080</w:t>
            </w:r>
          </w:p>
        </w:tc>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+0.0015</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Difference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-0.0022</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-0.0002</w:t>
            </w:r>
          </w:p>
        </w:tc>
      </w:tr>
      <w:tr>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Conclusion</w:t>
            </w:r>
          </w:p>
        </w:tc>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Minor adjustment</w:t>
            </w:r>
          </w:p>
        </w:tc>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Results robust</w:t>
            </w:r>
          </w:p>
        </w:tc>
      </w:tr>
    </w:tbl>
    <w:p>
      <w:pPr>
        <w:spacing w:after="0"/>
      </w:pPr>
      <w:r>
        <w:t xml:space="preserve"/>
      </w:r>
    </w:p>
    <w:p>
      <w:pPr>
        <w:pStyle w:val="Heading2"/>
        <w:spacing w:after="120" w:before="280"/>
      </w:pPr>
      <w:r>
        <w:rPr>
          <w:rFonts w:ascii="Arial" w:cs="Arial" w:eastAsia="Arial" w:hAnsi="Arial"/>
          <w:b/>
          <w:bCs/>
          <w:color w:val="2563EB"/>
          <w:sz w:val="26"/>
          <w:szCs w:val="26"/>
        </w:rPr>
        <w:t xml:space="preserve">6.3 Interpretation</w:t>
      </w:r>
    </w:p>
    <w:p>
      <w:pPr>
        <w:spacing w:after="160" w:line="320"/>
        <w:jc w:val="both"/>
      </w:pPr>
      <w:r>
        <w:rPr>
          <w:rFonts w:ascii="Arial" w:cs="Arial" w:eastAsia="Arial" w:hAnsi="Arial"/>
          <w:b w:val="false"/>
          <w:bCs w:val="false"/>
          <w:i w:val="false"/>
          <w:iCs w:val="false"/>
          <w:color w:val="000000"/>
          <w:sz w:val="22"/>
          <w:szCs w:val="22"/>
        </w:rPr>
        <w:t xml:space="preserve">The IPW estimate for visits is +0.0080 — slightly below the naive estimate of +0.0103. This modest downward correction reflects the reweighting of control users, who receive large IPW weights of approximately 6.67 on average (range: 5.79 to 19.34) due to the 85/15 experimental design. Treated users receive near-unity weights of approximately 1.18 (range: 1.05 to 1.21).</w:t>
      </w:r>
    </w:p>
    <w:p>
      <w:pPr>
        <w:spacing w:after="160" w:line="320"/>
        <w:jc w:val="both"/>
      </w:pPr>
      <w:r>
        <w:rPr>
          <w:rFonts w:ascii="Arial" w:cs="Arial" w:eastAsia="Arial" w:hAnsi="Arial"/>
          <w:b w:val="false"/>
          <w:bCs w:val="false"/>
          <w:i w:val="false"/>
          <w:iCs w:val="false"/>
          <w:color w:val="000000"/>
          <w:sz w:val="22"/>
          <w:szCs w:val="22"/>
        </w:rPr>
        <w:t xml:space="preserve">For conversions, the IPW adjustment is negligible (-0.0002), indicating the naive estimate was already essentially unbiased. The convergence of naive and IPW estimates across both outcomes validates the causal identification strategy and strengthens confidence in the Step 5 ATE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24"/>
              <w:bottom w:val="single" w:color="2563EB" w:sz="4"/>
              <w:right w:val="none" w:color="FFFFFF" w:sz="0"/>
            </w:tcBorders>
            <w:shd w:fill="DBEAFE" w:val="clear"/>
            <w:tcMar>
              <w:top w:type="dxa" w:w="120"/>
              <w:left w:type="dxa" w:w="200"/>
              <w:bottom w:type="dxa" w:w="120"/>
              <w:right w:type="dxa" w:w="200"/>
            </w:tcMar>
          </w:tcPr>
          <w:p>
            <w:r>
              <w:rPr>
                <w:rFonts w:ascii="Arial" w:cs="Arial" w:eastAsia="Arial" w:hAnsi="Arial"/>
                <w:i/>
                <w:iCs/>
                <w:color w:val="1E3A5F"/>
                <w:sz w:val="22"/>
                <w:szCs w:val="22"/>
              </w:rPr>
              <w:t xml:space="preserve">Robustness finding: Two independent estimation methods — difference-in-means and IPW — reach the same conclusion. The ad increases visits by 0.8 to 1.0 percentage points and conversions by approximately 0.15 to 0.17 percentage points. The direction, magnitude, and significance are consistent across both approaches.</w:t>
            </w:r>
          </w:p>
        </w:tc>
      </w:tr>
    </w:tbl>
    <w:p>
      <w:r>
        <w:br w:type="page"/>
      </w:r>
    </w:p>
    <w:p>
      <w:pPr>
        <w:pStyle w:val="Heading1"/>
        <w:pBdr>
          <w:bottom w:val="single" w:color="2563EB" w:sz="6" w:space="4"/>
        </w:pBdr>
        <w:spacing w:after="180" w:before="360"/>
      </w:pPr>
      <w:r>
        <w:rPr>
          <w:rFonts w:ascii="Arial" w:cs="Arial" w:eastAsia="Arial" w:hAnsi="Arial"/>
          <w:b/>
          <w:bCs/>
          <w:color w:val="1E3A5F"/>
          <w:sz w:val="32"/>
          <w:szCs w:val="32"/>
        </w:rPr>
        <w:t xml:space="preserve">7. Heterogeneous Treatment Effect Results</w:t>
      </w:r>
    </w:p>
    <w:p>
      <w:pPr>
        <w:pStyle w:val="Heading2"/>
        <w:spacing w:after="120" w:before="280"/>
      </w:pPr>
      <w:r>
        <w:rPr>
          <w:rFonts w:ascii="Arial" w:cs="Arial" w:eastAsia="Arial" w:hAnsi="Arial"/>
          <w:b/>
          <w:bCs/>
          <w:color w:val="2563EB"/>
          <w:sz w:val="26"/>
          <w:szCs w:val="26"/>
        </w:rPr>
        <w:t xml:space="preserve">7.1 S-Learner</w:t>
      </w:r>
    </w:p>
    <w:p>
      <w:pPr>
        <w:spacing w:after="160" w:line="320"/>
        <w:jc w:val="both"/>
      </w:pPr>
      <w:r>
        <w:rPr>
          <w:rFonts w:ascii="Arial" w:cs="Arial" w:eastAsia="Arial" w:hAnsi="Arial"/>
          <w:b w:val="false"/>
          <w:bCs w:val="false"/>
          <w:i w:val="false"/>
          <w:iCs w:val="false"/>
          <w:color w:val="000000"/>
          <w:sz w:val="22"/>
          <w:szCs w:val="22"/>
        </w:rPr>
        <w:t xml:space="preserve">The S-Learner produces CATE estimates ranging from +0.0003 to +0.0636 across the 60,000-user test set. The mean CATE of +0.0072 is slightly below the naive ATE (+0.0103), reflecting the regularisation-induced shrinkage of the treatment coefficient in the single Logistic Regression model. The S-Learner classifies 100% of test users as Persuadables — a known limitation reflecting its inability to produce negative effect estimates under L2 regularisation.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312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S-Learner</w:t>
            </w:r>
          </w:p>
        </w:tc>
        <w:tc>
          <w:tcPr>
            <w:tcW w:type="dxa" w:w="312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T-Learner</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Mean CATE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+0.0072</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+0.0078</w:t>
            </w:r>
          </w:p>
        </w:tc>
      </w:tr>
      <w:tr>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Std CATE</w:t>
            </w:r>
          </w:p>
        </w:tc>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0.0138</w:t>
            </w:r>
          </w:p>
        </w:tc>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0.0232</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Min CATE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+0.0003</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DC2626"/>
                <w:sz w:val="20"/>
                <w:szCs w:val="20"/>
              </w:rPr>
              <w:t xml:space="preserve">-0.1526</w:t>
            </w:r>
          </w:p>
        </w:tc>
      </w:tr>
      <w:tr>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Max CATE</w:t>
            </w:r>
          </w:p>
        </w:tc>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+0.0636</w:t>
            </w:r>
          </w:p>
        </w:tc>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bCs/>
                <w:i w:val="false"/>
                <w:iCs w:val="false"/>
                <w:color w:val="059669"/>
                <w:sz w:val="20"/>
                <w:szCs w:val="20"/>
              </w:rPr>
              <w:t xml:space="preserve">+0.3339</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Persuadables (CATE &gt; 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100.0%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81.7%</w:t>
            </w:r>
          </w:p>
        </w:tc>
      </w:tr>
      <w:tr>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Others (CATE &lt;= 0)</w:t>
            </w:r>
          </w:p>
        </w:tc>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w:t>
            </w:r>
          </w:p>
        </w:tc>
        <w:tc>
          <w:tcPr>
            <w:tcW w:type="dxa" w:w="312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bCs/>
                <w:i w:val="false"/>
                <w:iCs w:val="false"/>
                <w:color w:val="DC2626"/>
                <w:sz w:val="20"/>
                <w:szCs w:val="20"/>
              </w:rPr>
              <w:t xml:space="preserve">18.3%</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Model correlation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0.7124 (between S and 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0.7124</w:t>
            </w:r>
          </w:p>
        </w:tc>
      </w:tr>
    </w:tbl>
    <w:p>
      <w:pPr>
        <w:spacing w:after="0"/>
      </w:pPr>
      <w:r>
        <w:t xml:space="preserve"/>
      </w:r>
    </w:p>
    <w:p>
      <w:pPr>
        <w:pStyle w:val="Heading2"/>
        <w:spacing w:after="120" w:before="280"/>
      </w:pPr>
      <w:r>
        <w:rPr>
          <w:rFonts w:ascii="Arial" w:cs="Arial" w:eastAsia="Arial" w:hAnsi="Arial"/>
          <w:b/>
          <w:bCs/>
          <w:color w:val="2563EB"/>
          <w:sz w:val="26"/>
          <w:szCs w:val="26"/>
        </w:rPr>
        <w:t xml:space="preserve">7.2 T-Learner</w:t>
      </w:r>
    </w:p>
    <w:p>
      <w:pPr>
        <w:spacing w:after="160" w:line="320"/>
        <w:jc w:val="both"/>
      </w:pPr>
      <w:r>
        <w:rPr>
          <w:rFonts w:ascii="Arial" w:cs="Arial" w:eastAsia="Arial" w:hAnsi="Arial"/>
          <w:b w:val="false"/>
          <w:bCs w:val="false"/>
          <w:i w:val="false"/>
          <w:iCs w:val="false"/>
          <w:color w:val="000000"/>
          <w:sz w:val="22"/>
          <w:szCs w:val="22"/>
        </w:rPr>
        <w:t xml:space="preserve">The T-Learner produces substantially wider CATE estimates, ranging from -0.1526 to +0.3339. This range reveals critical heterogeneity invisible to the S-Learner. The standard deviation of 0.0232 — versus 0.0138 for the S-Learner — reflects richer effect heterogeneity captured by two specialised models. Crucially, 18.3% of users receive negative CATE estimates, identifying the Sleeping Dog population that should be excluded from targeting.</w:t>
      </w:r>
    </w:p>
    <w:p>
      <w:pPr>
        <w:pStyle w:val="Heading2"/>
        <w:spacing w:after="120" w:before="280"/>
      </w:pPr>
      <w:r>
        <w:rPr>
          <w:rFonts w:ascii="Arial" w:cs="Arial" w:eastAsia="Arial" w:hAnsi="Arial"/>
          <w:b/>
          <w:bCs/>
          <w:color w:val="2563EB"/>
          <w:sz w:val="26"/>
          <w:szCs w:val="26"/>
        </w:rPr>
        <w:t xml:space="preserve">7.3 Model Agreement</w:t>
      </w:r>
    </w:p>
    <w:p>
      <w:pPr>
        <w:spacing w:after="160" w:line="320"/>
        <w:jc w:val="both"/>
      </w:pPr>
      <w:r>
        <w:rPr>
          <w:rFonts w:ascii="Arial" w:cs="Arial" w:eastAsia="Arial" w:hAnsi="Arial"/>
          <w:b w:val="false"/>
          <w:bCs w:val="false"/>
          <w:i w:val="false"/>
          <w:iCs w:val="false"/>
          <w:color w:val="000000"/>
          <w:sz w:val="22"/>
          <w:szCs w:val="22"/>
        </w:rPr>
        <w:t xml:space="preserve">The Pearson correlation between S-Learner and T-Learner CATE estimates is 0.7124 — indicating moderate to strong agreement. Decile analysis confirms that both models rank the top 10% of users (highest CATE) consistently, with mean CATE rising steeply in D9 and D10. This convergence at the top is the commercially relevant finding — both models identify the same high-value Persuadables.</w:t>
      </w:r>
    </w:p>
    <w:p>
      <w:pPr>
        <w:pStyle w:val="Heading2"/>
        <w:spacing w:after="120" w:before="280"/>
      </w:pPr>
      <w:r>
        <w:rPr>
          <w:rFonts w:ascii="Arial" w:cs="Arial" w:eastAsia="Arial" w:hAnsi="Arial"/>
          <w:b/>
          <w:bCs/>
          <w:color w:val="2563EB"/>
          <w:sz w:val="26"/>
          <w:szCs w:val="26"/>
        </w:rPr>
        <w:t xml:space="preserve">7.4 Feature-Level Heterogeneity</w:t>
      </w:r>
    </w:p>
    <w:p>
      <w:pPr>
        <w:spacing w:after="160" w:line="320"/>
        <w:jc w:val="both"/>
      </w:pPr>
      <w:r>
        <w:rPr>
          <w:rFonts w:ascii="Arial" w:cs="Arial" w:eastAsia="Arial" w:hAnsi="Arial"/>
          <w:b w:val="false"/>
          <w:bCs w:val="false"/>
          <w:i w:val="false"/>
          <w:iCs w:val="false"/>
          <w:color w:val="000000"/>
          <w:sz w:val="22"/>
          <w:szCs w:val="22"/>
        </w:rPr>
        <w:t xml:space="preserve">T-Learner CATE was analysed by feature quartile to identify which user characteristics drive treatment effect heterogeneity. Key patterns:</w:t>
      </w:r>
    </w:p>
    <w:p>
      <w:pPr>
        <w:pStyle w:val="ListParagraph"/>
        <w:numPr>
          <w:ilvl w:val="0"/>
          <w:numId w:val="2"/>
        </w:numPr>
        <w:spacing w:after="100" w:line="300"/>
      </w:pPr>
      <w:r>
        <w:rPr>
          <w:rFonts w:ascii="Arial" w:cs="Arial" w:eastAsia="Arial" w:hAnsi="Arial"/>
          <w:b w:val="false"/>
          <w:bCs w:val="false"/>
          <w:color w:val="000000"/>
          <w:sz w:val="22"/>
          <w:szCs w:val="22"/>
        </w:rPr>
        <w:t xml:space="preserve">f1 and f9: Strongly increasing CATE — users in Q4 have estimated uplift up to 14% and 6% respectively. These features identify the highest-value Persuadables.</w:t>
      </w:r>
    </w:p>
    <w:p>
      <w:pPr>
        <w:pStyle w:val="ListParagraph"/>
        <w:numPr>
          <w:ilvl w:val="0"/>
          <w:numId w:val="2"/>
        </w:numPr>
        <w:spacing w:after="100" w:line="300"/>
      </w:pPr>
      <w:r>
        <w:rPr>
          <w:rFonts w:ascii="Arial" w:cs="Arial" w:eastAsia="Arial" w:hAnsi="Arial"/>
          <w:b w:val="false"/>
          <w:bCs w:val="false"/>
          <w:color w:val="000000"/>
          <w:sz w:val="22"/>
          <w:szCs w:val="22"/>
        </w:rPr>
        <w:t xml:space="preserve">f0, f5, f6, f8, f10, f11: Decreasing CATE — users with LOW values of these features respond more strongly. Q1 users are the priority targeting segment for these dimensions.</w:t>
      </w:r>
    </w:p>
    <w:p>
      <w:pPr>
        <w:pStyle w:val="ListParagraph"/>
        <w:numPr>
          <w:ilvl w:val="0"/>
          <w:numId w:val="2"/>
        </w:numPr>
        <w:spacing w:after="100" w:line="300"/>
      </w:pPr>
      <w:r>
        <w:rPr>
          <w:rFonts w:ascii="Arial" w:cs="Arial" w:eastAsia="Arial" w:hAnsi="Arial"/>
          <w:b w:val="false"/>
          <w:bCs w:val="false"/>
          <w:color w:val="000000"/>
          <w:sz w:val="22"/>
          <w:szCs w:val="22"/>
        </w:rPr>
        <w:t xml:space="preserve">f4 and f7: Non-monotonic — CATE peaks at Q3 and Q2 respectively, indicating a sweet spot that linear models would miss.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24"/>
              <w:bottom w:val="single" w:color="2563EB" w:sz="4"/>
              <w:right w:val="none" w:color="FFFFFF" w:sz="0"/>
            </w:tcBorders>
            <w:shd w:fill="DBEAFE" w:val="clear"/>
            <w:tcMar>
              <w:top w:type="dxa" w:w="120"/>
              <w:left w:type="dxa" w:w="200"/>
              <w:bottom w:type="dxa" w:w="120"/>
              <w:right w:type="dxa" w:w="200"/>
            </w:tcMar>
          </w:tcPr>
          <w:p>
            <w:r>
              <w:rPr>
                <w:rFonts w:ascii="Arial" w:cs="Arial" w:eastAsia="Arial" w:hAnsi="Arial"/>
                <w:i/>
                <w:iCs/>
                <w:color w:val="1E3A5F"/>
                <w:sz w:val="22"/>
                <w:szCs w:val="22"/>
              </w:rPr>
              <w:t xml:space="preserve">Key finding (RQ2): Treatment effects are highly heterogeneous, ranging from -15 to +33 percentage points. 18.3% of users have negative estimated CATE and should not be targeted. Features f1 and f9 are the strongest positive predictors of high treatment response.</w:t>
            </w:r>
          </w:p>
        </w:tc>
      </w:tr>
    </w:tbl>
    <w:p>
      <w:r>
        <w:br w:type="page"/>
      </w:r>
    </w:p>
    <w:p>
      <w:pPr>
        <w:pStyle w:val="Heading1"/>
        <w:pBdr>
          <w:bottom w:val="single" w:color="2563EB" w:sz="6" w:space="4"/>
        </w:pBdr>
        <w:spacing w:after="180" w:before="360"/>
      </w:pPr>
      <w:r>
        <w:rPr>
          <w:rFonts w:ascii="Arial" w:cs="Arial" w:eastAsia="Arial" w:hAnsi="Arial"/>
          <w:b/>
          <w:bCs/>
          <w:color w:val="1E3A5F"/>
          <w:sz w:val="32"/>
          <w:szCs w:val="32"/>
        </w:rPr>
        <w:t xml:space="preserve">8. Uplift Curve Evaluation</w:t>
      </w:r>
    </w:p>
    <w:p>
      <w:pPr>
        <w:pStyle w:val="Heading2"/>
        <w:spacing w:after="120" w:before="280"/>
      </w:pPr>
      <w:r>
        <w:rPr>
          <w:rFonts w:ascii="Arial" w:cs="Arial" w:eastAsia="Arial" w:hAnsi="Arial"/>
          <w:b/>
          <w:bCs/>
          <w:color w:val="2563EB"/>
          <w:sz w:val="26"/>
          <w:szCs w:val="26"/>
        </w:rPr>
        <w:t xml:space="preserve">8.1 Qini Coefficients</w:t>
      </w:r>
    </w:p>
    <w:p>
      <w:pPr>
        <w:spacing w:after="160" w:line="320"/>
        <w:jc w:val="both"/>
      </w:pPr>
      <w:r>
        <w:rPr>
          <w:rFonts w:ascii="Arial" w:cs="Arial" w:eastAsia="Arial" w:hAnsi="Arial"/>
          <w:b w:val="false"/>
          <w:bCs w:val="false"/>
          <w:i w:val="false"/>
          <w:iCs w:val="false"/>
          <w:color w:val="000000"/>
          <w:sz w:val="22"/>
          <w:szCs w:val="22"/>
        </w:rPr>
        <w:t xml:space="preserve">The Qini coefficient measures the area between the model uplift curve and the random targeting baseline. Both models substantially outperform random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Model</w:t>
            </w:r>
          </w:p>
        </w:tc>
        <w:tc>
          <w:tcPr>
            <w:tcW w:type="dxa" w:w="468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Qini Coefficient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S-Learner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59669"/>
                <w:sz w:val="20"/>
                <w:szCs w:val="20"/>
              </w:rPr>
              <w:t xml:space="preserve">163.22</w:t>
            </w:r>
          </w:p>
        </w:tc>
      </w:tr>
      <w:tr>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T-Learner</w:t>
            </w:r>
          </w:p>
        </w:tc>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153.84</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Random Baseline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0.00 (by definition)</w:t>
            </w:r>
          </w:p>
        </w:tc>
      </w:tr>
    </w:tbl>
    <w:p>
      <w:pPr>
        <w:spacing w:after="0"/>
      </w:pPr>
      <w:r>
        <w:t xml:space="preserve"/>
      </w:r>
    </w:p>
    <w:p>
      <w:pPr>
        <w:spacing w:after="160" w:line="320"/>
        <w:jc w:val="both"/>
      </w:pPr>
      <w:r>
        <w:rPr>
          <w:rFonts w:ascii="Arial" w:cs="Arial" w:eastAsia="Arial" w:hAnsi="Arial"/>
          <w:b w:val="false"/>
          <w:bCs w:val="false"/>
          <w:i w:val="false"/>
          <w:iCs w:val="false"/>
          <w:color w:val="000000"/>
          <w:sz w:val="22"/>
          <w:szCs w:val="22"/>
        </w:rPr>
        <w:t xml:space="preserve">The S-Learner achieves a higher Qini coefficient despite finding less heterogeneity than the T-Learner. This indicates that the S-Learner's conservative, monotone CATE rankings — while missing negative effects — produce better-calibrated orderings at shallow targeting depths where most campaign budgets are concentrated.</w:t>
      </w:r>
    </w:p>
    <w:p>
      <w:pPr>
        <w:pStyle w:val="Heading2"/>
        <w:spacing w:after="120" w:before="280"/>
      </w:pPr>
      <w:r>
        <w:rPr>
          <w:rFonts w:ascii="Arial" w:cs="Arial" w:eastAsia="Arial" w:hAnsi="Arial"/>
          <w:b/>
          <w:bCs/>
          <w:color w:val="2563EB"/>
          <w:sz w:val="26"/>
          <w:szCs w:val="26"/>
        </w:rPr>
        <w:t xml:space="preserve">8.2 Targeting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Targeting Depth</w:t>
            </w:r>
          </w:p>
        </w:tc>
        <w:tc>
          <w:tcPr>
            <w:tcW w:type="dxa" w:w="1872"/>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Random Visits</w:t>
            </w:r>
          </w:p>
        </w:tc>
        <w:tc>
          <w:tcPr>
            <w:tcW w:type="dxa" w:w="1872"/>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S-Learner Visits</w:t>
            </w:r>
          </w:p>
        </w:tc>
        <w:tc>
          <w:tcPr>
            <w:tcW w:type="dxa" w:w="1872"/>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T-Learner Visits</w:t>
            </w:r>
          </w:p>
        </w:tc>
        <w:tc>
          <w:tcPr>
            <w:tcW w:type="dxa" w:w="1872"/>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Best Gain vs Random</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Top 10%</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99.1</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254.2</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284.4</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59669"/>
                <w:sz w:val="20"/>
                <w:szCs w:val="20"/>
              </w:rPr>
              <w:t xml:space="preserve">+185.3</w:t>
            </w:r>
          </w:p>
        </w:tc>
      </w:tr>
      <w:tr>
        <w:tc>
          <w:tcPr>
            <w:tcW w:type="dxa" w:w="1872"/>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Top 20%</w:t>
            </w:r>
          </w:p>
        </w:tc>
        <w:tc>
          <w:tcPr>
            <w:tcW w:type="dxa" w:w="1872"/>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185.0</w:t>
            </w:r>
          </w:p>
        </w:tc>
        <w:tc>
          <w:tcPr>
            <w:tcW w:type="dxa" w:w="1872"/>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455.7</w:t>
            </w:r>
          </w:p>
        </w:tc>
        <w:tc>
          <w:tcPr>
            <w:tcW w:type="dxa" w:w="1872"/>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376.6</w:t>
            </w:r>
          </w:p>
        </w:tc>
        <w:tc>
          <w:tcPr>
            <w:tcW w:type="dxa" w:w="1872"/>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bCs/>
                <w:i w:val="false"/>
                <w:iCs w:val="false"/>
                <w:color w:val="059669"/>
                <w:sz w:val="20"/>
                <w:szCs w:val="20"/>
              </w:rPr>
              <w:t xml:space="preserve">+270.7</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Top 30%</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305.8</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543.2</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507.1</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59669"/>
                <w:sz w:val="20"/>
                <w:szCs w:val="20"/>
              </w:rPr>
              <w:t xml:space="preserve">+237.5</w:t>
            </w:r>
          </w:p>
        </w:tc>
      </w:tr>
      <w:tr>
        <w:tc>
          <w:tcPr>
            <w:tcW w:type="dxa" w:w="1872"/>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Top 50%</w:t>
            </w:r>
          </w:p>
        </w:tc>
        <w:tc>
          <w:tcPr>
            <w:tcW w:type="dxa" w:w="1872"/>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400.2</w:t>
            </w:r>
          </w:p>
        </w:tc>
        <w:tc>
          <w:tcPr>
            <w:tcW w:type="dxa" w:w="1872"/>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568.4</w:t>
            </w:r>
          </w:p>
        </w:tc>
        <w:tc>
          <w:tcPr>
            <w:tcW w:type="dxa" w:w="1872"/>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555.7</w:t>
            </w:r>
          </w:p>
        </w:tc>
        <w:tc>
          <w:tcPr>
            <w:tcW w:type="dxa" w:w="1872"/>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+168.2</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Top 100%</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575.9</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575.9</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575.9</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0.0</w:t>
            </w:r>
          </w:p>
        </w:tc>
      </w:tr>
    </w:tbl>
    <w:p>
      <w:pPr>
        <w:spacing w:after="0"/>
      </w:pPr>
      <w:r>
        <w:t xml:space="preserve"/>
      </w:r>
    </w:p>
    <w:p>
      <w:pPr>
        <w:pStyle w:val="Heading2"/>
        <w:spacing w:after="120" w:before="280"/>
      </w:pPr>
      <w:r>
        <w:rPr>
          <w:rFonts w:ascii="Arial" w:cs="Arial" w:eastAsia="Arial" w:hAnsi="Arial"/>
          <w:b/>
          <w:bCs/>
          <w:color w:val="2563EB"/>
          <w:sz w:val="26"/>
          <w:szCs w:val="26"/>
        </w:rPr>
        <w:t xml:space="preserve">8.3 Uplift Captured by Targeting Depth</w:t>
      </w:r>
    </w:p>
    <w:p>
      <w:pPr>
        <w:spacing w:after="160" w:line="320"/>
        <w:jc w:val="both"/>
      </w:pPr>
      <w:r>
        <w:rPr>
          <w:rFonts w:ascii="Arial" w:cs="Arial" w:eastAsia="Arial" w:hAnsi="Arial"/>
          <w:b w:val="false"/>
          <w:bCs w:val="false"/>
          <w:i w:val="false"/>
          <w:iCs w:val="false"/>
          <w:color w:val="000000"/>
          <w:sz w:val="22"/>
          <w:szCs w:val="22"/>
        </w:rPr>
        <w:t xml:space="preserve">The cumulative uplift captured metric reveals the efficiency advantage of model-based targeting most clearly:</w:t>
      </w:r>
    </w:p>
    <w:p>
      <w:pPr>
        <w:pStyle w:val="ListParagraph"/>
        <w:numPr>
          <w:ilvl w:val="0"/>
          <w:numId w:val="2"/>
        </w:numPr>
        <w:spacing w:after="100" w:line="300"/>
      </w:pPr>
      <w:r>
        <w:rPr>
          <w:rFonts w:ascii="Arial" w:cs="Arial" w:eastAsia="Arial" w:hAnsi="Arial"/>
          <w:b w:val="false"/>
          <w:bCs w:val="false"/>
          <w:color w:val="000000"/>
          <w:sz w:val="22"/>
          <w:szCs w:val="22"/>
        </w:rPr>
        <w:t xml:space="preserve">Top 10% targeted: S-Learner captures ~44% of total campaign uplift; random targeting captures only 10%.</w:t>
      </w:r>
    </w:p>
    <w:p>
      <w:pPr>
        <w:pStyle w:val="ListParagraph"/>
        <w:numPr>
          <w:ilvl w:val="0"/>
          <w:numId w:val="2"/>
        </w:numPr>
        <w:spacing w:after="100" w:line="300"/>
      </w:pPr>
      <w:r>
        <w:rPr>
          <w:rFonts w:ascii="Arial" w:cs="Arial" w:eastAsia="Arial" w:hAnsi="Arial"/>
          <w:b w:val="false"/>
          <w:bCs w:val="false"/>
          <w:color w:val="000000"/>
          <w:sz w:val="22"/>
          <w:szCs w:val="22"/>
        </w:rPr>
        <w:t xml:space="preserve">Top 20% targeted: S-Learner captures ~79% of total uplift; T-Learner captures ~65%; random captures only 20%.</w:t>
      </w:r>
    </w:p>
    <w:p>
      <w:pPr>
        <w:pStyle w:val="ListParagraph"/>
        <w:numPr>
          <w:ilvl w:val="0"/>
          <w:numId w:val="2"/>
        </w:numPr>
        <w:spacing w:after="100" w:line="300"/>
      </w:pPr>
      <w:r>
        <w:rPr>
          <w:rFonts w:ascii="Arial" w:cs="Arial" w:eastAsia="Arial" w:hAnsi="Arial"/>
          <w:b w:val="false"/>
          <w:bCs w:val="false"/>
          <w:color w:val="000000"/>
          <w:sz w:val="22"/>
          <w:szCs w:val="22"/>
        </w:rPr>
        <w:t xml:space="preserve">Top 30% targeted: Both models have captured approximately 95% of all achievable uplift.</w:t>
      </w:r>
    </w:p>
    <w:p>
      <w:pPr>
        <w:pStyle w:val="ListParagraph"/>
        <w:numPr>
          <w:ilvl w:val="0"/>
          <w:numId w:val="2"/>
        </w:numPr>
        <w:spacing w:after="100" w:line="300"/>
      </w:pPr>
      <w:r>
        <w:rPr>
          <w:rFonts w:ascii="Arial" w:cs="Arial" w:eastAsia="Arial" w:hAnsi="Arial"/>
          <w:b w:val="false"/>
          <w:bCs w:val="false"/>
          <w:color w:val="000000"/>
          <w:sz w:val="22"/>
          <w:szCs w:val="22"/>
        </w:rPr>
        <w:t xml:space="preserve">Top 100% targeted: All methods converge to 100% — the total uplift is fixed.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24"/>
              <w:bottom w:val="single" w:color="2563EB" w:sz="4"/>
              <w:right w:val="none" w:color="FFFFFF" w:sz="0"/>
            </w:tcBorders>
            <w:shd w:fill="DBEAFE" w:val="clear"/>
            <w:tcMar>
              <w:top w:type="dxa" w:w="120"/>
              <w:left w:type="dxa" w:w="200"/>
              <w:bottom w:type="dxa" w:w="120"/>
              <w:right w:type="dxa" w:w="200"/>
            </w:tcMar>
          </w:tcPr>
          <w:p>
            <w:r>
              <w:rPr>
                <w:rFonts w:ascii="Arial" w:cs="Arial" w:eastAsia="Arial" w:hAnsi="Arial"/>
                <w:i/>
                <w:iCs/>
                <w:color w:val="1E3A5F"/>
                <w:sz w:val="22"/>
                <w:szCs w:val="22"/>
              </w:rPr>
              <w:t xml:space="preserve">Efficiency finding: By targeting just 20% of users ranked by our model, a marketing team captures 65-79% of the campaign's total incremental impact — while contacting only 1 in 5 users. Equivalently, the same budget applied to model-selected users generates 2.0 to 2.5 times more incremental visits than random targeting of the same audience.</w:t>
            </w:r>
          </w:p>
        </w:tc>
      </w:tr>
    </w:tbl>
    <w:p>
      <w:r>
        <w:br w:type="page"/>
      </w:r>
    </w:p>
    <w:p>
      <w:pPr>
        <w:pStyle w:val="Heading1"/>
        <w:pBdr>
          <w:bottom w:val="single" w:color="2563EB" w:sz="6" w:space="4"/>
        </w:pBdr>
        <w:spacing w:after="180" w:before="360"/>
      </w:pPr>
      <w:r>
        <w:rPr>
          <w:rFonts w:ascii="Arial" w:cs="Arial" w:eastAsia="Arial" w:hAnsi="Arial"/>
          <w:b/>
          <w:bCs/>
          <w:color w:val="1E3A5F"/>
          <w:sz w:val="32"/>
          <w:szCs w:val="32"/>
        </w:rPr>
        <w:t xml:space="preserve">9. Business Recommendations</w:t>
      </w:r>
    </w:p>
    <w:p>
      <w:pPr>
        <w:pStyle w:val="Heading2"/>
        <w:spacing w:after="120" w:before="280"/>
      </w:pPr>
      <w:r>
        <w:rPr>
          <w:rFonts w:ascii="Arial" w:cs="Arial" w:eastAsia="Arial" w:hAnsi="Arial"/>
          <w:b/>
          <w:bCs/>
          <w:color w:val="2563EB"/>
          <w:sz w:val="26"/>
          <w:szCs w:val="26"/>
        </w:rPr>
        <w:t xml:space="preserve">9.1 Targeting Strategy</w:t>
      </w:r>
    </w:p>
    <w:p>
      <w:pPr>
        <w:spacing w:after="160" w:line="320"/>
        <w:jc w:val="both"/>
      </w:pPr>
      <w:r>
        <w:rPr>
          <w:rFonts w:ascii="Arial" w:cs="Arial" w:eastAsia="Arial" w:hAnsi="Arial"/>
          <w:b w:val="false"/>
          <w:bCs w:val="false"/>
          <w:i w:val="false"/>
          <w:iCs w:val="false"/>
          <w:color w:val="000000"/>
          <w:sz w:val="22"/>
          <w:szCs w:val="22"/>
        </w:rPr>
        <w:t xml:space="preserve">Based on the analytical results, the following targeting strategy is recommended for Criteo's marketing team:</w:t>
      </w:r>
    </w:p>
    <w:p>
      <w:pPr>
        <w:pStyle w:val="ListParagraph"/>
        <w:numPr>
          <w:ilvl w:val="0"/>
          <w:numId w:val="3"/>
        </w:numPr>
        <w:spacing w:after="100" w:line="300"/>
      </w:pPr>
      <w:r>
        <w:rPr>
          <w:rFonts w:ascii="Arial" w:cs="Arial" w:eastAsia="Arial" w:hAnsi="Arial"/>
          <w:sz w:val="22"/>
          <w:szCs w:val="22"/>
        </w:rPr>
        <w:t xml:space="preserve">Rank all users by T-Learner CATE score before each campaign cycle.</w:t>
      </w:r>
    </w:p>
    <w:p>
      <w:pPr>
        <w:pStyle w:val="ListParagraph"/>
        <w:numPr>
          <w:ilvl w:val="0"/>
          <w:numId w:val="3"/>
        </w:numPr>
        <w:spacing w:after="100" w:line="300"/>
      </w:pPr>
      <w:r>
        <w:rPr>
          <w:rFonts w:ascii="Arial" w:cs="Arial" w:eastAsia="Arial" w:hAnsi="Arial"/>
          <w:sz w:val="22"/>
          <w:szCs w:val="22"/>
        </w:rPr>
        <w:t xml:space="preserve">Target the top 20-30% of users by predicted CATE — this captures 65-79% of total campaign uplift at a fraction of the budget.</w:t>
      </w:r>
    </w:p>
    <w:p>
      <w:pPr>
        <w:pStyle w:val="ListParagraph"/>
        <w:numPr>
          <w:ilvl w:val="0"/>
          <w:numId w:val="3"/>
        </w:numPr>
        <w:spacing w:after="100" w:line="300"/>
      </w:pPr>
      <w:r>
        <w:rPr>
          <w:rFonts w:ascii="Arial" w:cs="Arial" w:eastAsia="Arial" w:hAnsi="Arial"/>
          <w:sz w:val="22"/>
          <w:szCs w:val="22"/>
        </w:rPr>
        <w:t xml:space="preserve">Exclude all users with negative T-Learner CATE (18.3% of population) — these Sleeping Dogs actively reduce campaign ROI when targeted.</w:t>
      </w:r>
    </w:p>
    <w:p>
      <w:pPr>
        <w:pStyle w:val="ListParagraph"/>
        <w:numPr>
          <w:ilvl w:val="0"/>
          <w:numId w:val="3"/>
        </w:numPr>
        <w:spacing w:after="100" w:line="300"/>
      </w:pPr>
      <w:r>
        <w:rPr>
          <w:rFonts w:ascii="Arial" w:cs="Arial" w:eastAsia="Arial" w:hAnsi="Arial"/>
          <w:sz w:val="22"/>
          <w:szCs w:val="22"/>
        </w:rPr>
        <w:t xml:space="preserve">Redirect saved budget from excluded users toward the top decile (D10), which shows the strongest response in both models.</w:t>
      </w:r>
    </w:p>
    <w:p>
      <w:pPr>
        <w:pStyle w:val="ListParagraph"/>
        <w:numPr>
          <w:ilvl w:val="0"/>
          <w:numId w:val="3"/>
        </w:numPr>
        <w:spacing w:after="100" w:line="300"/>
      </w:pPr>
      <w:r>
        <w:rPr>
          <w:rFonts w:ascii="Arial" w:cs="Arial" w:eastAsia="Arial" w:hAnsi="Arial"/>
          <w:sz w:val="22"/>
          <w:szCs w:val="22"/>
        </w:rPr>
        <w:t xml:space="preserve">Prioritise users with high values of f1 and f9 and low values of f0, f5, and f11 — these feature patterns identify the highest-CATE Persuadables.</w:t>
      </w:r>
    </w:p>
    <w:p>
      <w:pPr>
        <w:spacing w:after="0"/>
      </w:pPr>
      <w:r>
        <w:t xml:space="preserve"/>
      </w:r>
    </w:p>
    <w:p>
      <w:pPr>
        <w:pStyle w:val="Heading2"/>
        <w:spacing w:after="120" w:before="280"/>
      </w:pPr>
      <w:r>
        <w:rPr>
          <w:rFonts w:ascii="Arial" w:cs="Arial" w:eastAsia="Arial" w:hAnsi="Arial"/>
          <w:b/>
          <w:bCs/>
          <w:color w:val="2563EB"/>
          <w:sz w:val="26"/>
          <w:szCs w:val="26"/>
        </w:rPr>
        <w:t xml:space="preserve">9.2 Expected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Scenario</w:t>
            </w:r>
          </w:p>
        </w:tc>
        <w:tc>
          <w:tcPr>
            <w:tcW w:type="dxa" w:w="468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Expected Outcome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Random targeting (baseline)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185 incremental visits per 20% of users contacted</w:t>
            </w:r>
          </w:p>
        </w:tc>
      </w:tr>
      <w:tr>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Model-based targeting (S-Learner)</w:t>
            </w:r>
          </w:p>
        </w:tc>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59669"/>
                <w:sz w:val="20"/>
                <w:szCs w:val="20"/>
              </w:rPr>
              <w:t xml:space="preserve">456 incremental visits per 20% contacted — 146% improvement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Exclude Sleeping Dogs (18.3%)</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Avoid negative ROI from users who respond adversely to ads</w:t>
            </w:r>
          </w:p>
        </w:tc>
      </w:tr>
      <w:tr>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Budget reallocation to top 10%</w:t>
            </w:r>
          </w:p>
        </w:tc>
        <w:tc>
          <w:tcPr>
            <w:tcW w:type="dxa" w:w="468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284 incremental visits from 10% budget — matching 30% random spend</w:t>
            </w:r>
          </w:p>
        </w:tc>
      </w:tr>
    </w:tbl>
    <w:p>
      <w:pPr>
        <w:spacing w:after="0"/>
      </w:pPr>
      <w:r>
        <w:t xml:space="preserve"/>
      </w:r>
    </w:p>
    <w:p>
      <w:pPr>
        <w:pStyle w:val="Heading2"/>
        <w:spacing w:after="120" w:before="280"/>
      </w:pPr>
      <w:r>
        <w:rPr>
          <w:rFonts w:ascii="Arial" w:cs="Arial" w:eastAsia="Arial" w:hAnsi="Arial"/>
          <w:b/>
          <w:bCs/>
          <w:color w:val="2563EB"/>
          <w:sz w:val="26"/>
          <w:szCs w:val="26"/>
        </w:rPr>
        <w:t xml:space="preserve">9.3 Model Selection Guidance</w:t>
      </w:r>
    </w:p>
    <w:p>
      <w:pPr>
        <w:spacing w:after="160" w:line="320"/>
        <w:jc w:val="both"/>
      </w:pPr>
      <w:r>
        <w:rPr>
          <w:rFonts w:ascii="Arial" w:cs="Arial" w:eastAsia="Arial" w:hAnsi="Arial"/>
          <w:b w:val="false"/>
          <w:bCs w:val="false"/>
          <w:i w:val="false"/>
          <w:iCs w:val="false"/>
          <w:color w:val="000000"/>
          <w:sz w:val="22"/>
          <w:szCs w:val="22"/>
        </w:rPr>
        <w:t xml:space="preserve">The S-Learner is recommended for production targeting due to its higher Qini coefficient (163.22 vs 153.84) and better calibration at shallow targeting depths. The T-Learner provides complementary value for strategic segmentation — particularly for identifying Sleeping Dogs — but its extreme CATE estimates introduce noise that reduces ranking quality.</w:t>
      </w:r>
    </w:p>
    <w:p>
      <w:r>
        <w:br w:type="page"/>
      </w:r>
    </w:p>
    <w:p>
      <w:pPr>
        <w:pStyle w:val="Heading1"/>
        <w:pBdr>
          <w:bottom w:val="single" w:color="2563EB" w:sz="6" w:space="4"/>
        </w:pBdr>
        <w:spacing w:after="180" w:before="360"/>
      </w:pPr>
      <w:r>
        <w:rPr>
          <w:rFonts w:ascii="Arial" w:cs="Arial" w:eastAsia="Arial" w:hAnsi="Arial"/>
          <w:b/>
          <w:bCs/>
          <w:color w:val="1E3A5F"/>
          <w:sz w:val="32"/>
          <w:szCs w:val="32"/>
        </w:rPr>
        <w:t xml:space="preserve">10. Conclusion</w:t>
      </w:r>
    </w:p>
    <w:p>
      <w:pPr>
        <w:spacing w:after="160" w:line="320"/>
        <w:jc w:val="both"/>
      </w:pPr>
      <w:r>
        <w:rPr>
          <w:rFonts w:ascii="Arial" w:cs="Arial" w:eastAsia="Arial" w:hAnsi="Arial"/>
          <w:b w:val="false"/>
          <w:bCs w:val="false"/>
          <w:i w:val="false"/>
          <w:iCs w:val="false"/>
          <w:color w:val="000000"/>
          <w:sz w:val="22"/>
          <w:szCs w:val="22"/>
        </w:rPr>
        <w:t xml:space="preserve">This paper applied a multi-method causal inference framework to the Criteo Uplift v2.1 dataset to address two research questions about digital advertising effectiveness.</w:t>
      </w:r>
    </w:p>
    <w:p>
      <w:pPr>
        <w:spacing w:after="160" w:line="320"/>
        <w:jc w:val="both"/>
      </w:pPr>
      <w:r>
        <w:rPr>
          <w:rFonts w:ascii="Arial" w:cs="Arial" w:eastAsia="Arial" w:hAnsi="Arial"/>
          <w:b w:val="false"/>
          <w:bCs w:val="false"/>
          <w:i w:val="false"/>
          <w:iCs w:val="false"/>
          <w:color w:val="000000"/>
          <w:sz w:val="22"/>
          <w:szCs w:val="22"/>
        </w:rPr>
        <w:t xml:space="preserve">For RQ1, we conclusively established that the ad campaign generates positive causal effects on both website visits and conversions. The ATE of +0.0103 on visits (26.4% relative lift) and +0.0017 on conversions (93.0% relative lift) are statistically significant at the 0.1% level and robust to methodological variation — naive difference-in-means and IPW converge on the same conclusion.</w:t>
      </w:r>
    </w:p>
    <w:p>
      <w:pPr>
        <w:spacing w:after="160" w:line="320"/>
        <w:jc w:val="both"/>
      </w:pPr>
      <w:r>
        <w:rPr>
          <w:rFonts w:ascii="Arial" w:cs="Arial" w:eastAsia="Arial" w:hAnsi="Arial"/>
          <w:b w:val="false"/>
          <w:bCs w:val="false"/>
          <w:i w:val="false"/>
          <w:iCs w:val="false"/>
          <w:color w:val="000000"/>
          <w:sz w:val="22"/>
          <w:szCs w:val="22"/>
        </w:rPr>
        <w:t xml:space="preserve">For RQ2, CATE estimation via S-Learner and T-Learner reveals substantial heterogeneity in treatment response. T-Learner CATE ranges from -0.1526 to +0.3339, identifying both high-value Persuadables and Sleeping Dogs who should be excluded from targeting. Features f1 and f9 are the strongest positive predictors of treatment response.</w:t>
      </w:r>
    </w:p>
    <w:p>
      <w:pPr>
        <w:spacing w:after="160" w:line="320"/>
        <w:jc w:val="both"/>
      </w:pPr>
      <w:r>
        <w:rPr>
          <w:rFonts w:ascii="Arial" w:cs="Arial" w:eastAsia="Arial" w:hAnsi="Arial"/>
          <w:b w:val="false"/>
          <w:bCs w:val="false"/>
          <w:i w:val="false"/>
          <w:iCs w:val="false"/>
          <w:color w:val="000000"/>
          <w:sz w:val="22"/>
          <w:szCs w:val="22"/>
        </w:rPr>
        <w:t xml:space="preserve">Uplift curve evaluation demonstrates that model-based targeting dramatically outperforms random targeting. Contacting just 20% of users ranked by predicted CATE captures 65-79% of total campaign uplift — compared to 20% under random targeting. This efficiency gain translates directly into improved advertising ROI and more responsible use of marketing budgets.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Step</w:t>
            </w:r>
          </w:p>
        </w:tc>
        <w:tc>
          <w:tcPr>
            <w:tcW w:type="dxa" w:w="351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3510"/>
            <w:gridSpan w:val="1"/>
            <w:tcBorders>
              <w:top w:val="single" w:color="FFFFFF" w:sz="8"/>
              <w:left w:val="single" w:color="FFFFFF" w:sz="8"/>
              <w:bottom w:val="single" w:color="FFFFFF" w:sz="8"/>
              <w:right w:val="single" w:color="FFFFFF" w:sz="8"/>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Key Finding</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ATE</w:t>
            </w:r>
          </w:p>
        </w:tc>
        <w:tc>
          <w:tcPr>
            <w:tcW w:type="dxa" w:w="35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Difference-in-means + t-test</w:t>
            </w:r>
          </w:p>
        </w:tc>
        <w:tc>
          <w:tcPr>
            <w:tcW w:type="dxa" w:w="35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59669"/>
                <w:sz w:val="20"/>
                <w:szCs w:val="20"/>
              </w:rPr>
              <w:t xml:space="preserve">+1.03pp visits, +93% conversions</w:t>
            </w:r>
          </w:p>
        </w:tc>
      </w:tr>
      <w:tr>
        <w:tc>
          <w:tcPr>
            <w:tcW w:type="dxa" w:w="23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IPW</w:t>
            </w:r>
          </w:p>
        </w:tc>
        <w:tc>
          <w:tcPr>
            <w:tcW w:type="dxa" w:w="351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Propensity reweighting</w:t>
            </w:r>
          </w:p>
        </w:tc>
        <w:tc>
          <w:tcPr>
            <w:tcW w:type="dxa" w:w="351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ATE confirmed, minor adjustment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S-Learner</w:t>
            </w:r>
          </w:p>
        </w:tc>
        <w:tc>
          <w:tcPr>
            <w:tcW w:type="dxa" w:w="35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Single LR with treatment feature</w:t>
            </w:r>
          </w:p>
        </w:tc>
        <w:tc>
          <w:tcPr>
            <w:tcW w:type="dxa" w:w="35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Mean CATE +0.0072, 100% Persuadable</w:t>
            </w:r>
          </w:p>
        </w:tc>
      </w:tr>
      <w:tr>
        <w:tc>
          <w:tcPr>
            <w:tcW w:type="dxa" w:w="234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T-Learner</w:t>
            </w:r>
          </w:p>
        </w:tc>
        <w:tc>
          <w:tcPr>
            <w:tcW w:type="dxa" w:w="351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Two separate LR models</w:t>
            </w:r>
          </w:p>
        </w:tc>
        <w:tc>
          <w:tcPr>
            <w:tcW w:type="dxa" w:w="3510"/>
            <w:tcBorders>
              <w:top w:val="single" w:color="CCCCCC" w:sz="4"/>
              <w:left w:val="single" w:color="CCCCCC" w:sz="4"/>
              <w:bottom w:val="single" w:color="CCCCCC" w:sz="4"/>
              <w:right w:val="single" w:color="CCCCCC" w:sz="4"/>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DC2626"/>
                <w:sz w:val="20"/>
                <w:szCs w:val="20"/>
              </w:rPr>
              <w:t xml:space="preserve">CATE -0.15 to +0.33, 18.3% Sleeping Dogs</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Evaluation</w:t>
            </w:r>
          </w:p>
        </w:tc>
        <w:tc>
          <w:tcPr>
            <w:tcW w:type="dxa" w:w="35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Uplift curves + Qini coefficient</w:t>
            </w:r>
          </w:p>
        </w:tc>
        <w:tc>
          <w:tcPr>
            <w:tcW w:type="dxa" w:w="351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59669"/>
                <w:sz w:val="20"/>
                <w:szCs w:val="20"/>
              </w:rPr>
              <w:t xml:space="preserve">Top 20% captures 65-79% of total uplift</w:t>
            </w:r>
          </w:p>
        </w:tc>
      </w:tr>
    </w:tbl>
    <w:p>
      <w:r>
        <w:br w:type="page"/>
      </w:r>
    </w:p>
    <w:p>
      <w:pPr>
        <w:pStyle w:val="Heading1"/>
        <w:pBdr>
          <w:bottom w:val="single" w:color="2563EB" w:sz="6" w:space="4"/>
        </w:pBdr>
        <w:spacing w:after="180" w:before="360"/>
      </w:pPr>
      <w:r>
        <w:rPr>
          <w:rFonts w:ascii="Arial" w:cs="Arial" w:eastAsia="Arial" w:hAnsi="Arial"/>
          <w:b/>
          <w:bCs/>
          <w:color w:val="1E3A5F"/>
          <w:sz w:val="32"/>
          <w:szCs w:val="32"/>
        </w:rPr>
        <w:t xml:space="preserve">References</w:t>
      </w:r>
    </w:p>
    <w:p>
      <w:pPr>
        <w:spacing w:after="160" w:line="320"/>
        <w:jc w:val="both"/>
      </w:pPr>
      <w:r>
        <w:rPr>
          <w:rFonts w:ascii="Arial" w:cs="Arial" w:eastAsia="Arial" w:hAnsi="Arial"/>
          <w:b w:val="false"/>
          <w:bCs w:val="false"/>
          <w:i w:val="false"/>
          <w:iCs w:val="false"/>
          <w:color w:val="000000"/>
          <w:sz w:val="22"/>
          <w:szCs w:val="22"/>
        </w:rPr>
        <w:t xml:space="preserve">Diemert, E., Betlei, A., Renaudin, C., &amp; Amini, M. (2018). A Large Scale Benchmark for Uplift Modeling. Proceedings of the AdKDD and TargetAd Workshop, KDD 2018, London, UK.</w:t>
      </w:r>
    </w:p>
    <w:p>
      <w:pPr>
        <w:spacing w:after="0"/>
      </w:pPr>
      <w:r>
        <w:t xml:space="preserve"/>
      </w:r>
    </w:p>
    <w:p>
      <w:pPr>
        <w:spacing w:after="160" w:line="320"/>
        <w:jc w:val="both"/>
      </w:pPr>
      <w:r>
        <w:rPr>
          <w:rFonts w:ascii="Arial" w:cs="Arial" w:eastAsia="Arial" w:hAnsi="Arial"/>
          <w:b w:val="false"/>
          <w:bCs w:val="false"/>
          <w:i w:val="false"/>
          <w:iCs w:val="false"/>
          <w:color w:val="000000"/>
          <w:sz w:val="22"/>
          <w:szCs w:val="22"/>
        </w:rPr>
        <w:t xml:space="preserve">Gutierrez, P., &amp; Gerardy, J. Y. (2017). Causal Inference and Uplift Modelling: A Review of the Literature. Proceedings of the 3rd International Conference on Predictive Applications and APIs, PMLR.</w:t>
      </w:r>
    </w:p>
    <w:p>
      <w:pPr>
        <w:spacing w:after="0"/>
      </w:pPr>
      <w:r>
        <w:t xml:space="preserve"/>
      </w:r>
    </w:p>
    <w:p>
      <w:pPr>
        <w:spacing w:after="160" w:line="320"/>
        <w:jc w:val="both"/>
      </w:pPr>
      <w:r>
        <w:rPr>
          <w:rFonts w:ascii="Arial" w:cs="Arial" w:eastAsia="Arial" w:hAnsi="Arial"/>
          <w:b w:val="false"/>
          <w:bCs w:val="false"/>
          <w:i w:val="false"/>
          <w:iCs w:val="false"/>
          <w:color w:val="000000"/>
          <w:sz w:val="22"/>
          <w:szCs w:val="22"/>
        </w:rPr>
        <w:t xml:space="preserve">Imbens, G. W., &amp; Rubin, D. B. (2015). Causal Inference for Statistics, Social, and Biomedical Sciences: An Introduction. Cambridge University Press.</w:t>
      </w:r>
    </w:p>
    <w:p>
      <w:pPr>
        <w:spacing w:after="0"/>
      </w:pPr>
      <w:r>
        <w:t xml:space="preserve"/>
      </w:r>
    </w:p>
    <w:p>
      <w:pPr>
        <w:spacing w:after="160" w:line="320"/>
        <w:jc w:val="both"/>
      </w:pPr>
      <w:r>
        <w:rPr>
          <w:rFonts w:ascii="Arial" w:cs="Arial" w:eastAsia="Arial" w:hAnsi="Arial"/>
          <w:b w:val="false"/>
          <w:bCs w:val="false"/>
          <w:i w:val="false"/>
          <w:iCs w:val="false"/>
          <w:color w:val="000000"/>
          <w:sz w:val="22"/>
          <w:szCs w:val="22"/>
        </w:rPr>
        <w:t xml:space="preserve">Kunzel, S. R., Sekhon, J. S., Bickel, P. J., &amp; Yu, B. (2019). Metalearners for Estimating Heterogeneous Treatment Effects Using Machine Learning. Proceedings of the National Academy of Sciences, 116(10), 4156-4165.</w:t>
      </w:r>
    </w:p>
    <w:p>
      <w:pPr>
        <w:spacing w:after="0"/>
      </w:pPr>
      <w:r>
        <w:t xml:space="preserve"/>
      </w:r>
    </w:p>
    <w:p>
      <w:pPr>
        <w:spacing w:after="160" w:line="320"/>
        <w:jc w:val="both"/>
      </w:pPr>
      <w:r>
        <w:rPr>
          <w:rFonts w:ascii="Arial" w:cs="Arial" w:eastAsia="Arial" w:hAnsi="Arial"/>
          <w:b w:val="false"/>
          <w:bCs w:val="false"/>
          <w:i w:val="false"/>
          <w:iCs w:val="false"/>
          <w:color w:val="000000"/>
          <w:sz w:val="22"/>
          <w:szCs w:val="22"/>
        </w:rPr>
        <w:t xml:space="preserve">Radcliffe, N. J., &amp; Surry, P. D. (2011). Real-World Uplift Modelling with Significance-Based Uplift Trees. White Paper TR-2011-1, Stochastic Solutions.</w:t>
      </w:r>
    </w:p>
    <w:p>
      <w:pPr>
        <w:spacing w:after="0"/>
      </w:pPr>
      <w:r>
        <w:t xml:space="preserve"/>
      </w:r>
    </w:p>
    <w:p>
      <w:pPr>
        <w:spacing w:after="160" w:line="320"/>
        <w:jc w:val="both"/>
      </w:pPr>
      <w:r>
        <w:rPr>
          <w:rFonts w:ascii="Arial" w:cs="Arial" w:eastAsia="Arial" w:hAnsi="Arial"/>
          <w:b w:val="false"/>
          <w:bCs w:val="false"/>
          <w:i w:val="false"/>
          <w:iCs w:val="false"/>
          <w:color w:val="000000"/>
          <w:sz w:val="22"/>
          <w:szCs w:val="22"/>
        </w:rPr>
        <w:t xml:space="preserve">Rosenbaum, P. R., &amp; Rubin, D. B. (1983). The Central Role of the Propensity Score in Observational Studies for Causal Effects. Biometrika, 70(1), 41-55.</w:t>
      </w:r>
    </w:p>
    <w:p>
      <w:pPr>
        <w:spacing w:after="0"/>
      </w:pPr>
      <w:r>
        <w:t xml:space="preserve"/>
      </w:r>
    </w:p>
    <w:p>
      <w:pPr>
        <w:spacing w:after="160" w:line="320"/>
        <w:jc w:val="both"/>
      </w:pPr>
      <w:r>
        <w:rPr>
          <w:rFonts w:ascii="Arial" w:cs="Arial" w:eastAsia="Arial" w:hAnsi="Arial"/>
          <w:b w:val="false"/>
          <w:bCs w:val="false"/>
          <w:i w:val="false"/>
          <w:iCs w:val="false"/>
          <w:color w:val="000000"/>
          <w:sz w:val="22"/>
          <w:szCs w:val="22"/>
        </w:rPr>
        <w:t xml:space="preserve">Wager, S., &amp; Athey, S. (2018). Estimation and Inference of Heterogeneous Treatment Effects using Random Forests. Journal of the American Statistical Association, 113(523), 1228-1242.</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David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jc w:val="right"/>
    </w:pPr>
    <w:r>
      <w:rPr>
        <w:rFonts w:ascii="Arial" w:cs="Arial" w:eastAsia="Arial" w:hAnsi="Arial"/>
        <w:color w:val="6B7280"/>
        <w:sz w:val="18"/>
        <w:szCs w:val="18"/>
      </w:rPr>
      <w:t xml:space="preserve">Criteo Uplift v2.1 — Causal Inference &amp; Uplift Modelling  |  ECON 5140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2026-04-18T02:58:08.760Z</dcterms:created>
  <dcterms:modified xsi:type="dcterms:W3CDTF">2026-04-18T02:58:08.760Z</dcterms:modified>
</cp:coreProperties>
</file>

<file path=docProps/custom.xml><?xml version="1.0" encoding="utf-8"?>
<Properties xmlns="http://schemas.openxmlformats.org/officeDocument/2006/custom-properties" xmlns:vt="http://schemas.openxmlformats.org/officeDocument/2006/docPropsVTypes"/>
</file>