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8230E" w14:textId="77777777" w:rsidR="00320BCC" w:rsidRPr="00D46D65" w:rsidRDefault="00320BCC"/>
    <w:p w14:paraId="5C55BD2E" w14:textId="77777777" w:rsidR="00320BCC" w:rsidRPr="00D46D65" w:rsidRDefault="00320BCC"/>
    <w:p w14:paraId="60477988" w14:textId="77777777" w:rsidR="00320BCC" w:rsidRPr="00D46D65" w:rsidRDefault="00320BCC"/>
    <w:p w14:paraId="0A8E3958" w14:textId="77777777" w:rsidR="00320BCC" w:rsidRPr="00D46D65" w:rsidRDefault="00000000">
      <w:pPr>
        <w:jc w:val="center"/>
      </w:pPr>
      <w:r w:rsidRPr="00D46D65">
        <w:rPr>
          <w:b/>
          <w:bCs/>
          <w:sz w:val="28"/>
          <w:szCs w:val="28"/>
        </w:rPr>
        <w:t>CRITEO UPLIFT V2.1</w:t>
      </w:r>
    </w:p>
    <w:p w14:paraId="1C337C5F" w14:textId="77777777" w:rsidR="00320BCC" w:rsidRPr="00D46D65" w:rsidRDefault="00000000">
      <w:pPr>
        <w:spacing w:after="200"/>
        <w:jc w:val="center"/>
      </w:pPr>
      <w:r w:rsidRPr="00D46D65">
        <w:rPr>
          <w:b/>
          <w:bCs/>
          <w:sz w:val="44"/>
          <w:szCs w:val="44"/>
        </w:rPr>
        <w:t>Measuring the Incremental Effect of Digital Advertising:</w:t>
      </w:r>
    </w:p>
    <w:p w14:paraId="7E371815" w14:textId="77777777" w:rsidR="00320BCC" w:rsidRPr="00D46D65" w:rsidRDefault="00000000">
      <w:pPr>
        <w:spacing w:after="200"/>
        <w:jc w:val="center"/>
      </w:pPr>
      <w:r w:rsidRPr="00D46D65">
        <w:rPr>
          <w:b/>
          <w:bCs/>
          <w:sz w:val="36"/>
          <w:szCs w:val="36"/>
        </w:rPr>
        <w:t>A Causal Inference and Uplift Modelling Approach</w:t>
      </w:r>
    </w:p>
    <w:p w14:paraId="22A3DA16" w14:textId="37145285" w:rsidR="00320BCC" w:rsidRPr="00D46D65" w:rsidRDefault="00000000">
      <w:pPr>
        <w:spacing w:after="120"/>
        <w:jc w:val="center"/>
      </w:pPr>
      <w:r w:rsidRPr="00D46D65">
        <w:rPr>
          <w:i/>
          <w:iCs/>
        </w:rPr>
        <w:t>Full Data Science Portfolio Project</w:t>
      </w:r>
    </w:p>
    <w:p w14:paraId="02F24C99" w14:textId="77777777" w:rsidR="00320BCC" w:rsidRPr="00D46D65" w:rsidRDefault="00320BCC"/>
    <w:p w14:paraId="24712B74" w14:textId="77777777" w:rsidR="00320BCC" w:rsidRPr="00D46D65" w:rsidRDefault="00320BCC"/>
    <w:p w14:paraId="249CB884" w14:textId="77777777" w:rsidR="00320BCC" w:rsidRPr="00D46D65" w:rsidRDefault="00320BCC"/>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320BCC" w:rsidRPr="00D46D65" w14:paraId="2A8379AA" w14:textId="77777777">
        <w:tblPrEx>
          <w:tblCellMar>
            <w:top w:w="0" w:type="dxa"/>
            <w:bottom w:w="0" w:type="dxa"/>
          </w:tblCellMar>
        </w:tblPrEx>
        <w:trPr>
          <w:jc w:val="center"/>
        </w:trPr>
        <w:tc>
          <w:tcPr>
            <w:tcW w:w="2400" w:type="dxa"/>
            <w:tcBorders>
              <w:top w:val="single" w:sz="4" w:space="0" w:color="CCCCCC"/>
              <w:left w:val="single" w:sz="4" w:space="0" w:color="CCCCCC"/>
              <w:bottom w:val="single" w:sz="4" w:space="0" w:color="CCCCCC"/>
              <w:right w:val="single" w:sz="4" w:space="0" w:color="CCCCCC"/>
            </w:tcBorders>
            <w:shd w:val="clear" w:color="auto" w:fill="DBEAFE"/>
            <w:tcMar>
              <w:top w:w="80" w:type="dxa"/>
              <w:left w:w="140" w:type="dxa"/>
              <w:bottom w:w="80" w:type="dxa"/>
              <w:right w:w="140" w:type="dxa"/>
            </w:tcMar>
            <w:vAlign w:val="center"/>
          </w:tcPr>
          <w:p w14:paraId="2B5F735A" w14:textId="77777777" w:rsidR="00320BCC" w:rsidRPr="00D46D65" w:rsidRDefault="00000000">
            <w:pPr>
              <w:jc w:val="center"/>
            </w:pPr>
            <w:r w:rsidRPr="00D46D65">
              <w:rPr>
                <w:b/>
                <w:bCs/>
                <w:sz w:val="20"/>
                <w:szCs w:val="20"/>
              </w:rPr>
              <w:t>Author</w:t>
            </w:r>
          </w:p>
        </w:tc>
        <w:tc>
          <w:tcPr>
            <w:tcW w:w="36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07D8FD8B" w14:textId="591FB3E9" w:rsidR="00320BCC" w:rsidRPr="00D46D65" w:rsidRDefault="00000000">
            <w:pPr>
              <w:jc w:val="center"/>
            </w:pPr>
            <w:r w:rsidRPr="00D46D65">
              <w:rPr>
                <w:sz w:val="20"/>
                <w:szCs w:val="20"/>
              </w:rPr>
              <w:t>David</w:t>
            </w:r>
            <w:r w:rsidR="00DB68D4">
              <w:rPr>
                <w:sz w:val="20"/>
                <w:szCs w:val="20"/>
              </w:rPr>
              <w:t xml:space="preserve"> Abu</w:t>
            </w:r>
          </w:p>
        </w:tc>
      </w:tr>
      <w:tr w:rsidR="00320BCC" w:rsidRPr="00D46D65" w14:paraId="22D04FFD" w14:textId="77777777">
        <w:tblPrEx>
          <w:tblCellMar>
            <w:top w:w="0" w:type="dxa"/>
            <w:bottom w:w="0" w:type="dxa"/>
          </w:tblCellMar>
        </w:tblPrEx>
        <w:trPr>
          <w:jc w:val="center"/>
        </w:trPr>
        <w:tc>
          <w:tcPr>
            <w:tcW w:w="2400" w:type="dxa"/>
            <w:tcBorders>
              <w:top w:val="single" w:sz="4" w:space="0" w:color="CCCCCC"/>
              <w:left w:val="single" w:sz="4" w:space="0" w:color="CCCCCC"/>
              <w:bottom w:val="single" w:sz="4" w:space="0" w:color="CCCCCC"/>
              <w:right w:val="single" w:sz="4" w:space="0" w:color="CCCCCC"/>
            </w:tcBorders>
            <w:shd w:val="clear" w:color="auto" w:fill="DBEAFE"/>
            <w:tcMar>
              <w:top w:w="80" w:type="dxa"/>
              <w:left w:w="140" w:type="dxa"/>
              <w:bottom w:w="80" w:type="dxa"/>
              <w:right w:w="140" w:type="dxa"/>
            </w:tcMar>
            <w:vAlign w:val="center"/>
          </w:tcPr>
          <w:p w14:paraId="10DF4321" w14:textId="77777777" w:rsidR="00320BCC" w:rsidRPr="00D46D65" w:rsidRDefault="00000000">
            <w:pPr>
              <w:jc w:val="center"/>
            </w:pPr>
            <w:r w:rsidRPr="00D46D65">
              <w:rPr>
                <w:b/>
                <w:bCs/>
                <w:sz w:val="20"/>
                <w:szCs w:val="20"/>
              </w:rPr>
              <w:t>Course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01F10B1" w14:textId="77777777" w:rsidR="00320BCC" w:rsidRPr="00D46D65" w:rsidRDefault="00000000">
            <w:pPr>
              <w:jc w:val="center"/>
            </w:pPr>
            <w:r w:rsidRPr="00D46D65">
              <w:rPr>
                <w:sz w:val="20"/>
                <w:szCs w:val="20"/>
              </w:rPr>
              <w:t>ECON 5140 — Applied Econometrics</w:t>
            </w:r>
          </w:p>
        </w:tc>
      </w:tr>
      <w:tr w:rsidR="00320BCC" w:rsidRPr="00D46D65" w14:paraId="0137727C" w14:textId="77777777">
        <w:tblPrEx>
          <w:tblCellMar>
            <w:top w:w="0" w:type="dxa"/>
            <w:bottom w:w="0" w:type="dxa"/>
          </w:tblCellMar>
        </w:tblPrEx>
        <w:trPr>
          <w:jc w:val="center"/>
        </w:trPr>
        <w:tc>
          <w:tcPr>
            <w:tcW w:w="2400" w:type="dxa"/>
            <w:tcBorders>
              <w:top w:val="single" w:sz="4" w:space="0" w:color="CCCCCC"/>
              <w:left w:val="single" w:sz="4" w:space="0" w:color="CCCCCC"/>
              <w:bottom w:val="single" w:sz="4" w:space="0" w:color="CCCCCC"/>
              <w:right w:val="single" w:sz="4" w:space="0" w:color="CCCCCC"/>
            </w:tcBorders>
            <w:shd w:val="clear" w:color="auto" w:fill="DBEAFE"/>
            <w:tcMar>
              <w:top w:w="80" w:type="dxa"/>
              <w:left w:w="140" w:type="dxa"/>
              <w:bottom w:w="80" w:type="dxa"/>
              <w:right w:w="140" w:type="dxa"/>
            </w:tcMar>
            <w:vAlign w:val="center"/>
          </w:tcPr>
          <w:p w14:paraId="2C994FCA" w14:textId="77777777" w:rsidR="00320BCC" w:rsidRPr="00D46D65" w:rsidRDefault="00000000">
            <w:pPr>
              <w:jc w:val="center"/>
            </w:pPr>
            <w:r w:rsidRPr="00D46D65">
              <w:rPr>
                <w:b/>
                <w:bCs/>
                <w:sz w:val="20"/>
                <w:szCs w:val="20"/>
              </w:rPr>
              <w:t>Dataset</w:t>
            </w:r>
          </w:p>
        </w:tc>
        <w:tc>
          <w:tcPr>
            <w:tcW w:w="36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1096B8AD" w14:textId="77777777" w:rsidR="00320BCC" w:rsidRPr="00D46D65" w:rsidRDefault="00000000">
            <w:pPr>
              <w:jc w:val="center"/>
            </w:pPr>
            <w:r w:rsidRPr="00D46D65">
              <w:rPr>
                <w:sz w:val="20"/>
                <w:szCs w:val="20"/>
              </w:rPr>
              <w:t>Criteo Uplift v2.1 (Kaggle)</w:t>
            </w:r>
          </w:p>
        </w:tc>
      </w:tr>
      <w:tr w:rsidR="00320BCC" w:rsidRPr="00D46D65" w14:paraId="416C08DF" w14:textId="77777777">
        <w:tblPrEx>
          <w:tblCellMar>
            <w:top w:w="0" w:type="dxa"/>
            <w:bottom w:w="0" w:type="dxa"/>
          </w:tblCellMar>
        </w:tblPrEx>
        <w:trPr>
          <w:jc w:val="center"/>
        </w:trPr>
        <w:tc>
          <w:tcPr>
            <w:tcW w:w="2400" w:type="dxa"/>
            <w:tcBorders>
              <w:top w:val="single" w:sz="4" w:space="0" w:color="CCCCCC"/>
              <w:left w:val="single" w:sz="4" w:space="0" w:color="CCCCCC"/>
              <w:bottom w:val="single" w:sz="4" w:space="0" w:color="CCCCCC"/>
              <w:right w:val="single" w:sz="4" w:space="0" w:color="CCCCCC"/>
            </w:tcBorders>
            <w:shd w:val="clear" w:color="auto" w:fill="DBEAFE"/>
            <w:tcMar>
              <w:top w:w="80" w:type="dxa"/>
              <w:left w:w="140" w:type="dxa"/>
              <w:bottom w:w="80" w:type="dxa"/>
              <w:right w:w="140" w:type="dxa"/>
            </w:tcMar>
            <w:vAlign w:val="center"/>
          </w:tcPr>
          <w:p w14:paraId="472FA3E9" w14:textId="77777777" w:rsidR="00320BCC" w:rsidRPr="00D46D65" w:rsidRDefault="00000000">
            <w:pPr>
              <w:jc w:val="center"/>
            </w:pPr>
            <w:r w:rsidRPr="00D46D65">
              <w:rPr>
                <w:b/>
                <w:bCs/>
                <w:sz w:val="20"/>
                <w:szCs w:val="20"/>
              </w:rPr>
              <w:t>Sample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9B00993" w14:textId="77777777" w:rsidR="00320BCC" w:rsidRPr="00D46D65" w:rsidRDefault="00000000">
            <w:pPr>
              <w:jc w:val="center"/>
            </w:pPr>
            <w:r w:rsidRPr="00D46D65">
              <w:rPr>
                <w:sz w:val="20"/>
                <w:szCs w:val="20"/>
              </w:rPr>
              <w:t>200,000 users (of 13.9M)</w:t>
            </w:r>
          </w:p>
        </w:tc>
      </w:tr>
      <w:tr w:rsidR="00320BCC" w:rsidRPr="00D46D65" w14:paraId="7B699B53" w14:textId="77777777">
        <w:tblPrEx>
          <w:tblCellMar>
            <w:top w:w="0" w:type="dxa"/>
            <w:bottom w:w="0" w:type="dxa"/>
          </w:tblCellMar>
        </w:tblPrEx>
        <w:trPr>
          <w:jc w:val="center"/>
        </w:trPr>
        <w:tc>
          <w:tcPr>
            <w:tcW w:w="2400" w:type="dxa"/>
            <w:tcBorders>
              <w:top w:val="single" w:sz="4" w:space="0" w:color="CCCCCC"/>
              <w:left w:val="single" w:sz="4" w:space="0" w:color="CCCCCC"/>
              <w:bottom w:val="single" w:sz="4" w:space="0" w:color="CCCCCC"/>
              <w:right w:val="single" w:sz="4" w:space="0" w:color="CCCCCC"/>
            </w:tcBorders>
            <w:shd w:val="clear" w:color="auto" w:fill="DBEAFE"/>
            <w:tcMar>
              <w:top w:w="80" w:type="dxa"/>
              <w:left w:w="140" w:type="dxa"/>
              <w:bottom w:w="80" w:type="dxa"/>
              <w:right w:w="140" w:type="dxa"/>
            </w:tcMar>
            <w:vAlign w:val="center"/>
          </w:tcPr>
          <w:p w14:paraId="689D1CE4" w14:textId="77777777" w:rsidR="00320BCC" w:rsidRPr="00D46D65" w:rsidRDefault="00000000">
            <w:pPr>
              <w:jc w:val="center"/>
            </w:pPr>
            <w:r w:rsidRPr="00D46D65">
              <w:rPr>
                <w:b/>
                <w:bCs/>
                <w:sz w:val="20"/>
                <w:szCs w:val="20"/>
              </w:rPr>
              <w:t>Models</w:t>
            </w:r>
          </w:p>
        </w:tc>
        <w:tc>
          <w:tcPr>
            <w:tcW w:w="36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6E6A3469" w14:textId="77777777" w:rsidR="00320BCC" w:rsidRPr="00D46D65" w:rsidRDefault="00000000">
            <w:pPr>
              <w:jc w:val="center"/>
            </w:pPr>
            <w:r w:rsidRPr="00D46D65">
              <w:rPr>
                <w:sz w:val="20"/>
                <w:szCs w:val="20"/>
              </w:rPr>
              <w:t>S-Learner, T-Learner (LR &amp; LightGBM), IPW</w:t>
            </w:r>
          </w:p>
        </w:tc>
      </w:tr>
      <w:tr w:rsidR="00320BCC" w:rsidRPr="00D46D65" w14:paraId="3CE7C7A0" w14:textId="77777777">
        <w:tblPrEx>
          <w:tblCellMar>
            <w:top w:w="0" w:type="dxa"/>
            <w:bottom w:w="0" w:type="dxa"/>
          </w:tblCellMar>
        </w:tblPrEx>
        <w:trPr>
          <w:jc w:val="center"/>
        </w:trPr>
        <w:tc>
          <w:tcPr>
            <w:tcW w:w="2400" w:type="dxa"/>
            <w:tcBorders>
              <w:top w:val="single" w:sz="4" w:space="0" w:color="CCCCCC"/>
              <w:left w:val="single" w:sz="4" w:space="0" w:color="CCCCCC"/>
              <w:bottom w:val="single" w:sz="4" w:space="0" w:color="CCCCCC"/>
              <w:right w:val="single" w:sz="4" w:space="0" w:color="CCCCCC"/>
            </w:tcBorders>
            <w:shd w:val="clear" w:color="auto" w:fill="DBEAFE"/>
            <w:tcMar>
              <w:top w:w="80" w:type="dxa"/>
              <w:left w:w="140" w:type="dxa"/>
              <w:bottom w:w="80" w:type="dxa"/>
              <w:right w:w="140" w:type="dxa"/>
            </w:tcMar>
            <w:vAlign w:val="center"/>
          </w:tcPr>
          <w:p w14:paraId="1D78B0AC" w14:textId="77777777" w:rsidR="00320BCC" w:rsidRPr="00D46D65" w:rsidRDefault="00000000">
            <w:pPr>
              <w:jc w:val="center"/>
            </w:pPr>
            <w:r w:rsidRPr="00D46D65">
              <w:rPr>
                <w:b/>
                <w:bCs/>
                <w:sz w:val="20"/>
                <w:szCs w:val="20"/>
              </w:rPr>
              <w:t>Figures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A1E7127" w14:textId="77777777" w:rsidR="00320BCC" w:rsidRPr="00D46D65" w:rsidRDefault="00000000">
            <w:pPr>
              <w:jc w:val="center"/>
            </w:pPr>
            <w:r w:rsidRPr="00D46D65">
              <w:rPr>
                <w:sz w:val="20"/>
                <w:szCs w:val="20"/>
              </w:rPr>
              <w:t>14 analytical figures embedded</w:t>
            </w:r>
          </w:p>
        </w:tc>
      </w:tr>
      <w:tr w:rsidR="00320BCC" w:rsidRPr="00D46D65" w14:paraId="15DB8DF6" w14:textId="77777777">
        <w:tblPrEx>
          <w:tblCellMar>
            <w:top w:w="0" w:type="dxa"/>
            <w:bottom w:w="0" w:type="dxa"/>
          </w:tblCellMar>
        </w:tblPrEx>
        <w:trPr>
          <w:jc w:val="center"/>
        </w:trPr>
        <w:tc>
          <w:tcPr>
            <w:tcW w:w="2400" w:type="dxa"/>
            <w:tcBorders>
              <w:top w:val="single" w:sz="4" w:space="0" w:color="CCCCCC"/>
              <w:left w:val="single" w:sz="4" w:space="0" w:color="CCCCCC"/>
              <w:bottom w:val="single" w:sz="4" w:space="0" w:color="CCCCCC"/>
              <w:right w:val="single" w:sz="4" w:space="0" w:color="CCCCCC"/>
            </w:tcBorders>
            <w:shd w:val="clear" w:color="auto" w:fill="DBEAFE"/>
            <w:tcMar>
              <w:top w:w="80" w:type="dxa"/>
              <w:left w:w="140" w:type="dxa"/>
              <w:bottom w:w="80" w:type="dxa"/>
              <w:right w:w="140" w:type="dxa"/>
            </w:tcMar>
            <w:vAlign w:val="center"/>
          </w:tcPr>
          <w:p w14:paraId="22E21287" w14:textId="77777777" w:rsidR="00320BCC" w:rsidRPr="00D46D65" w:rsidRDefault="00000000">
            <w:pPr>
              <w:jc w:val="center"/>
            </w:pPr>
            <w:r w:rsidRPr="00D46D65">
              <w:rPr>
                <w:b/>
                <w:bCs/>
                <w:sz w:val="20"/>
                <w:szCs w:val="20"/>
              </w:rPr>
              <w:t>Date</w:t>
            </w:r>
          </w:p>
        </w:tc>
        <w:tc>
          <w:tcPr>
            <w:tcW w:w="360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55ED90DF" w14:textId="77777777" w:rsidR="00320BCC" w:rsidRPr="00D46D65" w:rsidRDefault="00000000">
            <w:pPr>
              <w:jc w:val="center"/>
            </w:pPr>
            <w:r w:rsidRPr="00D46D65">
              <w:rPr>
                <w:sz w:val="20"/>
                <w:szCs w:val="20"/>
              </w:rPr>
              <w:t>April 2026</w:t>
            </w:r>
          </w:p>
        </w:tc>
      </w:tr>
    </w:tbl>
    <w:p w14:paraId="22E1CCC4" w14:textId="77777777" w:rsidR="00320BCC" w:rsidRPr="00D46D65" w:rsidRDefault="00320BCC"/>
    <w:p w14:paraId="4B795019" w14:textId="77777777" w:rsidR="00320BCC" w:rsidRPr="00D46D65" w:rsidRDefault="00320BCC"/>
    <w:p w14:paraId="0802A135" w14:textId="77777777" w:rsidR="00320BCC" w:rsidRPr="00D46D65" w:rsidRDefault="00000000">
      <w:r w:rsidRPr="00D46D65">
        <w:br w:type="page"/>
      </w:r>
    </w:p>
    <w:p w14:paraId="2E93A802" w14:textId="77777777" w:rsidR="00CD51EE" w:rsidRPr="00D46D65" w:rsidRDefault="00CD51EE" w:rsidP="00CD51EE">
      <w:pPr>
        <w:pStyle w:val="Heading1"/>
        <w:rPr>
          <w:color w:val="auto"/>
          <w:kern w:val="36"/>
          <w14:ligatures w14:val="standardContextual"/>
        </w:rPr>
      </w:pPr>
      <w:r w:rsidRPr="00D46D65">
        <w:rPr>
          <w:color w:val="auto"/>
        </w:rPr>
        <w:lastRenderedPageBreak/>
        <w:t>Abstract</w:t>
      </w:r>
    </w:p>
    <w:p w14:paraId="5C60CF6E" w14:textId="77777777" w:rsidR="00320BCC" w:rsidRPr="00D46D65" w:rsidRDefault="00000000">
      <w:pPr>
        <w:spacing w:after="160" w:line="320" w:lineRule="auto"/>
        <w:jc w:val="both"/>
      </w:pPr>
      <w:r w:rsidRPr="00D46D65">
        <w:t>This paper investigates the causal effect of digital advertising on user behaviour using the Criteo Uplift v2.1 dataset, a large-scale benchmark from randomised incrementality tests. A random sample of 200,000 users is analysed across five methods: naive difference-in-means, IPW, S-Learner, T-Learner with Logistic Regression, and T-Learner with LightGBM. Two research questions are addressed: (1) the average causal effect of ad treatment on visits and conversions, and (2) which users benefit most.</w:t>
      </w:r>
    </w:p>
    <w:p w14:paraId="0902A354" w14:textId="77777777" w:rsidR="00320BCC" w:rsidRPr="00D46D65" w:rsidRDefault="00000000">
      <w:pPr>
        <w:spacing w:after="160" w:line="320" w:lineRule="auto"/>
        <w:jc w:val="both"/>
      </w:pPr>
      <w:r w:rsidRPr="00D46D65">
        <w:t>Results confirm a statistically significant ATE of +1.03 percentage points on visits (t=7.71, p&lt;0.001, +26.4% relative lift) and +0.17 percentage points on conversions (+93.0% relative lift). The LightGBM T-Learner reveals CATE heterogeneity from -0.2724 to +0.5816 with outcome model AUCs of 0.944/0.934. Segmentation identifies 3.4% Persuadables, 12.0% Sure Things, 84.2% Lost Causes, and 0.4% Sleeping Dogs. Targeting the top 20% by predicted CATE captures 65-79% of total campaign uplift.</w:t>
      </w:r>
    </w:p>
    <w:p w14:paraId="4540845D" w14:textId="77777777" w:rsidR="00320BCC" w:rsidRPr="00D46D65" w:rsidRDefault="00320BC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320BCC" w:rsidRPr="00D46D65" w14:paraId="62FA49AF"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DBEAFE"/>
            <w:tcMar>
              <w:top w:w="80" w:type="dxa"/>
              <w:left w:w="140" w:type="dxa"/>
              <w:bottom w:w="80" w:type="dxa"/>
              <w:right w:w="140" w:type="dxa"/>
            </w:tcMar>
            <w:vAlign w:val="center"/>
          </w:tcPr>
          <w:p w14:paraId="5722BC20" w14:textId="77777777" w:rsidR="00320BCC" w:rsidRPr="00D46D65" w:rsidRDefault="00000000">
            <w:r w:rsidRPr="00D46D65">
              <w:rPr>
                <w:b/>
                <w:bCs/>
                <w:sz w:val="20"/>
                <w:szCs w:val="20"/>
              </w:rPr>
              <w:t>Keywords</w:t>
            </w:r>
          </w:p>
        </w:tc>
        <w:tc>
          <w:tcPr>
            <w:tcW w:w="756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6A97F762" w14:textId="77777777" w:rsidR="00320BCC" w:rsidRPr="00D46D65" w:rsidRDefault="00000000">
            <w:r w:rsidRPr="00D46D65">
              <w:rPr>
                <w:i/>
                <w:iCs/>
                <w:sz w:val="20"/>
                <w:szCs w:val="20"/>
              </w:rPr>
              <w:t>Uplift Modelling, Causal Inference, ATE, CATE, S-Learner, T-Learner, LightGBM, IPW, Customer Segmentation, Digital Advertising, RCT</w:t>
            </w:r>
          </w:p>
        </w:tc>
      </w:tr>
    </w:tbl>
    <w:p w14:paraId="36E9ABAC" w14:textId="77777777" w:rsidR="00320BCC" w:rsidRPr="00D46D65" w:rsidRDefault="00000000">
      <w:r w:rsidRPr="00D46D65">
        <w:br w:type="page"/>
      </w:r>
    </w:p>
    <w:p w14:paraId="2B440C05" w14:textId="77777777" w:rsidR="00CD51EE" w:rsidRPr="00D46D65" w:rsidRDefault="00CD51EE" w:rsidP="00CD51EE">
      <w:pPr>
        <w:pStyle w:val="Heading1"/>
        <w:rPr>
          <w:color w:val="auto"/>
          <w:kern w:val="36"/>
          <w14:ligatures w14:val="standardContextual"/>
        </w:rPr>
      </w:pPr>
      <w:r w:rsidRPr="00D46D65">
        <w:rPr>
          <w:color w:val="auto"/>
        </w:rPr>
        <w:lastRenderedPageBreak/>
        <w:t>1. Introduction</w:t>
      </w:r>
    </w:p>
    <w:p w14:paraId="6689C800" w14:textId="77777777" w:rsidR="00320BCC" w:rsidRPr="00D46D65" w:rsidRDefault="00000000">
      <w:pPr>
        <w:pStyle w:val="Heading2"/>
        <w:rPr>
          <w:color w:val="auto"/>
        </w:rPr>
      </w:pPr>
      <w:r w:rsidRPr="00D46D65">
        <w:rPr>
          <w:color w:val="auto"/>
        </w:rPr>
        <w:t>1.1 The Business Problem</w:t>
      </w:r>
    </w:p>
    <w:p w14:paraId="4ECA89C8" w14:textId="6571B58B" w:rsidR="00320BCC" w:rsidRPr="00D46D65" w:rsidRDefault="00000000">
      <w:pPr>
        <w:spacing w:after="160" w:line="320" w:lineRule="auto"/>
        <w:jc w:val="both"/>
      </w:pPr>
      <w:r w:rsidRPr="00D46D65">
        <w:t xml:space="preserve">Digital advertising generates enormous volumes of data but answering whether an advertisement causally changes user </w:t>
      </w:r>
      <w:r w:rsidR="00CD51EE" w:rsidRPr="00D46D65">
        <w:t>behavior</w:t>
      </w:r>
      <w:r w:rsidRPr="00D46D65">
        <w:t xml:space="preserve"> remains challenging. Uplift modelling addresses this by estimating the incremental causal effect at the individual level — predicting not who will buy, but whose buying </w:t>
      </w:r>
      <w:r w:rsidR="00CD51EE" w:rsidRPr="00D46D65">
        <w:t>behavior</w:t>
      </w:r>
      <w:r w:rsidRPr="00D46D65">
        <w:t xml:space="preserve"> changes because of the ad.</w:t>
      </w:r>
    </w:p>
    <w:p w14:paraId="4B149912" w14:textId="77777777" w:rsidR="00320BCC" w:rsidRPr="00D46D65" w:rsidRDefault="00000000">
      <w:pPr>
        <w:pStyle w:val="Heading2"/>
        <w:rPr>
          <w:color w:val="auto"/>
        </w:rPr>
      </w:pPr>
      <w:r w:rsidRPr="00D46D65">
        <w:rPr>
          <w:color w:val="auto"/>
        </w:rPr>
        <w:t>1.2 The Four User Types</w:t>
      </w:r>
    </w:p>
    <w:p w14:paraId="7BF76038" w14:textId="1A84043D" w:rsidR="00CD51EE" w:rsidRPr="00D46D65" w:rsidRDefault="00CD51EE">
      <w:pPr>
        <w:pStyle w:val="Heading2"/>
        <w:rPr>
          <w:b w:val="0"/>
          <w:bCs w:val="0"/>
          <w:color w:val="auto"/>
          <w:sz w:val="22"/>
          <w:szCs w:val="22"/>
        </w:rPr>
      </w:pPr>
      <w:r w:rsidRPr="00D46D65">
        <w:rPr>
          <w:b w:val="0"/>
          <w:bCs w:val="0"/>
          <w:color w:val="auto"/>
          <w:sz w:val="22"/>
          <w:szCs w:val="22"/>
        </w:rPr>
        <w:t>The four user types come from a theoretical framework in the uplift modelling literature — not directly from the data. They are based on a simple logical question: what would happen to this user both with and without the ad? In reality we can only ever observe one of those outcomes per user — this is the fundamental problem of causal inference. So instead of reading the types directly from the data, we used our LightGBM model to estimate both probabilities for every user — the probability of visiting if treated, and the probability of visiting if not treated. The difference between those two gives us the CATE, and the combination of both tells us which segment the user falls into.</w:t>
      </w:r>
    </w:p>
    <w:p w14:paraId="76B025D4" w14:textId="77777777" w:rsidR="00CD51EE" w:rsidRPr="00D46D65" w:rsidRDefault="00CD51EE">
      <w:pPr>
        <w:pStyle w:val="Heading2"/>
        <w:rPr>
          <w:b w:val="0"/>
          <w:bCs w:val="0"/>
          <w:color w:val="auto"/>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20BCC" w:rsidRPr="00D46D65" w14:paraId="02EFCA8D" w14:textId="77777777">
        <w:tblPrEx>
          <w:tblCellMar>
            <w:top w:w="0" w:type="dxa"/>
            <w:bottom w:w="0" w:type="dxa"/>
          </w:tblCellMar>
        </w:tblPrEx>
        <w:tc>
          <w:tcPr>
            <w:tcW w:w="2340" w:type="dxa"/>
            <w:tcBorders>
              <w:top w:val="single" w:sz="8" w:space="0" w:color="FFFFFF"/>
              <w:left w:val="single" w:sz="8" w:space="0" w:color="FFFFFF"/>
              <w:bottom w:val="single" w:sz="8" w:space="0" w:color="FFFFFF"/>
              <w:right w:val="single" w:sz="8" w:space="0" w:color="FFFFFF"/>
            </w:tcBorders>
            <w:shd w:val="clear" w:color="auto" w:fill="1E3A5F"/>
            <w:tcMar>
              <w:top w:w="80" w:type="dxa"/>
              <w:left w:w="140" w:type="dxa"/>
              <w:bottom w:w="80" w:type="dxa"/>
              <w:right w:w="140" w:type="dxa"/>
            </w:tcMar>
            <w:vAlign w:val="center"/>
          </w:tcPr>
          <w:p w14:paraId="70411217" w14:textId="77777777" w:rsidR="00320BCC" w:rsidRPr="00D46D65" w:rsidRDefault="00000000">
            <w:pPr>
              <w:jc w:val="center"/>
            </w:pPr>
            <w:r w:rsidRPr="00D46D65">
              <w:rPr>
                <w:b/>
                <w:bCs/>
                <w:sz w:val="20"/>
                <w:szCs w:val="20"/>
              </w:rPr>
              <w:t>Type</w:t>
            </w:r>
          </w:p>
        </w:tc>
        <w:tc>
          <w:tcPr>
            <w:tcW w:w="2340" w:type="dxa"/>
            <w:tcBorders>
              <w:top w:val="single" w:sz="8" w:space="0" w:color="FFFFFF"/>
              <w:left w:val="single" w:sz="8" w:space="0" w:color="FFFFFF"/>
              <w:bottom w:val="single" w:sz="8" w:space="0" w:color="FFFFFF"/>
              <w:right w:val="single" w:sz="8" w:space="0" w:color="FFFFFF"/>
            </w:tcBorders>
            <w:shd w:val="clear" w:color="auto" w:fill="1E3A5F"/>
            <w:tcMar>
              <w:top w:w="80" w:type="dxa"/>
              <w:left w:w="140" w:type="dxa"/>
              <w:bottom w:w="80" w:type="dxa"/>
              <w:right w:w="140" w:type="dxa"/>
            </w:tcMar>
            <w:vAlign w:val="center"/>
          </w:tcPr>
          <w:p w14:paraId="0B5FF24C" w14:textId="77777777" w:rsidR="00320BCC" w:rsidRPr="00D46D65" w:rsidRDefault="00000000">
            <w:pPr>
              <w:jc w:val="center"/>
            </w:pPr>
            <w:r w:rsidRPr="00D46D65">
              <w:rPr>
                <w:b/>
                <w:bCs/>
                <w:sz w:val="20"/>
                <w:szCs w:val="20"/>
              </w:rPr>
              <w:t>With Ad</w:t>
            </w:r>
          </w:p>
        </w:tc>
        <w:tc>
          <w:tcPr>
            <w:tcW w:w="2340" w:type="dxa"/>
            <w:tcBorders>
              <w:top w:val="single" w:sz="8" w:space="0" w:color="FFFFFF"/>
              <w:left w:val="single" w:sz="8" w:space="0" w:color="FFFFFF"/>
              <w:bottom w:val="single" w:sz="8" w:space="0" w:color="FFFFFF"/>
              <w:right w:val="single" w:sz="8" w:space="0" w:color="FFFFFF"/>
            </w:tcBorders>
            <w:shd w:val="clear" w:color="auto" w:fill="1E3A5F"/>
            <w:tcMar>
              <w:top w:w="80" w:type="dxa"/>
              <w:left w:w="140" w:type="dxa"/>
              <w:bottom w:w="80" w:type="dxa"/>
              <w:right w:w="140" w:type="dxa"/>
            </w:tcMar>
            <w:vAlign w:val="center"/>
          </w:tcPr>
          <w:p w14:paraId="7ADEFD7C" w14:textId="77777777" w:rsidR="00320BCC" w:rsidRPr="00D46D65" w:rsidRDefault="00000000">
            <w:pPr>
              <w:jc w:val="center"/>
            </w:pPr>
            <w:r w:rsidRPr="00D46D65">
              <w:rPr>
                <w:b/>
                <w:bCs/>
                <w:sz w:val="20"/>
                <w:szCs w:val="20"/>
              </w:rPr>
              <w:t>Without Ad</w:t>
            </w:r>
          </w:p>
        </w:tc>
        <w:tc>
          <w:tcPr>
            <w:tcW w:w="2340" w:type="dxa"/>
            <w:tcBorders>
              <w:top w:val="single" w:sz="8" w:space="0" w:color="FFFFFF"/>
              <w:left w:val="single" w:sz="8" w:space="0" w:color="FFFFFF"/>
              <w:bottom w:val="single" w:sz="8" w:space="0" w:color="FFFFFF"/>
              <w:right w:val="single" w:sz="8" w:space="0" w:color="FFFFFF"/>
            </w:tcBorders>
            <w:shd w:val="clear" w:color="auto" w:fill="1E3A5F"/>
            <w:tcMar>
              <w:top w:w="80" w:type="dxa"/>
              <w:left w:w="140" w:type="dxa"/>
              <w:bottom w:w="80" w:type="dxa"/>
              <w:right w:w="140" w:type="dxa"/>
            </w:tcMar>
            <w:vAlign w:val="center"/>
          </w:tcPr>
          <w:p w14:paraId="57AF80DF" w14:textId="77777777" w:rsidR="00320BCC" w:rsidRPr="00D46D65" w:rsidRDefault="00000000">
            <w:pPr>
              <w:jc w:val="center"/>
            </w:pPr>
            <w:r w:rsidRPr="00D46D65">
              <w:rPr>
                <w:b/>
                <w:bCs/>
                <w:sz w:val="20"/>
                <w:szCs w:val="20"/>
              </w:rPr>
              <w:t>Target?</w:t>
            </w:r>
          </w:p>
        </w:tc>
      </w:tr>
      <w:tr w:rsidR="00320BCC" w:rsidRPr="00D46D65" w14:paraId="0CDE2427"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43A270A" w14:textId="77777777" w:rsidR="00320BCC" w:rsidRPr="00D46D65" w:rsidRDefault="00000000">
            <w:r w:rsidRPr="00D46D65">
              <w:rPr>
                <w:b/>
                <w:bCs/>
                <w:sz w:val="20"/>
                <w:szCs w:val="20"/>
              </w:rPr>
              <w:t>Persuadables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5F87DBC" w14:textId="77777777" w:rsidR="00320BCC" w:rsidRPr="00D46D65" w:rsidRDefault="00000000">
            <w:pPr>
              <w:jc w:val="center"/>
            </w:pPr>
            <w:r w:rsidRPr="00D46D65">
              <w:rPr>
                <w:sz w:val="20"/>
                <w:szCs w:val="20"/>
              </w:rPr>
              <w:t>Visits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8FC4A46" w14:textId="77777777" w:rsidR="00320BCC" w:rsidRPr="00D46D65" w:rsidRDefault="00000000">
            <w:pPr>
              <w:jc w:val="center"/>
            </w:pPr>
            <w:r w:rsidRPr="00D46D65">
              <w:rPr>
                <w:sz w:val="20"/>
                <w:szCs w:val="20"/>
              </w:rPr>
              <w:t>Does not visit</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1BA2303" w14:textId="77777777" w:rsidR="00320BCC" w:rsidRPr="00D46D65" w:rsidRDefault="00000000">
            <w:r w:rsidRPr="00D46D65">
              <w:rPr>
                <w:b/>
                <w:bCs/>
                <w:sz w:val="20"/>
                <w:szCs w:val="20"/>
              </w:rPr>
              <w:t>YES — Primary target</w:t>
            </w:r>
          </w:p>
        </w:tc>
      </w:tr>
      <w:tr w:rsidR="00320BCC" w:rsidRPr="00D46D65" w14:paraId="0DF1997C"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411D9B99" w14:textId="77777777" w:rsidR="00320BCC" w:rsidRPr="00D46D65" w:rsidRDefault="00000000">
            <w:r w:rsidRPr="00D46D65">
              <w:rPr>
                <w:sz w:val="20"/>
                <w:szCs w:val="20"/>
              </w:rPr>
              <w:t>Sure Things</w:t>
            </w:r>
          </w:p>
        </w:tc>
        <w:tc>
          <w:tcPr>
            <w:tcW w:w="234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27E71599" w14:textId="77777777" w:rsidR="00320BCC" w:rsidRPr="00D46D65" w:rsidRDefault="00000000">
            <w:pPr>
              <w:jc w:val="center"/>
            </w:pPr>
            <w:r w:rsidRPr="00D46D65">
              <w:rPr>
                <w:sz w:val="20"/>
                <w:szCs w:val="20"/>
              </w:rPr>
              <w:t>Visits</w:t>
            </w:r>
          </w:p>
        </w:tc>
        <w:tc>
          <w:tcPr>
            <w:tcW w:w="234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67346054" w14:textId="77777777" w:rsidR="00320BCC" w:rsidRPr="00D46D65" w:rsidRDefault="00000000">
            <w:pPr>
              <w:jc w:val="center"/>
            </w:pPr>
            <w:r w:rsidRPr="00D46D65">
              <w:rPr>
                <w:sz w:val="20"/>
                <w:szCs w:val="20"/>
              </w:rPr>
              <w:t>Visits anyway</w:t>
            </w:r>
          </w:p>
        </w:tc>
        <w:tc>
          <w:tcPr>
            <w:tcW w:w="234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5F6056DF" w14:textId="77777777" w:rsidR="00320BCC" w:rsidRPr="00D46D65" w:rsidRDefault="00000000">
            <w:r w:rsidRPr="00D46D65">
              <w:rPr>
                <w:sz w:val="20"/>
                <w:szCs w:val="20"/>
              </w:rPr>
              <w:t>NO — Waste of budget</w:t>
            </w:r>
          </w:p>
        </w:tc>
      </w:tr>
      <w:tr w:rsidR="00320BCC" w:rsidRPr="00D46D65" w14:paraId="54D91E92"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899CFD0" w14:textId="77777777" w:rsidR="00320BCC" w:rsidRPr="00D46D65" w:rsidRDefault="00000000">
            <w:r w:rsidRPr="00D46D65">
              <w:rPr>
                <w:sz w:val="20"/>
                <w:szCs w:val="20"/>
              </w:rPr>
              <w:t>Lost Causes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FC62705" w14:textId="77777777" w:rsidR="00320BCC" w:rsidRPr="00D46D65" w:rsidRDefault="00000000">
            <w:pPr>
              <w:jc w:val="center"/>
            </w:pPr>
            <w:r w:rsidRPr="00D46D65">
              <w:rPr>
                <w:sz w:val="20"/>
                <w:szCs w:val="20"/>
              </w:rPr>
              <w:t>Does not visit</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FD3B718" w14:textId="77777777" w:rsidR="00320BCC" w:rsidRPr="00D46D65" w:rsidRDefault="00000000">
            <w:pPr>
              <w:jc w:val="center"/>
            </w:pPr>
            <w:r w:rsidRPr="00D46D65">
              <w:rPr>
                <w:sz w:val="20"/>
                <w:szCs w:val="20"/>
              </w:rPr>
              <w:t>Does not visit</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823EA1D" w14:textId="77777777" w:rsidR="00320BCC" w:rsidRPr="00D46D65" w:rsidRDefault="00000000">
            <w:r w:rsidRPr="00D46D65">
              <w:rPr>
                <w:sz w:val="20"/>
                <w:szCs w:val="20"/>
              </w:rPr>
              <w:t>NO — Ads cannot help</w:t>
            </w:r>
          </w:p>
        </w:tc>
      </w:tr>
      <w:tr w:rsidR="00320BCC" w:rsidRPr="00D46D65" w14:paraId="19E9E41C"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28769E2F" w14:textId="77777777" w:rsidR="00320BCC" w:rsidRPr="00D46D65" w:rsidRDefault="00000000">
            <w:r w:rsidRPr="00D46D65">
              <w:rPr>
                <w:b/>
                <w:bCs/>
                <w:sz w:val="20"/>
                <w:szCs w:val="20"/>
              </w:rPr>
              <w:t>Sleeping Dogs</w:t>
            </w:r>
          </w:p>
        </w:tc>
        <w:tc>
          <w:tcPr>
            <w:tcW w:w="234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699F2E10" w14:textId="77777777" w:rsidR="00320BCC" w:rsidRPr="00D46D65" w:rsidRDefault="00000000">
            <w:pPr>
              <w:jc w:val="center"/>
            </w:pPr>
            <w:r w:rsidRPr="00D46D65">
              <w:rPr>
                <w:sz w:val="20"/>
                <w:szCs w:val="20"/>
              </w:rPr>
              <w:t>Does not visit</w:t>
            </w:r>
          </w:p>
        </w:tc>
        <w:tc>
          <w:tcPr>
            <w:tcW w:w="234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1AB71679" w14:textId="77777777" w:rsidR="00320BCC" w:rsidRPr="00D46D65" w:rsidRDefault="00000000">
            <w:pPr>
              <w:jc w:val="center"/>
            </w:pPr>
            <w:r w:rsidRPr="00D46D65">
              <w:rPr>
                <w:sz w:val="20"/>
                <w:szCs w:val="20"/>
              </w:rPr>
              <w:t>Would have visited</w:t>
            </w:r>
          </w:p>
        </w:tc>
        <w:tc>
          <w:tcPr>
            <w:tcW w:w="234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7CE5E0B1" w14:textId="77777777" w:rsidR="00320BCC" w:rsidRPr="00D46D65" w:rsidRDefault="00000000">
            <w:r w:rsidRPr="00D46D65">
              <w:rPr>
                <w:b/>
                <w:bCs/>
                <w:sz w:val="20"/>
                <w:szCs w:val="20"/>
              </w:rPr>
              <w:t>NO — Ad causes harm</w:t>
            </w:r>
          </w:p>
        </w:tc>
      </w:tr>
    </w:tbl>
    <w:p w14:paraId="3CE0B8C0" w14:textId="77777777" w:rsidR="00320BCC" w:rsidRPr="00D46D65" w:rsidRDefault="00320BCC"/>
    <w:p w14:paraId="141C6888" w14:textId="77777777" w:rsidR="00320BCC" w:rsidRPr="00D46D65" w:rsidRDefault="00000000">
      <w:pPr>
        <w:pStyle w:val="Heading2"/>
        <w:rPr>
          <w:color w:val="auto"/>
        </w:rPr>
      </w:pPr>
      <w:r w:rsidRPr="00D46D65">
        <w:rPr>
          <w:color w:val="auto"/>
        </w:rPr>
        <w:t>1.3 Research Questions</w:t>
      </w:r>
    </w:p>
    <w:p w14:paraId="20E2E786" w14:textId="77777777" w:rsidR="00320BCC" w:rsidRPr="00D46D65" w:rsidRDefault="00000000">
      <w:pPr>
        <w:pStyle w:val="ListParagraph"/>
        <w:numPr>
          <w:ilvl w:val="0"/>
          <w:numId w:val="2"/>
        </w:numPr>
        <w:spacing w:after="100" w:line="300" w:lineRule="auto"/>
      </w:pPr>
      <w:r w:rsidRPr="00D46D65">
        <w:t>RQ1 (Average Effect): What is the incremental causal effect of ad treatment on website visits and conversions?</w:t>
      </w:r>
    </w:p>
    <w:p w14:paraId="3BD8C969" w14:textId="77777777" w:rsidR="00320BCC" w:rsidRPr="00D46D65" w:rsidRDefault="00000000">
      <w:pPr>
        <w:pStyle w:val="ListParagraph"/>
        <w:numPr>
          <w:ilvl w:val="0"/>
          <w:numId w:val="2"/>
        </w:numPr>
        <w:spacing w:after="100" w:line="300" w:lineRule="auto"/>
      </w:pPr>
      <w:r w:rsidRPr="00D46D65">
        <w:t>RQ2 (Heterogeneous Effects): Which users benefit most? Can we identify Persuadables and produce actionable targeting recommendations?</w:t>
      </w:r>
    </w:p>
    <w:p w14:paraId="06B390CC" w14:textId="77777777" w:rsidR="00320BCC" w:rsidRPr="00D46D65" w:rsidRDefault="00000000">
      <w:r w:rsidRPr="00D46D65">
        <w:br w:type="page"/>
      </w:r>
    </w:p>
    <w:p w14:paraId="783632DF" w14:textId="77777777" w:rsidR="00CD51EE" w:rsidRPr="00D46D65" w:rsidRDefault="00CD51EE" w:rsidP="00CD51EE">
      <w:pPr>
        <w:pStyle w:val="Heading1"/>
        <w:rPr>
          <w:color w:val="auto"/>
          <w:kern w:val="36"/>
          <w14:ligatures w14:val="standardContextual"/>
        </w:rPr>
      </w:pPr>
      <w:r w:rsidRPr="00D46D65">
        <w:rPr>
          <w:color w:val="auto"/>
        </w:rPr>
        <w:lastRenderedPageBreak/>
        <w:t>2. Data &amp; Experimental Design</w:t>
      </w:r>
    </w:p>
    <w:p w14:paraId="2AE1079B" w14:textId="77777777" w:rsidR="00320BCC" w:rsidRPr="00D46D65" w:rsidRDefault="00000000">
      <w:pPr>
        <w:pStyle w:val="Heading2"/>
        <w:rPr>
          <w:color w:val="auto"/>
        </w:rPr>
      </w:pPr>
      <w:r w:rsidRPr="00D46D65">
        <w:rPr>
          <w:color w:val="auto"/>
        </w:rPr>
        <w:t>2.1 Dataset Overview</w:t>
      </w:r>
    </w:p>
    <w:p w14:paraId="15ED86F3" w14:textId="77777777" w:rsidR="00320BCC" w:rsidRPr="00D46D65" w:rsidRDefault="00000000">
      <w:pPr>
        <w:spacing w:after="160" w:line="320" w:lineRule="auto"/>
        <w:jc w:val="both"/>
      </w:pPr>
      <w:r w:rsidRPr="00D46D65">
        <w:t>The Criteo Uplift v2.1 dataset was constructed from several incrementality tests — a randomised controlled trial where a random portion of users is deliberately prevented from receiving advertising. This design enables unconfounded causal inference.</w:t>
      </w:r>
    </w:p>
    <w:p w14:paraId="545ED03F" w14:textId="77777777" w:rsidR="00320BCC" w:rsidRPr="00D46D65" w:rsidRDefault="00320BC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320BCC" w:rsidRPr="00D46D65" w14:paraId="4D2BCA89" w14:textId="77777777">
        <w:tblPrEx>
          <w:tblCellMar>
            <w:top w:w="0" w:type="dxa"/>
            <w:bottom w:w="0" w:type="dxa"/>
          </w:tblCellMar>
        </w:tblPrEx>
        <w:tc>
          <w:tcPr>
            <w:tcW w:w="3120" w:type="dxa"/>
            <w:tcBorders>
              <w:top w:val="single" w:sz="8" w:space="0" w:color="FFFFFF"/>
              <w:left w:val="single" w:sz="8" w:space="0" w:color="FFFFFF"/>
              <w:bottom w:val="single" w:sz="8" w:space="0" w:color="FFFFFF"/>
              <w:right w:val="single" w:sz="8" w:space="0" w:color="FFFFFF"/>
            </w:tcBorders>
            <w:shd w:val="clear" w:color="auto" w:fill="1E3A5F"/>
            <w:tcMar>
              <w:top w:w="80" w:type="dxa"/>
              <w:left w:w="140" w:type="dxa"/>
              <w:bottom w:w="80" w:type="dxa"/>
              <w:right w:w="140" w:type="dxa"/>
            </w:tcMar>
            <w:vAlign w:val="center"/>
          </w:tcPr>
          <w:p w14:paraId="5467F506" w14:textId="77777777" w:rsidR="00320BCC" w:rsidRPr="00D46D65" w:rsidRDefault="00000000">
            <w:pPr>
              <w:jc w:val="center"/>
            </w:pPr>
            <w:r w:rsidRPr="00D46D65">
              <w:rPr>
                <w:b/>
                <w:bCs/>
                <w:sz w:val="20"/>
                <w:szCs w:val="20"/>
              </w:rPr>
              <w:t>Property</w:t>
            </w:r>
          </w:p>
        </w:tc>
        <w:tc>
          <w:tcPr>
            <w:tcW w:w="6240" w:type="dxa"/>
            <w:tcBorders>
              <w:top w:val="single" w:sz="8" w:space="0" w:color="FFFFFF"/>
              <w:left w:val="single" w:sz="8" w:space="0" w:color="FFFFFF"/>
              <w:bottom w:val="single" w:sz="8" w:space="0" w:color="FFFFFF"/>
              <w:right w:val="single" w:sz="8" w:space="0" w:color="FFFFFF"/>
            </w:tcBorders>
            <w:shd w:val="clear" w:color="auto" w:fill="1E3A5F"/>
            <w:tcMar>
              <w:top w:w="80" w:type="dxa"/>
              <w:left w:w="140" w:type="dxa"/>
              <w:bottom w:w="80" w:type="dxa"/>
              <w:right w:w="140" w:type="dxa"/>
            </w:tcMar>
            <w:vAlign w:val="center"/>
          </w:tcPr>
          <w:p w14:paraId="332FD5DA" w14:textId="77777777" w:rsidR="00320BCC" w:rsidRPr="00D46D65" w:rsidRDefault="00000000">
            <w:pPr>
              <w:jc w:val="center"/>
            </w:pPr>
            <w:r w:rsidRPr="00D46D65">
              <w:rPr>
                <w:b/>
                <w:bCs/>
                <w:sz w:val="20"/>
                <w:szCs w:val="20"/>
              </w:rPr>
              <w:t>Value</w:t>
            </w:r>
          </w:p>
        </w:tc>
      </w:tr>
      <w:tr w:rsidR="00320BCC" w:rsidRPr="00D46D65" w14:paraId="6EC3C75C"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405C868" w14:textId="77777777" w:rsidR="00320BCC" w:rsidRPr="00D46D65" w:rsidRDefault="00000000">
            <w:r w:rsidRPr="00D46D65">
              <w:rPr>
                <w:b/>
                <w:bCs/>
                <w:sz w:val="20"/>
                <w:szCs w:val="20"/>
              </w:rPr>
              <w:t>Total rows</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CE60112" w14:textId="77777777" w:rsidR="00320BCC" w:rsidRPr="00D46D65" w:rsidRDefault="00000000">
            <w:r w:rsidRPr="00D46D65">
              <w:rPr>
                <w:sz w:val="20"/>
                <w:szCs w:val="20"/>
              </w:rPr>
              <w:t>13,979,592 users</w:t>
            </w:r>
          </w:p>
        </w:tc>
      </w:tr>
      <w:tr w:rsidR="00320BCC" w:rsidRPr="00D46D65" w14:paraId="1BF15671"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67C3FA9F" w14:textId="77777777" w:rsidR="00320BCC" w:rsidRPr="00D46D65" w:rsidRDefault="00000000">
            <w:r w:rsidRPr="00D46D65">
              <w:rPr>
                <w:b/>
                <w:bCs/>
                <w:sz w:val="20"/>
                <w:szCs w:val="20"/>
              </w:rPr>
              <w:t>Sample used</w:t>
            </w:r>
          </w:p>
        </w:tc>
        <w:tc>
          <w:tcPr>
            <w:tcW w:w="624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64729CAC" w14:textId="77777777" w:rsidR="00320BCC" w:rsidRPr="00D46D65" w:rsidRDefault="00000000">
            <w:r w:rsidRPr="00D46D65">
              <w:rPr>
                <w:sz w:val="20"/>
                <w:szCs w:val="20"/>
              </w:rPr>
              <w:t>200,000 users (random subsample, seed=42)</w:t>
            </w:r>
          </w:p>
        </w:tc>
      </w:tr>
      <w:tr w:rsidR="00320BCC" w:rsidRPr="00D46D65" w14:paraId="6F2BDC98"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48DEC5E" w14:textId="77777777" w:rsidR="00320BCC" w:rsidRPr="00D46D65" w:rsidRDefault="00000000">
            <w:r w:rsidRPr="00D46D65">
              <w:rPr>
                <w:b/>
                <w:bCs/>
                <w:sz w:val="20"/>
                <w:szCs w:val="20"/>
              </w:rPr>
              <w:t>Features</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3B19849" w14:textId="77777777" w:rsidR="00320BCC" w:rsidRPr="00D46D65" w:rsidRDefault="00000000">
            <w:r w:rsidRPr="00D46D65">
              <w:rPr>
                <w:sz w:val="20"/>
                <w:szCs w:val="20"/>
              </w:rPr>
              <w:t>12 anonymous dense float features (f0-f11)</w:t>
            </w:r>
          </w:p>
        </w:tc>
      </w:tr>
      <w:tr w:rsidR="00320BCC" w:rsidRPr="00D46D65" w14:paraId="277D00F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00BA9647" w14:textId="77777777" w:rsidR="00320BCC" w:rsidRPr="00D46D65" w:rsidRDefault="00000000">
            <w:r w:rsidRPr="00D46D65">
              <w:rPr>
                <w:b/>
                <w:bCs/>
                <w:sz w:val="20"/>
                <w:szCs w:val="20"/>
              </w:rPr>
              <w:t>Treatment ratio</w:t>
            </w:r>
          </w:p>
        </w:tc>
        <w:tc>
          <w:tcPr>
            <w:tcW w:w="624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1123DA5E" w14:textId="77777777" w:rsidR="00320BCC" w:rsidRPr="00D46D65" w:rsidRDefault="00000000">
            <w:r w:rsidRPr="00D46D65">
              <w:rPr>
                <w:sz w:val="20"/>
                <w:szCs w:val="20"/>
              </w:rPr>
              <w:t>85.0% treated / 15.0% control</w:t>
            </w:r>
          </w:p>
        </w:tc>
      </w:tr>
      <w:tr w:rsidR="00320BCC" w:rsidRPr="00D46D65" w14:paraId="2E75E257"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19A1D1F" w14:textId="77777777" w:rsidR="00320BCC" w:rsidRPr="00D46D65" w:rsidRDefault="00000000">
            <w:r w:rsidRPr="00D46D65">
              <w:rPr>
                <w:b/>
                <w:bCs/>
                <w:sz w:val="20"/>
                <w:szCs w:val="20"/>
              </w:rPr>
              <w:t>Visit rate</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05BD7E3" w14:textId="77777777" w:rsidR="00320BCC" w:rsidRPr="00D46D65" w:rsidRDefault="00000000">
            <w:r w:rsidRPr="00D46D65">
              <w:rPr>
                <w:sz w:val="20"/>
                <w:szCs w:val="20"/>
              </w:rPr>
              <w:t>~4.85% overall</w:t>
            </w:r>
          </w:p>
        </w:tc>
      </w:tr>
      <w:tr w:rsidR="00320BCC" w:rsidRPr="00D46D65" w14:paraId="78E48257"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7B78FA25" w14:textId="77777777" w:rsidR="00320BCC" w:rsidRPr="00D46D65" w:rsidRDefault="00000000">
            <w:r w:rsidRPr="00D46D65">
              <w:rPr>
                <w:b/>
                <w:bCs/>
                <w:sz w:val="20"/>
                <w:szCs w:val="20"/>
              </w:rPr>
              <w:t>Conversion rate</w:t>
            </w:r>
          </w:p>
        </w:tc>
        <w:tc>
          <w:tcPr>
            <w:tcW w:w="624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6B2155C6" w14:textId="77777777" w:rsidR="00320BCC" w:rsidRPr="00D46D65" w:rsidRDefault="00000000">
            <w:r w:rsidRPr="00D46D65">
              <w:rPr>
                <w:sz w:val="20"/>
                <w:szCs w:val="20"/>
              </w:rPr>
              <w:t>~0.29% overall (highly imbalanced)</w:t>
            </w:r>
          </w:p>
        </w:tc>
      </w:tr>
    </w:tbl>
    <w:p w14:paraId="716935B8" w14:textId="77777777" w:rsidR="00320BCC" w:rsidRPr="00D46D65" w:rsidRDefault="00320BCC"/>
    <w:p w14:paraId="6C3EC642" w14:textId="77777777" w:rsidR="00320BCC" w:rsidRPr="00D46D65" w:rsidRDefault="00000000">
      <w:pPr>
        <w:pStyle w:val="Heading2"/>
        <w:rPr>
          <w:color w:val="auto"/>
        </w:rPr>
      </w:pPr>
      <w:r w:rsidRPr="00D46D65">
        <w:rPr>
          <w:color w:val="auto"/>
        </w:rPr>
        <w:t>2.2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5460"/>
      </w:tblGrid>
      <w:tr w:rsidR="00320BCC" w:rsidRPr="00D46D65" w14:paraId="1C682EB2" w14:textId="77777777">
        <w:tblPrEx>
          <w:tblCellMar>
            <w:top w:w="0" w:type="dxa"/>
            <w:bottom w:w="0" w:type="dxa"/>
          </w:tblCellMar>
        </w:tblPrEx>
        <w:tc>
          <w:tcPr>
            <w:tcW w:w="2340" w:type="dxa"/>
            <w:tcBorders>
              <w:top w:val="single" w:sz="8" w:space="0" w:color="FFFFFF"/>
              <w:left w:val="single" w:sz="8" w:space="0" w:color="FFFFFF"/>
              <w:bottom w:val="single" w:sz="8" w:space="0" w:color="FFFFFF"/>
              <w:right w:val="single" w:sz="8" w:space="0" w:color="FFFFFF"/>
            </w:tcBorders>
            <w:shd w:val="clear" w:color="auto" w:fill="1E3A5F"/>
            <w:tcMar>
              <w:top w:w="80" w:type="dxa"/>
              <w:left w:w="140" w:type="dxa"/>
              <w:bottom w:w="80" w:type="dxa"/>
              <w:right w:w="140" w:type="dxa"/>
            </w:tcMar>
            <w:vAlign w:val="center"/>
          </w:tcPr>
          <w:p w14:paraId="3F48B9E7" w14:textId="77777777" w:rsidR="00320BCC" w:rsidRPr="00D46D65" w:rsidRDefault="00000000">
            <w:pPr>
              <w:jc w:val="center"/>
            </w:pPr>
            <w:r w:rsidRPr="00D46D65">
              <w:rPr>
                <w:b/>
                <w:bCs/>
                <w:sz w:val="20"/>
                <w:szCs w:val="20"/>
              </w:rPr>
              <w:t>Variable</w:t>
            </w:r>
          </w:p>
        </w:tc>
        <w:tc>
          <w:tcPr>
            <w:tcW w:w="1560" w:type="dxa"/>
            <w:tcBorders>
              <w:top w:val="single" w:sz="8" w:space="0" w:color="FFFFFF"/>
              <w:left w:val="single" w:sz="8" w:space="0" w:color="FFFFFF"/>
              <w:bottom w:val="single" w:sz="8" w:space="0" w:color="FFFFFF"/>
              <w:right w:val="single" w:sz="8" w:space="0" w:color="FFFFFF"/>
            </w:tcBorders>
            <w:shd w:val="clear" w:color="auto" w:fill="1E3A5F"/>
            <w:tcMar>
              <w:top w:w="80" w:type="dxa"/>
              <w:left w:w="140" w:type="dxa"/>
              <w:bottom w:w="80" w:type="dxa"/>
              <w:right w:w="140" w:type="dxa"/>
            </w:tcMar>
            <w:vAlign w:val="center"/>
          </w:tcPr>
          <w:p w14:paraId="6410AA5B" w14:textId="77777777" w:rsidR="00320BCC" w:rsidRPr="00D46D65" w:rsidRDefault="00000000">
            <w:pPr>
              <w:jc w:val="center"/>
            </w:pPr>
            <w:r w:rsidRPr="00D46D65">
              <w:rPr>
                <w:b/>
                <w:bCs/>
                <w:sz w:val="20"/>
                <w:szCs w:val="20"/>
              </w:rPr>
              <w:t>Type</w:t>
            </w:r>
          </w:p>
        </w:tc>
        <w:tc>
          <w:tcPr>
            <w:tcW w:w="5460" w:type="dxa"/>
            <w:tcBorders>
              <w:top w:val="single" w:sz="8" w:space="0" w:color="FFFFFF"/>
              <w:left w:val="single" w:sz="8" w:space="0" w:color="FFFFFF"/>
              <w:bottom w:val="single" w:sz="8" w:space="0" w:color="FFFFFF"/>
              <w:right w:val="single" w:sz="8" w:space="0" w:color="FFFFFF"/>
            </w:tcBorders>
            <w:shd w:val="clear" w:color="auto" w:fill="1E3A5F"/>
            <w:tcMar>
              <w:top w:w="80" w:type="dxa"/>
              <w:left w:w="140" w:type="dxa"/>
              <w:bottom w:w="80" w:type="dxa"/>
              <w:right w:w="140" w:type="dxa"/>
            </w:tcMar>
            <w:vAlign w:val="center"/>
          </w:tcPr>
          <w:p w14:paraId="6E646449" w14:textId="77777777" w:rsidR="00320BCC" w:rsidRPr="00D46D65" w:rsidRDefault="00000000">
            <w:pPr>
              <w:jc w:val="center"/>
            </w:pPr>
            <w:r w:rsidRPr="00D46D65">
              <w:rPr>
                <w:b/>
                <w:bCs/>
                <w:sz w:val="20"/>
                <w:szCs w:val="20"/>
              </w:rPr>
              <w:t>Description</w:t>
            </w:r>
          </w:p>
        </w:tc>
      </w:tr>
      <w:tr w:rsidR="00320BCC" w:rsidRPr="00D46D65" w14:paraId="774FD273"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3D424F9" w14:textId="77777777" w:rsidR="00320BCC" w:rsidRPr="00D46D65" w:rsidRDefault="00000000">
            <w:r w:rsidRPr="00D46D65">
              <w:rPr>
                <w:b/>
                <w:bCs/>
                <w:sz w:val="20"/>
                <w:szCs w:val="20"/>
              </w:rPr>
              <w:t>f0 - f11</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C9B5B24" w14:textId="77777777" w:rsidR="00320BCC" w:rsidRPr="00D46D65" w:rsidRDefault="00000000">
            <w:pPr>
              <w:jc w:val="center"/>
            </w:pPr>
            <w:r w:rsidRPr="00D46D65">
              <w:rPr>
                <w:sz w:val="20"/>
                <w:szCs w:val="20"/>
              </w:rPr>
              <w:t>Float</w:t>
            </w:r>
          </w:p>
        </w:tc>
        <w:tc>
          <w:tcPr>
            <w:tcW w:w="5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F04697D" w14:textId="77777777" w:rsidR="00320BCC" w:rsidRPr="00D46D65" w:rsidRDefault="00000000">
            <w:r w:rsidRPr="00D46D65">
              <w:rPr>
                <w:sz w:val="20"/>
                <w:szCs w:val="20"/>
              </w:rPr>
              <w:t>12 anonymous user features — anonymised for privacy</w:t>
            </w:r>
          </w:p>
        </w:tc>
      </w:tr>
      <w:tr w:rsidR="00320BCC" w:rsidRPr="00D46D65" w14:paraId="4F914306"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4C497126" w14:textId="77777777" w:rsidR="00320BCC" w:rsidRPr="00D46D65" w:rsidRDefault="00000000">
            <w:r w:rsidRPr="00D46D65">
              <w:rPr>
                <w:b/>
                <w:bCs/>
                <w:sz w:val="20"/>
                <w:szCs w:val="20"/>
              </w:rPr>
              <w:t>treatment</w:t>
            </w:r>
          </w:p>
        </w:tc>
        <w:tc>
          <w:tcPr>
            <w:tcW w:w="156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3886A3E2" w14:textId="77777777" w:rsidR="00320BCC" w:rsidRPr="00D46D65" w:rsidRDefault="00000000">
            <w:pPr>
              <w:jc w:val="center"/>
            </w:pPr>
            <w:r w:rsidRPr="00D46D65">
              <w:rPr>
                <w:sz w:val="20"/>
                <w:szCs w:val="20"/>
              </w:rPr>
              <w:t>Binary</w:t>
            </w:r>
          </w:p>
        </w:tc>
        <w:tc>
          <w:tcPr>
            <w:tcW w:w="546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2049F037" w14:textId="77777777" w:rsidR="00320BCC" w:rsidRPr="00D46D65" w:rsidRDefault="00000000">
            <w:r w:rsidRPr="00D46D65">
              <w:rPr>
                <w:sz w:val="20"/>
                <w:szCs w:val="20"/>
              </w:rPr>
              <w:t>1 = ad auction entered; 0 = held out (control)</w:t>
            </w:r>
          </w:p>
        </w:tc>
      </w:tr>
      <w:tr w:rsidR="00320BCC" w:rsidRPr="00D46D65" w14:paraId="74DF9786"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2C51D3E" w14:textId="77777777" w:rsidR="00320BCC" w:rsidRPr="00D46D65" w:rsidRDefault="00000000">
            <w:r w:rsidRPr="00D46D65">
              <w:rPr>
                <w:b/>
                <w:bCs/>
                <w:sz w:val="20"/>
                <w:szCs w:val="20"/>
              </w:rPr>
              <w:t>exposure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EFF81C1" w14:textId="77777777" w:rsidR="00320BCC" w:rsidRPr="00D46D65" w:rsidRDefault="00000000">
            <w:pPr>
              <w:jc w:val="center"/>
            </w:pPr>
            <w:r w:rsidRPr="00D46D65">
              <w:rPr>
                <w:sz w:val="20"/>
                <w:szCs w:val="20"/>
              </w:rPr>
              <w:t>Binary</w:t>
            </w:r>
          </w:p>
        </w:tc>
        <w:tc>
          <w:tcPr>
            <w:tcW w:w="5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B21A5BA" w14:textId="77777777" w:rsidR="00320BCC" w:rsidRPr="00D46D65" w:rsidRDefault="00000000">
            <w:r w:rsidRPr="00D46D65">
              <w:rPr>
                <w:sz w:val="20"/>
                <w:szCs w:val="20"/>
              </w:rPr>
              <w:t>1 = user actually saw the ad</w:t>
            </w:r>
          </w:p>
        </w:tc>
      </w:tr>
      <w:tr w:rsidR="00320BCC" w:rsidRPr="00D46D65" w14:paraId="38578037"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40C4F068" w14:textId="77777777" w:rsidR="00320BCC" w:rsidRPr="00D46D65" w:rsidRDefault="00000000">
            <w:r w:rsidRPr="00D46D65">
              <w:rPr>
                <w:b/>
                <w:bCs/>
                <w:sz w:val="20"/>
                <w:szCs w:val="20"/>
              </w:rPr>
              <w:t>visit</w:t>
            </w:r>
          </w:p>
        </w:tc>
        <w:tc>
          <w:tcPr>
            <w:tcW w:w="156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5E47A204" w14:textId="77777777" w:rsidR="00320BCC" w:rsidRPr="00D46D65" w:rsidRDefault="00000000">
            <w:pPr>
              <w:jc w:val="center"/>
            </w:pPr>
            <w:r w:rsidRPr="00D46D65">
              <w:rPr>
                <w:sz w:val="20"/>
                <w:szCs w:val="20"/>
              </w:rPr>
              <w:t>Binary</w:t>
            </w:r>
          </w:p>
        </w:tc>
        <w:tc>
          <w:tcPr>
            <w:tcW w:w="546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7D1F644B" w14:textId="77777777" w:rsidR="00320BCC" w:rsidRPr="00D46D65" w:rsidRDefault="00000000">
            <w:r w:rsidRPr="00D46D65">
              <w:rPr>
                <w:sz w:val="20"/>
                <w:szCs w:val="20"/>
              </w:rPr>
              <w:t>1 = visited retailer website (primary outcome)</w:t>
            </w:r>
          </w:p>
        </w:tc>
      </w:tr>
      <w:tr w:rsidR="00320BCC" w:rsidRPr="00D46D65" w14:paraId="1A0223EC"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FDE9846" w14:textId="77777777" w:rsidR="00320BCC" w:rsidRPr="00D46D65" w:rsidRDefault="00000000">
            <w:r w:rsidRPr="00D46D65">
              <w:rPr>
                <w:b/>
                <w:bCs/>
                <w:sz w:val="20"/>
                <w:szCs w:val="20"/>
              </w:rPr>
              <w:t>conversion</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984642F" w14:textId="77777777" w:rsidR="00320BCC" w:rsidRPr="00D46D65" w:rsidRDefault="00000000">
            <w:pPr>
              <w:jc w:val="center"/>
            </w:pPr>
            <w:r w:rsidRPr="00D46D65">
              <w:rPr>
                <w:sz w:val="20"/>
                <w:szCs w:val="20"/>
              </w:rPr>
              <w:t>Binary</w:t>
            </w:r>
          </w:p>
        </w:tc>
        <w:tc>
          <w:tcPr>
            <w:tcW w:w="5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704461A" w14:textId="77777777" w:rsidR="00320BCC" w:rsidRPr="00D46D65" w:rsidRDefault="00000000">
            <w:r w:rsidRPr="00D46D65">
              <w:rPr>
                <w:sz w:val="20"/>
                <w:szCs w:val="20"/>
              </w:rPr>
              <w:t>1 = made a purchase (secondary outcome)</w:t>
            </w:r>
          </w:p>
        </w:tc>
      </w:tr>
    </w:tbl>
    <w:p w14:paraId="5F28CB5B" w14:textId="77777777" w:rsidR="00320BCC" w:rsidRPr="00D46D65" w:rsidRDefault="00000000">
      <w:r w:rsidRPr="00D46D65">
        <w:br w:type="page"/>
      </w:r>
    </w:p>
    <w:p w14:paraId="35CF47F6" w14:textId="77777777" w:rsidR="00CD51EE" w:rsidRPr="00D46D65" w:rsidRDefault="00CD51EE" w:rsidP="00CD51EE">
      <w:pPr>
        <w:pStyle w:val="Heading1"/>
        <w:rPr>
          <w:color w:val="auto"/>
          <w:kern w:val="36"/>
          <w14:ligatures w14:val="standardContextual"/>
        </w:rPr>
      </w:pPr>
      <w:r w:rsidRPr="00D46D65">
        <w:rPr>
          <w:color w:val="auto"/>
        </w:rPr>
        <w:lastRenderedPageBreak/>
        <w:t>3. Methodology</w:t>
      </w:r>
    </w:p>
    <w:p w14:paraId="2E80FCAE" w14:textId="77777777" w:rsidR="00320BCC" w:rsidRPr="00D46D65" w:rsidRDefault="00000000">
      <w:pPr>
        <w:pStyle w:val="Heading2"/>
        <w:rPr>
          <w:color w:val="auto"/>
        </w:rPr>
      </w:pPr>
      <w:r w:rsidRPr="00D46D65">
        <w:rPr>
          <w:color w:val="auto"/>
        </w:rPr>
        <w:t>3.1 Summary of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320BCC" w:rsidRPr="00D46D65" w14:paraId="149FF112" w14:textId="77777777">
        <w:tblPrEx>
          <w:tblCellMar>
            <w:top w:w="0" w:type="dxa"/>
            <w:bottom w:w="0" w:type="dxa"/>
          </w:tblCellMar>
        </w:tblPrEx>
        <w:tc>
          <w:tcPr>
            <w:tcW w:w="3120" w:type="dxa"/>
            <w:tcBorders>
              <w:top w:val="single" w:sz="8" w:space="0" w:color="FFFFFF"/>
              <w:left w:val="single" w:sz="8" w:space="0" w:color="FFFFFF"/>
              <w:bottom w:val="single" w:sz="8" w:space="0" w:color="FFFFFF"/>
              <w:right w:val="single" w:sz="8" w:space="0" w:color="FFFFFF"/>
            </w:tcBorders>
            <w:shd w:val="clear" w:color="auto" w:fill="1E3A5F"/>
            <w:tcMar>
              <w:top w:w="80" w:type="dxa"/>
              <w:left w:w="140" w:type="dxa"/>
              <w:bottom w:w="80" w:type="dxa"/>
              <w:right w:w="140" w:type="dxa"/>
            </w:tcMar>
            <w:vAlign w:val="center"/>
          </w:tcPr>
          <w:p w14:paraId="256A7D2C" w14:textId="77777777" w:rsidR="00320BCC" w:rsidRPr="00D46D65" w:rsidRDefault="00000000">
            <w:pPr>
              <w:jc w:val="center"/>
            </w:pPr>
            <w:r w:rsidRPr="00D46D65">
              <w:rPr>
                <w:b/>
                <w:bCs/>
                <w:sz w:val="20"/>
                <w:szCs w:val="20"/>
              </w:rPr>
              <w:t>Method</w:t>
            </w:r>
          </w:p>
        </w:tc>
        <w:tc>
          <w:tcPr>
            <w:tcW w:w="6240" w:type="dxa"/>
            <w:tcBorders>
              <w:top w:val="single" w:sz="8" w:space="0" w:color="FFFFFF"/>
              <w:left w:val="single" w:sz="8" w:space="0" w:color="FFFFFF"/>
              <w:bottom w:val="single" w:sz="8" w:space="0" w:color="FFFFFF"/>
              <w:right w:val="single" w:sz="8" w:space="0" w:color="FFFFFF"/>
            </w:tcBorders>
            <w:shd w:val="clear" w:color="auto" w:fill="1E3A5F"/>
            <w:tcMar>
              <w:top w:w="80" w:type="dxa"/>
              <w:left w:w="140" w:type="dxa"/>
              <w:bottom w:w="80" w:type="dxa"/>
              <w:right w:w="140" w:type="dxa"/>
            </w:tcMar>
            <w:vAlign w:val="center"/>
          </w:tcPr>
          <w:p w14:paraId="0150D249" w14:textId="77777777" w:rsidR="00320BCC" w:rsidRPr="00D46D65" w:rsidRDefault="00000000">
            <w:pPr>
              <w:jc w:val="center"/>
            </w:pPr>
            <w:r w:rsidRPr="00D46D65">
              <w:rPr>
                <w:b/>
                <w:bCs/>
                <w:sz w:val="20"/>
                <w:szCs w:val="20"/>
              </w:rPr>
              <w:t>Purpose</w:t>
            </w:r>
          </w:p>
        </w:tc>
      </w:tr>
      <w:tr w:rsidR="00320BCC" w:rsidRPr="00D46D65" w14:paraId="555B2E01"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6EFFC02" w14:textId="77777777" w:rsidR="00320BCC" w:rsidRPr="00D46D65" w:rsidRDefault="00000000">
            <w:r w:rsidRPr="00D46D65">
              <w:rPr>
                <w:sz w:val="20"/>
                <w:szCs w:val="20"/>
              </w:rPr>
              <w:t>Difference-in-means + t-test</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FA3AE1B" w14:textId="77777777" w:rsidR="00320BCC" w:rsidRPr="00D46D65" w:rsidRDefault="00000000">
            <w:r w:rsidRPr="00D46D65">
              <w:rPr>
                <w:sz w:val="20"/>
                <w:szCs w:val="20"/>
              </w:rPr>
              <w:t>Estimate and test ATE — establishes campaign works (RQ1)</w:t>
            </w:r>
          </w:p>
        </w:tc>
      </w:tr>
      <w:tr w:rsidR="00320BCC" w:rsidRPr="00D46D65" w14:paraId="68693785"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2600C14B" w14:textId="77777777" w:rsidR="00320BCC" w:rsidRPr="00D46D65" w:rsidRDefault="00000000">
            <w:r w:rsidRPr="00D46D65">
              <w:rPr>
                <w:sz w:val="20"/>
                <w:szCs w:val="20"/>
              </w:rPr>
              <w:t>IPW</w:t>
            </w:r>
          </w:p>
        </w:tc>
        <w:tc>
          <w:tcPr>
            <w:tcW w:w="624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0604276D" w14:textId="77777777" w:rsidR="00320BCC" w:rsidRPr="00D46D65" w:rsidRDefault="00000000">
            <w:r w:rsidRPr="00D46D65">
              <w:rPr>
                <w:sz w:val="20"/>
                <w:szCs w:val="20"/>
              </w:rPr>
              <w:t>Robustness check for ATE using propensity reweighting</w:t>
            </w:r>
          </w:p>
        </w:tc>
      </w:tr>
      <w:tr w:rsidR="00320BCC" w:rsidRPr="00D46D65" w14:paraId="7849814C"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783C8A1" w14:textId="77777777" w:rsidR="00320BCC" w:rsidRPr="00D46D65" w:rsidRDefault="00000000">
            <w:r w:rsidRPr="00D46D65">
              <w:rPr>
                <w:sz w:val="20"/>
                <w:szCs w:val="20"/>
              </w:rPr>
              <w:t>S-Learner (LR)</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5B47DC4" w14:textId="77777777" w:rsidR="00320BCC" w:rsidRPr="00D46D65" w:rsidRDefault="00000000">
            <w:r w:rsidRPr="00D46D65">
              <w:rPr>
                <w:sz w:val="20"/>
                <w:szCs w:val="20"/>
              </w:rPr>
              <w:t>Conservative CATE baseline — single model approach</w:t>
            </w:r>
          </w:p>
        </w:tc>
      </w:tr>
      <w:tr w:rsidR="00320BCC" w:rsidRPr="00D46D65" w14:paraId="2804F514"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36F22A2F" w14:textId="77777777" w:rsidR="00320BCC" w:rsidRPr="00D46D65" w:rsidRDefault="00000000">
            <w:r w:rsidRPr="00D46D65">
              <w:rPr>
                <w:sz w:val="20"/>
                <w:szCs w:val="20"/>
              </w:rPr>
              <w:t>T-Learner (LR)</w:t>
            </w:r>
          </w:p>
        </w:tc>
        <w:tc>
          <w:tcPr>
            <w:tcW w:w="624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0349245F" w14:textId="77777777" w:rsidR="00320BCC" w:rsidRPr="00D46D65" w:rsidRDefault="00000000">
            <w:r w:rsidRPr="00D46D65">
              <w:rPr>
                <w:sz w:val="20"/>
                <w:szCs w:val="20"/>
              </w:rPr>
              <w:t>Flexible CATE — two separate models, finds negative effects</w:t>
            </w:r>
          </w:p>
        </w:tc>
      </w:tr>
      <w:tr w:rsidR="00320BCC" w:rsidRPr="00D46D65" w14:paraId="220B177D"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13ACC52" w14:textId="77777777" w:rsidR="00320BCC" w:rsidRPr="00D46D65" w:rsidRDefault="00000000">
            <w:r w:rsidRPr="00D46D65">
              <w:rPr>
                <w:sz w:val="20"/>
                <w:szCs w:val="20"/>
              </w:rPr>
              <w:t>T-Learner (LightGBM)</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7BD3E48" w14:textId="77777777" w:rsidR="00320BCC" w:rsidRPr="00D46D65" w:rsidRDefault="00000000">
            <w:r w:rsidRPr="00D46D65">
              <w:rPr>
                <w:sz w:val="20"/>
                <w:szCs w:val="20"/>
              </w:rPr>
              <w:t>Upgraded CATE — captures non-linear heterogeneity (RQ2)</w:t>
            </w:r>
          </w:p>
        </w:tc>
      </w:tr>
      <w:tr w:rsidR="00320BCC" w:rsidRPr="00D46D65" w14:paraId="1BBFE380"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1E90ED41" w14:textId="77777777" w:rsidR="00320BCC" w:rsidRPr="00D46D65" w:rsidRDefault="00000000">
            <w:r w:rsidRPr="00D46D65">
              <w:rPr>
                <w:sz w:val="20"/>
                <w:szCs w:val="20"/>
              </w:rPr>
              <w:t>Segmentation (2x2)</w:t>
            </w:r>
          </w:p>
        </w:tc>
        <w:tc>
          <w:tcPr>
            <w:tcW w:w="624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38EA9E18" w14:textId="77777777" w:rsidR="00320BCC" w:rsidRPr="00D46D65" w:rsidRDefault="00000000">
            <w:r w:rsidRPr="00D46D65">
              <w:rPr>
                <w:sz w:val="20"/>
                <w:szCs w:val="20"/>
              </w:rPr>
              <w:t>Classify users into 4 targeting groups using predicted probabilities</w:t>
            </w:r>
          </w:p>
        </w:tc>
      </w:tr>
      <w:tr w:rsidR="00320BCC" w:rsidRPr="00D46D65" w14:paraId="557EEBFF"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B8764BE" w14:textId="77777777" w:rsidR="00320BCC" w:rsidRPr="00D46D65" w:rsidRDefault="00000000">
            <w:r w:rsidRPr="00D46D65">
              <w:rPr>
                <w:sz w:val="20"/>
                <w:szCs w:val="20"/>
              </w:rPr>
              <w:t>Uplift Curves + Qini</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4308C31" w14:textId="77777777" w:rsidR="00320BCC" w:rsidRPr="00D46D65" w:rsidRDefault="00000000">
            <w:r w:rsidRPr="00D46D65">
              <w:rPr>
                <w:sz w:val="20"/>
                <w:szCs w:val="20"/>
              </w:rPr>
              <w:t>Evaluate targeting efficiency of each model</w:t>
            </w:r>
          </w:p>
        </w:tc>
      </w:tr>
    </w:tbl>
    <w:p w14:paraId="01307852" w14:textId="77777777" w:rsidR="00320BCC" w:rsidRPr="00D46D65" w:rsidRDefault="00000000">
      <w:r w:rsidRPr="00D46D65">
        <w:br w:type="page"/>
      </w:r>
    </w:p>
    <w:p w14:paraId="6BE9B98D" w14:textId="77777777" w:rsidR="00CD51EE" w:rsidRPr="00D46D65" w:rsidRDefault="00CD51EE" w:rsidP="00CD51EE">
      <w:pPr>
        <w:pStyle w:val="Heading1"/>
        <w:rPr>
          <w:color w:val="auto"/>
          <w:kern w:val="36"/>
          <w14:ligatures w14:val="standardContextual"/>
        </w:rPr>
      </w:pPr>
      <w:r w:rsidRPr="00D46D65">
        <w:rPr>
          <w:color w:val="auto"/>
        </w:rPr>
        <w:lastRenderedPageBreak/>
        <w:t>4. Exploratory Data Analysis</w:t>
      </w:r>
    </w:p>
    <w:p w14:paraId="69A3F4C3" w14:textId="77777777" w:rsidR="00320BCC" w:rsidRPr="00D46D65" w:rsidRDefault="00000000">
      <w:pPr>
        <w:pStyle w:val="Heading2"/>
        <w:rPr>
          <w:color w:val="auto"/>
        </w:rPr>
      </w:pPr>
      <w:r w:rsidRPr="00D46D65">
        <w:rPr>
          <w:color w:val="auto"/>
        </w:rPr>
        <w:t>4.1 Experimental Balance — Figure 1</w:t>
      </w:r>
    </w:p>
    <w:p w14:paraId="51F1BC5F" w14:textId="77777777" w:rsidR="00320BCC" w:rsidRPr="00D46D65" w:rsidRDefault="00000000">
      <w:pPr>
        <w:spacing w:after="160" w:line="320" w:lineRule="auto"/>
        <w:jc w:val="both"/>
      </w:pPr>
      <w:r w:rsidRPr="00D46D65">
        <w:t>The 200,000-user sample reproduces the full dataset's treatment ratio faithfully. Treatment: 169,935 users (85.0%). Control: 30,065 users (15.0%). The right panel distinguishes between treated users who were actually exposed to the ad (won the auction) versus those who were treated but not exposed.</w:t>
      </w:r>
    </w:p>
    <w:p w14:paraId="41D4790E" w14:textId="77777777" w:rsidR="00320BCC" w:rsidRPr="00D46D65" w:rsidRDefault="00320BCC"/>
    <w:p w14:paraId="0F34E12F" w14:textId="77777777" w:rsidR="00320BCC" w:rsidRPr="00D46D65" w:rsidRDefault="00000000">
      <w:pPr>
        <w:spacing w:before="160" w:after="80"/>
        <w:jc w:val="center"/>
      </w:pPr>
      <w:r w:rsidRPr="00D46D65">
        <w:rPr>
          <w:noProof/>
        </w:rPr>
        <w:drawing>
          <wp:inline distT="0" distB="0" distL="0" distR="0" wp14:anchorId="236B075D" wp14:editId="5C063EF8">
            <wp:extent cx="5810250" cy="3019425"/>
            <wp:effectExtent l="0" t="0" r="0" b="0"/>
            <wp:docPr id="1" name="Figure 1 — Experimental Design: Treatment &amp; Control Split" descr="Figure 1 — Experimental Design: Treatment &amp; Control Split" title="Figure 1 — Experimental Design: Treatment &amp; Control Sp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10250" cy="3019425"/>
                    </a:xfrm>
                    <a:prstGeom prst="rect">
                      <a:avLst/>
                    </a:prstGeom>
                  </pic:spPr>
                </pic:pic>
              </a:graphicData>
            </a:graphic>
          </wp:inline>
        </w:drawing>
      </w:r>
    </w:p>
    <w:p w14:paraId="7AAF8C68" w14:textId="77777777" w:rsidR="00320BCC" w:rsidRPr="00D46D65" w:rsidRDefault="00000000">
      <w:pPr>
        <w:spacing w:after="240"/>
        <w:jc w:val="center"/>
      </w:pPr>
      <w:r w:rsidRPr="00D46D65">
        <w:rPr>
          <w:i/>
          <w:iCs/>
          <w:sz w:val="19"/>
          <w:szCs w:val="19"/>
        </w:rPr>
        <w:t>Figure 1 — Experimental Design: Treatment &amp; Control Split</w:t>
      </w:r>
    </w:p>
    <w:p w14:paraId="3BAA64CC" w14:textId="77777777" w:rsidR="00320BCC" w:rsidRPr="00D46D65" w:rsidRDefault="00000000">
      <w:pPr>
        <w:pStyle w:val="Heading2"/>
        <w:rPr>
          <w:color w:val="auto"/>
        </w:rPr>
      </w:pPr>
      <w:r w:rsidRPr="00D46D65">
        <w:rPr>
          <w:color w:val="auto"/>
        </w:rPr>
        <w:t>4.2 Outcome Rates by Group — Figure 2</w:t>
      </w:r>
    </w:p>
    <w:p w14:paraId="12E9B90F" w14:textId="77777777" w:rsidR="00320BCC" w:rsidRPr="00D46D65" w:rsidRDefault="00000000">
      <w:pPr>
        <w:spacing w:after="160" w:line="320" w:lineRule="auto"/>
        <w:jc w:val="both"/>
      </w:pPr>
      <w:r w:rsidRPr="00D46D65">
        <w:t>Even before formal statistical testing, Figure 2 reveals the raw uplift signal. Treated users visit the site at 4.91% versus 3.88% for control — a +26.4% relative lift. The conversion rate nearly doubles from 0.18% to 0.35% (+93.0%). Both differences are visually clear and point to a positive causal effect of the ad.</w:t>
      </w:r>
    </w:p>
    <w:p w14:paraId="2B6D2AD9" w14:textId="77777777" w:rsidR="00320BCC" w:rsidRPr="00D46D65" w:rsidRDefault="00320BCC"/>
    <w:p w14:paraId="16119BBB" w14:textId="77777777" w:rsidR="00320BCC" w:rsidRPr="00D46D65" w:rsidRDefault="00000000">
      <w:pPr>
        <w:spacing w:before="160" w:after="80"/>
        <w:jc w:val="center"/>
      </w:pPr>
      <w:r w:rsidRPr="00D46D65">
        <w:rPr>
          <w:noProof/>
        </w:rPr>
        <w:lastRenderedPageBreak/>
        <w:drawing>
          <wp:inline distT="0" distB="0" distL="0" distR="0" wp14:anchorId="76AA952B" wp14:editId="0929941A">
            <wp:extent cx="5810250" cy="2457450"/>
            <wp:effectExtent l="0" t="0" r="0" b="0"/>
            <wp:docPr id="587810819" name="Figure 2 — Outcome Rates: Treatment vs Control" descr="Figure 2 — Outcome Rates: Treatment vs Control" title="Figure 2 — Outcome Rates: Treatment vs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10250" cy="2457450"/>
                    </a:xfrm>
                    <a:prstGeom prst="rect">
                      <a:avLst/>
                    </a:prstGeom>
                  </pic:spPr>
                </pic:pic>
              </a:graphicData>
            </a:graphic>
          </wp:inline>
        </w:drawing>
      </w:r>
    </w:p>
    <w:p w14:paraId="3C9000B1" w14:textId="77777777" w:rsidR="00320BCC" w:rsidRPr="00D46D65" w:rsidRDefault="00000000">
      <w:pPr>
        <w:spacing w:after="240"/>
        <w:jc w:val="center"/>
      </w:pPr>
      <w:r w:rsidRPr="00D46D65">
        <w:rPr>
          <w:i/>
          <w:iCs/>
          <w:sz w:val="19"/>
          <w:szCs w:val="19"/>
        </w:rPr>
        <w:t>Figure 2 — Outcome Rates: Treatment vs Control</w:t>
      </w:r>
    </w:p>
    <w:p w14:paraId="7B776322" w14:textId="77777777" w:rsidR="00320BCC" w:rsidRPr="00D46D65" w:rsidRDefault="00000000">
      <w:pPr>
        <w:pStyle w:val="Heading2"/>
        <w:rPr>
          <w:color w:val="auto"/>
        </w:rPr>
      </w:pPr>
      <w:r w:rsidRPr="00D46D65">
        <w:rPr>
          <w:color w:val="auto"/>
        </w:rPr>
        <w:t>4.3 Feature Distributions — Figure 3</w:t>
      </w:r>
    </w:p>
    <w:p w14:paraId="2E231194" w14:textId="77777777" w:rsidR="00320BCC" w:rsidRPr="00D46D65" w:rsidRDefault="00000000">
      <w:pPr>
        <w:spacing w:after="160" w:line="320" w:lineRule="auto"/>
        <w:jc w:val="both"/>
      </w:pPr>
      <w:r w:rsidRPr="00D46D65">
        <w:t>Figure 3 plots the density of all 12 features (f0-f11) separately for treated and control users. The near-perfect overlap across all 12 panels is the visual proof of successful randomisation — features carry no information about treatment assignment.</w:t>
      </w:r>
    </w:p>
    <w:p w14:paraId="126628EB" w14:textId="77777777" w:rsidR="00320BCC" w:rsidRPr="00D46D65" w:rsidRDefault="00320BCC"/>
    <w:p w14:paraId="743C8427" w14:textId="77777777" w:rsidR="00320BCC" w:rsidRPr="00D46D65" w:rsidRDefault="00000000">
      <w:pPr>
        <w:spacing w:before="160" w:after="80"/>
        <w:jc w:val="center"/>
      </w:pPr>
      <w:r w:rsidRPr="00D46D65">
        <w:rPr>
          <w:noProof/>
        </w:rPr>
        <w:drawing>
          <wp:inline distT="0" distB="0" distL="0" distR="0" wp14:anchorId="1B235821" wp14:editId="35F8A3AF">
            <wp:extent cx="5810250" cy="3838575"/>
            <wp:effectExtent l="0" t="0" r="0" b="0"/>
            <wp:docPr id="656192342" name="Figure 3 — Feature Distributions (f0–f11)" descr="Figure 3 — Feature Distributions (f0–f11)" title="Figure 3 — Feature Distributions (f0–f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10250" cy="3838575"/>
                    </a:xfrm>
                    <a:prstGeom prst="rect">
                      <a:avLst/>
                    </a:prstGeom>
                  </pic:spPr>
                </pic:pic>
              </a:graphicData>
            </a:graphic>
          </wp:inline>
        </w:drawing>
      </w:r>
    </w:p>
    <w:p w14:paraId="50A6C2A1" w14:textId="77777777" w:rsidR="00320BCC" w:rsidRPr="00D46D65" w:rsidRDefault="00000000">
      <w:pPr>
        <w:spacing w:after="240"/>
        <w:jc w:val="center"/>
      </w:pPr>
      <w:r w:rsidRPr="00D46D65">
        <w:rPr>
          <w:i/>
          <w:iCs/>
          <w:sz w:val="19"/>
          <w:szCs w:val="19"/>
        </w:rPr>
        <w:t>Figure 3 — Feature Distributions (f0–f11)</w:t>
      </w:r>
    </w:p>
    <w:p w14:paraId="28857B13" w14:textId="77777777" w:rsidR="00320BCC" w:rsidRPr="00D46D65" w:rsidRDefault="00000000">
      <w:pPr>
        <w:pStyle w:val="Heading2"/>
        <w:rPr>
          <w:color w:val="auto"/>
        </w:rPr>
      </w:pPr>
      <w:r w:rsidRPr="00D46D65">
        <w:rPr>
          <w:color w:val="auto"/>
        </w:rPr>
        <w:lastRenderedPageBreak/>
        <w:t>4.4 Correlation Matrix — Figure 4</w:t>
      </w:r>
    </w:p>
    <w:p w14:paraId="23CF408D" w14:textId="77777777" w:rsidR="00320BCC" w:rsidRPr="00D46D65" w:rsidRDefault="00000000">
      <w:pPr>
        <w:spacing w:after="160" w:line="320" w:lineRule="auto"/>
        <w:jc w:val="both"/>
      </w:pPr>
      <w:r w:rsidRPr="00D46D65">
        <w:t>Figure 4 shows the full Pearson correlation matrix including treatment, exposure, visit, and conversion (highlighted by the orange box). Key findings: treatment shows near-zero correlations with all features (confirming randomisation); f9 and visit show the strongest feature-outcome correlation (r=0.50); visit and conversion are correlated (r=0.25) as expected since buyers must visit first.</w:t>
      </w:r>
    </w:p>
    <w:p w14:paraId="60EC20FC" w14:textId="77777777" w:rsidR="00320BCC" w:rsidRPr="00D46D65" w:rsidRDefault="00320BCC"/>
    <w:p w14:paraId="5DBA537D" w14:textId="77777777" w:rsidR="00320BCC" w:rsidRPr="00D46D65" w:rsidRDefault="00000000">
      <w:pPr>
        <w:spacing w:before="160" w:after="80"/>
        <w:jc w:val="center"/>
      </w:pPr>
      <w:r w:rsidRPr="00D46D65">
        <w:rPr>
          <w:noProof/>
        </w:rPr>
        <w:drawing>
          <wp:inline distT="0" distB="0" distL="0" distR="0" wp14:anchorId="1EAC452C" wp14:editId="51E65F3B">
            <wp:extent cx="5429250" cy="4867275"/>
            <wp:effectExtent l="0" t="0" r="0" b="0"/>
            <wp:docPr id="482024163" name="Figure 4 — Full Correlation Matrix (Features + Treatment + Outcomes)" descr="Figure 4 — Full Correlation Matrix (Features + Treatment + Outcomes)" title="Figure 4 — Full Correlation Matrix (Features + Treatment + Outco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29250" cy="4867275"/>
                    </a:xfrm>
                    <a:prstGeom prst="rect">
                      <a:avLst/>
                    </a:prstGeom>
                  </pic:spPr>
                </pic:pic>
              </a:graphicData>
            </a:graphic>
          </wp:inline>
        </w:drawing>
      </w:r>
    </w:p>
    <w:p w14:paraId="5021CA7C" w14:textId="77777777" w:rsidR="00320BCC" w:rsidRPr="00D46D65" w:rsidRDefault="00000000">
      <w:pPr>
        <w:spacing w:after="240"/>
        <w:jc w:val="center"/>
      </w:pPr>
      <w:r w:rsidRPr="00D46D65">
        <w:rPr>
          <w:i/>
          <w:iCs/>
          <w:sz w:val="19"/>
          <w:szCs w:val="19"/>
        </w:rPr>
        <w:t>Figure 4 — Full Correlation Matrix (Features + Treatment + Outcomes)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0BCC" w:rsidRPr="00D46D65" w14:paraId="344F325A" w14:textId="77777777">
        <w:tblPrEx>
          <w:tblCellMar>
            <w:top w:w="0" w:type="dxa"/>
            <w:bottom w:w="0" w:type="dxa"/>
          </w:tblCellMar>
        </w:tblPrEx>
        <w:tc>
          <w:tcPr>
            <w:tcW w:w="9360" w:type="dxa"/>
            <w:tcBorders>
              <w:top w:val="single" w:sz="12" w:space="0" w:color="2563EB"/>
              <w:left w:val="single" w:sz="24" w:space="0" w:color="2563EB"/>
              <w:bottom w:val="single" w:sz="4" w:space="0" w:color="2563EB"/>
              <w:right w:val="none" w:sz="0" w:space="0" w:color="FFFFFF"/>
            </w:tcBorders>
            <w:shd w:val="clear" w:color="auto" w:fill="DBEAFE"/>
            <w:tcMar>
              <w:top w:w="120" w:type="dxa"/>
              <w:left w:w="200" w:type="dxa"/>
              <w:bottom w:w="120" w:type="dxa"/>
              <w:right w:w="200" w:type="dxa"/>
            </w:tcMar>
          </w:tcPr>
          <w:p w14:paraId="3B61DC5A" w14:textId="77777777" w:rsidR="00320BCC" w:rsidRPr="00D46D65" w:rsidRDefault="00000000">
            <w:r w:rsidRPr="00D46D65">
              <w:rPr>
                <w:i/>
                <w:iCs/>
              </w:rPr>
              <w:t>EDA finding: Propensity AUC of 0.5089 — barely above random guessing — combined with the visual overlap in Figure 3 and near-zero treatment-feature correlations in Figure 4 confirms the randomisation is clean. This validates both difference-in-means and IPW estimation.</w:t>
            </w:r>
          </w:p>
        </w:tc>
      </w:tr>
    </w:tbl>
    <w:p w14:paraId="5D4B6F60" w14:textId="77777777" w:rsidR="00320BCC" w:rsidRPr="00D46D65" w:rsidRDefault="00000000">
      <w:r w:rsidRPr="00D46D65">
        <w:br w:type="page"/>
      </w:r>
    </w:p>
    <w:p w14:paraId="4E423617" w14:textId="77777777" w:rsidR="00CD51EE" w:rsidRPr="00D46D65" w:rsidRDefault="00CD51EE" w:rsidP="00CD51EE">
      <w:pPr>
        <w:pStyle w:val="Heading1"/>
        <w:rPr>
          <w:color w:val="auto"/>
          <w:kern w:val="36"/>
          <w14:ligatures w14:val="standardContextual"/>
        </w:rPr>
      </w:pPr>
      <w:r w:rsidRPr="00D46D65">
        <w:rPr>
          <w:color w:val="auto"/>
        </w:rPr>
        <w:lastRenderedPageBreak/>
        <w:t>5. Average Treatment Effect Results</w:t>
      </w:r>
    </w:p>
    <w:p w14:paraId="423BE47B" w14:textId="77777777" w:rsidR="00320BCC" w:rsidRPr="00D46D65" w:rsidRDefault="00000000">
      <w:pPr>
        <w:pStyle w:val="Heading2"/>
        <w:rPr>
          <w:color w:val="auto"/>
        </w:rPr>
      </w:pPr>
      <w:r w:rsidRPr="00D46D65">
        <w:rPr>
          <w:color w:val="auto"/>
        </w:rPr>
        <w:t>5.1 Statistical Test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20BCC" w:rsidRPr="00D46D65" w14:paraId="7A3F0253" w14:textId="77777777">
        <w:tblPrEx>
          <w:tblCellMar>
            <w:top w:w="0" w:type="dxa"/>
            <w:bottom w:w="0" w:type="dxa"/>
          </w:tblCellMar>
        </w:tblPrEx>
        <w:tc>
          <w:tcPr>
            <w:tcW w:w="3120" w:type="dxa"/>
            <w:tcBorders>
              <w:top w:val="single" w:sz="8" w:space="0" w:color="FFFFFF"/>
              <w:left w:val="single" w:sz="8" w:space="0" w:color="FFFFFF"/>
              <w:bottom w:val="single" w:sz="8" w:space="0" w:color="FFFFFF"/>
              <w:right w:val="single" w:sz="8" w:space="0" w:color="FFFFFF"/>
            </w:tcBorders>
            <w:shd w:val="clear" w:color="auto" w:fill="1E3A5F"/>
            <w:tcMar>
              <w:top w:w="80" w:type="dxa"/>
              <w:left w:w="140" w:type="dxa"/>
              <w:bottom w:w="80" w:type="dxa"/>
              <w:right w:w="140" w:type="dxa"/>
            </w:tcMar>
            <w:vAlign w:val="center"/>
          </w:tcPr>
          <w:p w14:paraId="0EB907D9" w14:textId="77777777" w:rsidR="00320BCC" w:rsidRPr="00D46D65" w:rsidRDefault="00000000">
            <w:pPr>
              <w:jc w:val="center"/>
            </w:pPr>
            <w:r w:rsidRPr="00D46D65">
              <w:rPr>
                <w:b/>
                <w:bCs/>
                <w:sz w:val="20"/>
                <w:szCs w:val="20"/>
              </w:rPr>
              <w:t>Metric</w:t>
            </w:r>
          </w:p>
        </w:tc>
        <w:tc>
          <w:tcPr>
            <w:tcW w:w="3120" w:type="dxa"/>
            <w:tcBorders>
              <w:top w:val="single" w:sz="8" w:space="0" w:color="FFFFFF"/>
              <w:left w:val="single" w:sz="8" w:space="0" w:color="FFFFFF"/>
              <w:bottom w:val="single" w:sz="8" w:space="0" w:color="FFFFFF"/>
              <w:right w:val="single" w:sz="8" w:space="0" w:color="FFFFFF"/>
            </w:tcBorders>
            <w:shd w:val="clear" w:color="auto" w:fill="1E3A5F"/>
            <w:tcMar>
              <w:top w:w="80" w:type="dxa"/>
              <w:left w:w="140" w:type="dxa"/>
              <w:bottom w:w="80" w:type="dxa"/>
              <w:right w:w="140" w:type="dxa"/>
            </w:tcMar>
            <w:vAlign w:val="center"/>
          </w:tcPr>
          <w:p w14:paraId="6B6EB60B" w14:textId="77777777" w:rsidR="00320BCC" w:rsidRPr="00D46D65" w:rsidRDefault="00000000">
            <w:pPr>
              <w:jc w:val="center"/>
            </w:pPr>
            <w:r w:rsidRPr="00D46D65">
              <w:rPr>
                <w:b/>
                <w:bCs/>
                <w:sz w:val="20"/>
                <w:szCs w:val="20"/>
              </w:rPr>
              <w:t>Visit</w:t>
            </w:r>
          </w:p>
        </w:tc>
        <w:tc>
          <w:tcPr>
            <w:tcW w:w="3120" w:type="dxa"/>
            <w:tcBorders>
              <w:top w:val="single" w:sz="8" w:space="0" w:color="FFFFFF"/>
              <w:left w:val="single" w:sz="8" w:space="0" w:color="FFFFFF"/>
              <w:bottom w:val="single" w:sz="8" w:space="0" w:color="FFFFFF"/>
              <w:right w:val="single" w:sz="8" w:space="0" w:color="FFFFFF"/>
            </w:tcBorders>
            <w:shd w:val="clear" w:color="auto" w:fill="1E3A5F"/>
            <w:tcMar>
              <w:top w:w="80" w:type="dxa"/>
              <w:left w:w="140" w:type="dxa"/>
              <w:bottom w:w="80" w:type="dxa"/>
              <w:right w:w="140" w:type="dxa"/>
            </w:tcMar>
            <w:vAlign w:val="center"/>
          </w:tcPr>
          <w:p w14:paraId="114AB644" w14:textId="77777777" w:rsidR="00320BCC" w:rsidRPr="00D46D65" w:rsidRDefault="00000000">
            <w:pPr>
              <w:jc w:val="center"/>
            </w:pPr>
            <w:r w:rsidRPr="00D46D65">
              <w:rPr>
                <w:b/>
                <w:bCs/>
                <w:sz w:val="20"/>
                <w:szCs w:val="20"/>
              </w:rPr>
              <w:t>Conversion</w:t>
            </w:r>
          </w:p>
        </w:tc>
      </w:tr>
      <w:tr w:rsidR="00320BCC" w:rsidRPr="00D46D65" w14:paraId="01A746FF"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E49301F" w14:textId="77777777" w:rsidR="00320BCC" w:rsidRPr="00D46D65" w:rsidRDefault="00000000">
            <w:r w:rsidRPr="00D46D65">
              <w:rPr>
                <w:b/>
                <w:bCs/>
                <w:sz w:val="20"/>
                <w:szCs w:val="20"/>
              </w:rPr>
              <w:t>Control rate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8C80CC6" w14:textId="77777777" w:rsidR="00320BCC" w:rsidRPr="00D46D65" w:rsidRDefault="00000000">
            <w:pPr>
              <w:jc w:val="center"/>
            </w:pPr>
            <w:r w:rsidRPr="00D46D65">
              <w:rPr>
                <w:sz w:val="20"/>
                <w:szCs w:val="20"/>
              </w:rPr>
              <w:t>0.0388</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D9ED6E7" w14:textId="77777777" w:rsidR="00320BCC" w:rsidRPr="00D46D65" w:rsidRDefault="00000000">
            <w:pPr>
              <w:jc w:val="center"/>
            </w:pPr>
            <w:r w:rsidRPr="00D46D65">
              <w:rPr>
                <w:sz w:val="20"/>
                <w:szCs w:val="20"/>
              </w:rPr>
              <w:t>0.0018</w:t>
            </w:r>
          </w:p>
        </w:tc>
      </w:tr>
      <w:tr w:rsidR="00320BCC" w:rsidRPr="00D46D65" w14:paraId="033F4B4E"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095B477B" w14:textId="77777777" w:rsidR="00320BCC" w:rsidRPr="00D46D65" w:rsidRDefault="00000000">
            <w:r w:rsidRPr="00D46D65">
              <w:rPr>
                <w:b/>
                <w:bCs/>
                <w:sz w:val="20"/>
                <w:szCs w:val="20"/>
              </w:rPr>
              <w:t>Treatment rate</w:t>
            </w:r>
          </w:p>
        </w:tc>
        <w:tc>
          <w:tcPr>
            <w:tcW w:w="312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0DD1FEEC" w14:textId="77777777" w:rsidR="00320BCC" w:rsidRPr="00D46D65" w:rsidRDefault="00000000">
            <w:pPr>
              <w:jc w:val="center"/>
            </w:pPr>
            <w:r w:rsidRPr="00D46D65">
              <w:rPr>
                <w:sz w:val="20"/>
                <w:szCs w:val="20"/>
              </w:rPr>
              <w:t>0.0491</w:t>
            </w:r>
          </w:p>
        </w:tc>
        <w:tc>
          <w:tcPr>
            <w:tcW w:w="312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4C2D5C6B" w14:textId="77777777" w:rsidR="00320BCC" w:rsidRPr="00D46D65" w:rsidRDefault="00000000">
            <w:pPr>
              <w:jc w:val="center"/>
            </w:pPr>
            <w:r w:rsidRPr="00D46D65">
              <w:rPr>
                <w:sz w:val="20"/>
                <w:szCs w:val="20"/>
              </w:rPr>
              <w:t>0.0035</w:t>
            </w:r>
          </w:p>
        </w:tc>
      </w:tr>
      <w:tr w:rsidR="00320BCC" w:rsidRPr="00D46D65" w14:paraId="15A4D431"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E38A3A3" w14:textId="77777777" w:rsidR="00320BCC" w:rsidRPr="00D46D65" w:rsidRDefault="00000000">
            <w:r w:rsidRPr="00D46D65">
              <w:rPr>
                <w:b/>
                <w:bCs/>
                <w:sz w:val="20"/>
                <w:szCs w:val="20"/>
              </w:rPr>
              <w:t>ATE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DEA75D0" w14:textId="77777777" w:rsidR="00320BCC" w:rsidRPr="00D46D65" w:rsidRDefault="00000000">
            <w:pPr>
              <w:jc w:val="center"/>
            </w:pPr>
            <w:r w:rsidRPr="00D46D65">
              <w:rPr>
                <w:b/>
                <w:bCs/>
                <w:sz w:val="20"/>
                <w:szCs w:val="20"/>
              </w:rPr>
              <w:t>+0.0103</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6B695FD" w14:textId="77777777" w:rsidR="00320BCC" w:rsidRPr="00D46D65" w:rsidRDefault="00000000">
            <w:pPr>
              <w:jc w:val="center"/>
            </w:pPr>
            <w:r w:rsidRPr="00D46D65">
              <w:rPr>
                <w:b/>
                <w:bCs/>
                <w:sz w:val="20"/>
                <w:szCs w:val="20"/>
              </w:rPr>
              <w:t>+0.0017</w:t>
            </w:r>
          </w:p>
        </w:tc>
      </w:tr>
      <w:tr w:rsidR="00320BCC" w:rsidRPr="00D46D65" w14:paraId="632262E6"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6F6D2800" w14:textId="77777777" w:rsidR="00320BCC" w:rsidRPr="00D46D65" w:rsidRDefault="00000000">
            <w:r w:rsidRPr="00D46D65">
              <w:rPr>
                <w:b/>
                <w:bCs/>
                <w:sz w:val="20"/>
                <w:szCs w:val="20"/>
              </w:rPr>
              <w:t>95% CI</w:t>
            </w:r>
          </w:p>
        </w:tc>
        <w:tc>
          <w:tcPr>
            <w:tcW w:w="312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49A47DC9" w14:textId="77777777" w:rsidR="00320BCC" w:rsidRPr="00D46D65" w:rsidRDefault="00000000">
            <w:pPr>
              <w:jc w:val="center"/>
            </w:pPr>
            <w:r w:rsidRPr="00D46D65">
              <w:rPr>
                <w:sz w:val="20"/>
                <w:szCs w:val="20"/>
              </w:rPr>
              <w:t>[+0.0079, +0.0127]</w:t>
            </w:r>
          </w:p>
        </w:tc>
        <w:tc>
          <w:tcPr>
            <w:tcW w:w="312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467A768A" w14:textId="77777777" w:rsidR="00320BCC" w:rsidRPr="00D46D65" w:rsidRDefault="00000000">
            <w:pPr>
              <w:jc w:val="center"/>
            </w:pPr>
            <w:r w:rsidRPr="00D46D65">
              <w:rPr>
                <w:sz w:val="20"/>
                <w:szCs w:val="20"/>
              </w:rPr>
              <w:t>[+0.0011, +0.0022]</w:t>
            </w:r>
          </w:p>
        </w:tc>
      </w:tr>
      <w:tr w:rsidR="00320BCC" w:rsidRPr="00D46D65" w14:paraId="6A4E3FDA"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938F86F" w14:textId="77777777" w:rsidR="00320BCC" w:rsidRPr="00D46D65" w:rsidRDefault="00000000">
            <w:r w:rsidRPr="00D46D65">
              <w:rPr>
                <w:b/>
                <w:bCs/>
                <w:sz w:val="20"/>
                <w:szCs w:val="20"/>
              </w:rPr>
              <w:t>t-statistic</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99F7CDC" w14:textId="77777777" w:rsidR="00320BCC" w:rsidRPr="00D46D65" w:rsidRDefault="00000000">
            <w:pPr>
              <w:jc w:val="center"/>
            </w:pPr>
            <w:r w:rsidRPr="00D46D65">
              <w:rPr>
                <w:sz w:val="20"/>
                <w:szCs w:val="20"/>
              </w:rPr>
              <w:t>7.7120</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685E926" w14:textId="77777777" w:rsidR="00320BCC" w:rsidRPr="00D46D65" w:rsidRDefault="00000000">
            <w:pPr>
              <w:jc w:val="center"/>
            </w:pPr>
            <w:r w:rsidRPr="00D46D65">
              <w:rPr>
                <w:sz w:val="20"/>
                <w:szCs w:val="20"/>
              </w:rPr>
              <w:t>4.7150</w:t>
            </w:r>
          </w:p>
        </w:tc>
      </w:tr>
      <w:tr w:rsidR="00320BCC" w:rsidRPr="00D46D65" w14:paraId="00673064"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56F4815C" w14:textId="77777777" w:rsidR="00320BCC" w:rsidRPr="00D46D65" w:rsidRDefault="00000000">
            <w:r w:rsidRPr="00D46D65">
              <w:rPr>
                <w:b/>
                <w:bCs/>
                <w:sz w:val="20"/>
                <w:szCs w:val="20"/>
              </w:rPr>
              <w:t>p-value</w:t>
            </w:r>
          </w:p>
        </w:tc>
        <w:tc>
          <w:tcPr>
            <w:tcW w:w="312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7D13873A" w14:textId="77777777" w:rsidR="00320BCC" w:rsidRPr="00D46D65" w:rsidRDefault="00000000">
            <w:pPr>
              <w:jc w:val="center"/>
            </w:pPr>
            <w:r w:rsidRPr="00D46D65">
              <w:rPr>
                <w:b/>
                <w:bCs/>
                <w:sz w:val="20"/>
                <w:szCs w:val="20"/>
              </w:rPr>
              <w:t>&lt; 0.000001</w:t>
            </w:r>
          </w:p>
        </w:tc>
        <w:tc>
          <w:tcPr>
            <w:tcW w:w="312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7137AFFB" w14:textId="77777777" w:rsidR="00320BCC" w:rsidRPr="00D46D65" w:rsidRDefault="00000000">
            <w:pPr>
              <w:jc w:val="center"/>
            </w:pPr>
            <w:r w:rsidRPr="00D46D65">
              <w:rPr>
                <w:b/>
                <w:bCs/>
                <w:sz w:val="20"/>
                <w:szCs w:val="20"/>
              </w:rPr>
              <w:t>0.000002</w:t>
            </w:r>
          </w:p>
        </w:tc>
      </w:tr>
      <w:tr w:rsidR="00320BCC" w:rsidRPr="00D46D65" w14:paraId="045E23F3"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1B817B7" w14:textId="77777777" w:rsidR="00320BCC" w:rsidRPr="00D46D65" w:rsidRDefault="00000000">
            <w:r w:rsidRPr="00D46D65">
              <w:rPr>
                <w:b/>
                <w:bCs/>
                <w:sz w:val="20"/>
                <w:szCs w:val="20"/>
              </w:rPr>
              <w:t>Relative lift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E72817A" w14:textId="77777777" w:rsidR="00320BCC" w:rsidRPr="00D46D65" w:rsidRDefault="00000000">
            <w:pPr>
              <w:jc w:val="center"/>
            </w:pPr>
            <w:r w:rsidRPr="00D46D65">
              <w:rPr>
                <w:b/>
                <w:bCs/>
                <w:sz w:val="20"/>
                <w:szCs w:val="20"/>
              </w:rPr>
              <w:t>+26.4%</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9DDFDCA" w14:textId="77777777" w:rsidR="00320BCC" w:rsidRPr="00D46D65" w:rsidRDefault="00000000">
            <w:pPr>
              <w:jc w:val="center"/>
            </w:pPr>
            <w:r w:rsidRPr="00D46D65">
              <w:rPr>
                <w:b/>
                <w:bCs/>
                <w:sz w:val="20"/>
                <w:szCs w:val="20"/>
              </w:rPr>
              <w:t>+93.0%</w:t>
            </w:r>
          </w:p>
        </w:tc>
      </w:tr>
    </w:tbl>
    <w:p w14:paraId="2A95D488" w14:textId="77777777" w:rsidR="00320BCC" w:rsidRPr="00D46D65" w:rsidRDefault="00320BCC"/>
    <w:p w14:paraId="5107222C" w14:textId="77777777" w:rsidR="00320BCC" w:rsidRPr="00D46D65" w:rsidRDefault="00000000">
      <w:pPr>
        <w:pStyle w:val="Heading2"/>
        <w:rPr>
          <w:color w:val="auto"/>
        </w:rPr>
      </w:pPr>
      <w:r w:rsidRPr="00D46D65">
        <w:rPr>
          <w:color w:val="auto"/>
        </w:rPr>
        <w:t>5.2 ATE with Confidence Intervals — Figure 5</w:t>
      </w:r>
    </w:p>
    <w:p w14:paraId="19B6D7BD" w14:textId="77777777" w:rsidR="00320BCC" w:rsidRPr="00D46D65" w:rsidRDefault="00000000">
      <w:pPr>
        <w:spacing w:after="160" w:line="320" w:lineRule="auto"/>
        <w:jc w:val="both"/>
      </w:pPr>
      <w:r w:rsidRPr="00D46D65">
        <w:t>Figure 5 visualises the statistical test. Both bars sit comfortably above the dashed H0 = 0 baseline, and the black error bars (95% CI) do not cross zero for either outcome. The p-values confirm both effects are significant at the 0.001% level.</w:t>
      </w:r>
    </w:p>
    <w:p w14:paraId="167F3AC4" w14:textId="77777777" w:rsidR="00320BCC" w:rsidRPr="00D46D65" w:rsidRDefault="00320BCC"/>
    <w:p w14:paraId="29FE2129" w14:textId="77777777" w:rsidR="00320BCC" w:rsidRPr="00D46D65" w:rsidRDefault="00000000">
      <w:pPr>
        <w:spacing w:before="160" w:after="80"/>
        <w:jc w:val="center"/>
      </w:pPr>
      <w:r w:rsidRPr="00D46D65">
        <w:rPr>
          <w:noProof/>
        </w:rPr>
        <w:drawing>
          <wp:inline distT="0" distB="0" distL="0" distR="0" wp14:anchorId="0DE047C2" wp14:editId="702D9179">
            <wp:extent cx="5810250" cy="2667000"/>
            <wp:effectExtent l="0" t="0" r="0" b="0"/>
            <wp:docPr id="1275087220" name="Figure 5 — ATE with 95% Confidence Intervals" descr="Figure 5 — ATE with 95% Confidence Intervals" title="Figure 5 — ATE with 95% Confidence Inter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10250" cy="2667000"/>
                    </a:xfrm>
                    <a:prstGeom prst="rect">
                      <a:avLst/>
                    </a:prstGeom>
                  </pic:spPr>
                </pic:pic>
              </a:graphicData>
            </a:graphic>
          </wp:inline>
        </w:drawing>
      </w:r>
    </w:p>
    <w:p w14:paraId="154ADEF7" w14:textId="77777777" w:rsidR="00320BCC" w:rsidRPr="00D46D65" w:rsidRDefault="00000000">
      <w:pPr>
        <w:spacing w:after="240"/>
        <w:jc w:val="center"/>
      </w:pPr>
      <w:r w:rsidRPr="00D46D65">
        <w:rPr>
          <w:i/>
          <w:iCs/>
          <w:sz w:val="19"/>
          <w:szCs w:val="19"/>
        </w:rPr>
        <w:t>Figure 5 — ATE with 95% Confidence Intervals</w:t>
      </w:r>
    </w:p>
    <w:p w14:paraId="74585EA1" w14:textId="77777777" w:rsidR="00320BCC" w:rsidRPr="00D46D65" w:rsidRDefault="00000000">
      <w:pPr>
        <w:pStyle w:val="Heading2"/>
        <w:rPr>
          <w:color w:val="auto"/>
        </w:rPr>
      </w:pPr>
      <w:r w:rsidRPr="00D46D65">
        <w:rPr>
          <w:color w:val="auto"/>
        </w:rPr>
        <w:t>5.3 Relative Lift — Figure 6</w:t>
      </w:r>
    </w:p>
    <w:p w14:paraId="7D332977" w14:textId="77777777" w:rsidR="00320BCC" w:rsidRPr="00D46D65" w:rsidRDefault="00000000">
      <w:pPr>
        <w:spacing w:after="160" w:line="320" w:lineRule="auto"/>
        <w:jc w:val="both"/>
      </w:pPr>
      <w:r w:rsidRPr="00D46D65">
        <w:t xml:space="preserve">Figure 6 translates the ATE into business language. A 26.4% increase in visits and a 93.0% near-doubling of the conversion rate represent substantial commercial impact. The conversion result is </w:t>
      </w:r>
      <w:r w:rsidRPr="00D46D65">
        <w:lastRenderedPageBreak/>
        <w:t>particularly striking — from 0.18% to 0.35% — showing the ad is especially effective at pushing users over the purchase threshold.</w:t>
      </w:r>
    </w:p>
    <w:p w14:paraId="2ECAB87C" w14:textId="77777777" w:rsidR="00320BCC" w:rsidRPr="00D46D65" w:rsidRDefault="00320BCC"/>
    <w:p w14:paraId="3214496F" w14:textId="77777777" w:rsidR="00320BCC" w:rsidRPr="00D46D65" w:rsidRDefault="00000000">
      <w:pPr>
        <w:spacing w:before="160" w:after="80"/>
        <w:jc w:val="center"/>
      </w:pPr>
      <w:r w:rsidRPr="00D46D65">
        <w:rPr>
          <w:noProof/>
        </w:rPr>
        <w:drawing>
          <wp:inline distT="0" distB="0" distL="0" distR="0" wp14:anchorId="1F32D169" wp14:editId="7B9865C2">
            <wp:extent cx="5810250" cy="2438400"/>
            <wp:effectExtent l="0" t="0" r="0" b="0"/>
            <wp:docPr id="2065649666" name="Figure 6 — Relative Lift: Business Interpretation of ATE" descr="Figure 6 — Relative Lift: Business Interpretation of ATE" title="Figure 6 — Relative Lift: Business Interpretation of 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10250" cy="2438400"/>
                    </a:xfrm>
                    <a:prstGeom prst="rect">
                      <a:avLst/>
                    </a:prstGeom>
                  </pic:spPr>
                </pic:pic>
              </a:graphicData>
            </a:graphic>
          </wp:inline>
        </w:drawing>
      </w:r>
    </w:p>
    <w:p w14:paraId="4F51FFBD" w14:textId="77777777" w:rsidR="00320BCC" w:rsidRPr="00D46D65" w:rsidRDefault="00000000">
      <w:pPr>
        <w:spacing w:after="240"/>
        <w:jc w:val="center"/>
      </w:pPr>
      <w:r w:rsidRPr="00D46D65">
        <w:rPr>
          <w:i/>
          <w:iCs/>
          <w:sz w:val="19"/>
          <w:szCs w:val="19"/>
        </w:rPr>
        <w:t>Figure 6 — Relative Lift: Business Interpretation of 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0BCC" w:rsidRPr="00D46D65" w14:paraId="292F9CEE" w14:textId="77777777">
        <w:tblPrEx>
          <w:tblCellMar>
            <w:top w:w="0" w:type="dxa"/>
            <w:bottom w:w="0" w:type="dxa"/>
          </w:tblCellMar>
        </w:tblPrEx>
        <w:tc>
          <w:tcPr>
            <w:tcW w:w="9360" w:type="dxa"/>
            <w:tcBorders>
              <w:top w:val="single" w:sz="12" w:space="0" w:color="2563EB"/>
              <w:left w:val="single" w:sz="24" w:space="0" w:color="2563EB"/>
              <w:bottom w:val="single" w:sz="4" w:space="0" w:color="2563EB"/>
              <w:right w:val="none" w:sz="0" w:space="0" w:color="FFFFFF"/>
            </w:tcBorders>
            <w:shd w:val="clear" w:color="auto" w:fill="DBEAFE"/>
            <w:tcMar>
              <w:top w:w="120" w:type="dxa"/>
              <w:left w:w="200" w:type="dxa"/>
              <w:bottom w:w="120" w:type="dxa"/>
              <w:right w:w="200" w:type="dxa"/>
            </w:tcMar>
          </w:tcPr>
          <w:p w14:paraId="17CCDC64" w14:textId="77777777" w:rsidR="00320BCC" w:rsidRPr="00D46D65" w:rsidRDefault="00000000">
            <w:r w:rsidRPr="00D46D65">
              <w:rPr>
                <w:i/>
                <w:iCs/>
              </w:rPr>
              <w:t>Key finding (RQ1): The ad campaign causally increases website visits by +26.4% and nearly doubles the conversion rate (+93.0%). Both effects are statistically significant at the 0.1% level with confidence intervals excluding zero entirely.</w:t>
            </w:r>
          </w:p>
        </w:tc>
      </w:tr>
    </w:tbl>
    <w:p w14:paraId="22A41D92" w14:textId="77777777" w:rsidR="00320BCC" w:rsidRPr="00D46D65" w:rsidRDefault="00000000">
      <w:r w:rsidRPr="00D46D65">
        <w:br w:type="page"/>
      </w:r>
    </w:p>
    <w:p w14:paraId="1886873B" w14:textId="77777777" w:rsidR="00CD51EE" w:rsidRPr="00D46D65" w:rsidRDefault="00CD51EE" w:rsidP="00CD51EE">
      <w:pPr>
        <w:pStyle w:val="Heading1"/>
        <w:rPr>
          <w:color w:val="auto"/>
          <w:kern w:val="36"/>
          <w14:ligatures w14:val="standardContextual"/>
        </w:rPr>
      </w:pPr>
      <w:r w:rsidRPr="00D46D65">
        <w:rPr>
          <w:color w:val="auto"/>
        </w:rPr>
        <w:lastRenderedPageBreak/>
        <w:t>6. IPW Robustness Check</w:t>
      </w:r>
    </w:p>
    <w:p w14:paraId="1A16E9AB" w14:textId="77777777" w:rsidR="00320BCC" w:rsidRPr="00D46D65" w:rsidRDefault="00000000">
      <w:pPr>
        <w:pStyle w:val="Heading2"/>
        <w:rPr>
          <w:color w:val="auto"/>
        </w:rPr>
      </w:pPr>
      <w:r w:rsidRPr="00D46D65">
        <w:rPr>
          <w:color w:val="auto"/>
        </w:rPr>
        <w:t>6.1 Propensity Score Diagnostics — Figure 7</w:t>
      </w:r>
    </w:p>
    <w:p w14:paraId="7C0F0269" w14:textId="77777777" w:rsidR="00320BCC" w:rsidRPr="00D46D65" w:rsidRDefault="00000000">
      <w:pPr>
        <w:spacing w:after="160" w:line="320" w:lineRule="auto"/>
        <w:jc w:val="both"/>
      </w:pPr>
      <w:r w:rsidRPr="00D46D65">
        <w:t>Figure 7 validates the IPW approach. The left panel confirms the overlap assumption — propensity scores for treated and control users are packed into [0.827, 0.949], virtually identical across groups. The right panel shows IPW weights: treated users get mild weights (~1.18) while control users get larger weights (~6.67), reflecting the 85/15 experimental design.</w:t>
      </w:r>
    </w:p>
    <w:p w14:paraId="66DC664F" w14:textId="77777777" w:rsidR="00320BCC" w:rsidRPr="00D46D65" w:rsidRDefault="00320BCC"/>
    <w:p w14:paraId="304DE1C1" w14:textId="77777777" w:rsidR="00320BCC" w:rsidRPr="00D46D65" w:rsidRDefault="00000000">
      <w:pPr>
        <w:spacing w:before="160" w:after="80"/>
        <w:jc w:val="center"/>
      </w:pPr>
      <w:r w:rsidRPr="00D46D65">
        <w:rPr>
          <w:noProof/>
        </w:rPr>
        <w:drawing>
          <wp:inline distT="0" distB="0" distL="0" distR="0" wp14:anchorId="2084C1A8" wp14:editId="20061F60">
            <wp:extent cx="5810250" cy="2276475"/>
            <wp:effectExtent l="0" t="0" r="0" b="0"/>
            <wp:docPr id="2079859521" name="Figure 7 — Propensity Score Diagnostics" descr="Figure 7 — Propensity Score Diagnostics" title="Figure 7 — Propensity Score Diagno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810250" cy="2276475"/>
                    </a:xfrm>
                    <a:prstGeom prst="rect">
                      <a:avLst/>
                    </a:prstGeom>
                  </pic:spPr>
                </pic:pic>
              </a:graphicData>
            </a:graphic>
          </wp:inline>
        </w:drawing>
      </w:r>
    </w:p>
    <w:p w14:paraId="36DA8906" w14:textId="77777777" w:rsidR="00320BCC" w:rsidRPr="00D46D65" w:rsidRDefault="00000000">
      <w:pPr>
        <w:spacing w:after="240"/>
        <w:jc w:val="center"/>
      </w:pPr>
      <w:r w:rsidRPr="00D46D65">
        <w:rPr>
          <w:i/>
          <w:iCs/>
          <w:sz w:val="19"/>
          <w:szCs w:val="19"/>
        </w:rPr>
        <w:t>Figure 7 — Propensity Score Diagnostics</w:t>
      </w:r>
    </w:p>
    <w:p w14:paraId="78C771D5" w14:textId="77777777" w:rsidR="00320BCC" w:rsidRPr="00D46D65" w:rsidRDefault="00000000">
      <w:pPr>
        <w:pStyle w:val="Heading2"/>
        <w:rPr>
          <w:color w:val="auto"/>
        </w:rPr>
      </w:pPr>
      <w:r w:rsidRPr="00D46D65">
        <w:rPr>
          <w:color w:val="auto"/>
        </w:rPr>
        <w:t>6.2 Naive vs IPW ATE — Figure 8</w:t>
      </w:r>
    </w:p>
    <w:p w14:paraId="16670399" w14:textId="77777777" w:rsidR="00320BCC" w:rsidRPr="00D46D65" w:rsidRDefault="00000000">
      <w:pPr>
        <w:spacing w:after="160" w:line="320" w:lineRule="auto"/>
        <w:jc w:val="both"/>
      </w:pPr>
      <w:r w:rsidRPr="00D46D65">
        <w:t>Figure 8 compares the naive and IPW estimates side by side. For visits, IPW produces +0.0080 versus +0.0103 naive — a modest downward adjustment. For conversions, the difference is negligible (-0.0002). Critically, both methods point in the same direction with similar magnitudes.</w:t>
      </w:r>
    </w:p>
    <w:p w14:paraId="0901CAF2" w14:textId="77777777" w:rsidR="00320BCC" w:rsidRPr="00D46D65" w:rsidRDefault="00320BCC"/>
    <w:p w14:paraId="24D34888" w14:textId="77777777" w:rsidR="00320BCC" w:rsidRPr="00D46D65" w:rsidRDefault="00000000">
      <w:pPr>
        <w:spacing w:before="160" w:after="80"/>
        <w:jc w:val="center"/>
      </w:pPr>
      <w:r w:rsidRPr="00D46D65">
        <w:rPr>
          <w:noProof/>
        </w:rPr>
        <w:lastRenderedPageBreak/>
        <w:drawing>
          <wp:inline distT="0" distB="0" distL="0" distR="0" wp14:anchorId="25EE7B72" wp14:editId="49028886">
            <wp:extent cx="5810250" cy="2676525"/>
            <wp:effectExtent l="0" t="0" r="0" b="0"/>
            <wp:docPr id="1357613730" name="Figure 8 — Naive ATE vs IPW ATE: Robustness Check" descr="Figure 8 — Naive ATE vs IPW ATE: Robustness Check" title="Figure 8 — Naive ATE vs IPW ATE: Robustness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810250" cy="2676525"/>
                    </a:xfrm>
                    <a:prstGeom prst="rect">
                      <a:avLst/>
                    </a:prstGeom>
                  </pic:spPr>
                </pic:pic>
              </a:graphicData>
            </a:graphic>
          </wp:inline>
        </w:drawing>
      </w:r>
    </w:p>
    <w:p w14:paraId="58926019" w14:textId="77777777" w:rsidR="00320BCC" w:rsidRPr="00D46D65" w:rsidRDefault="00000000">
      <w:pPr>
        <w:spacing w:after="240"/>
        <w:jc w:val="center"/>
      </w:pPr>
      <w:r w:rsidRPr="00D46D65">
        <w:rPr>
          <w:i/>
          <w:iCs/>
          <w:sz w:val="19"/>
          <w:szCs w:val="19"/>
        </w:rPr>
        <w:t>Figure 8 — Naive ATE vs IPW ATE: Robustness Check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20BCC" w:rsidRPr="00D46D65" w14:paraId="2EC26FA3" w14:textId="77777777">
        <w:tblPrEx>
          <w:tblCellMar>
            <w:top w:w="0" w:type="dxa"/>
            <w:bottom w:w="0" w:type="dxa"/>
          </w:tblCellMar>
        </w:tblPrEx>
        <w:tc>
          <w:tcPr>
            <w:tcW w:w="3120" w:type="dxa"/>
            <w:tcBorders>
              <w:top w:val="single" w:sz="8" w:space="0" w:color="FFFFFF"/>
              <w:left w:val="single" w:sz="8" w:space="0" w:color="FFFFFF"/>
              <w:bottom w:val="single" w:sz="8" w:space="0" w:color="FFFFFF"/>
              <w:right w:val="single" w:sz="8" w:space="0" w:color="FFFFFF"/>
            </w:tcBorders>
            <w:shd w:val="clear" w:color="auto" w:fill="1E3A5F"/>
            <w:tcMar>
              <w:top w:w="80" w:type="dxa"/>
              <w:left w:w="140" w:type="dxa"/>
              <w:bottom w:w="80" w:type="dxa"/>
              <w:right w:w="140" w:type="dxa"/>
            </w:tcMar>
            <w:vAlign w:val="center"/>
          </w:tcPr>
          <w:p w14:paraId="027D7EFF" w14:textId="77777777" w:rsidR="00320BCC" w:rsidRPr="00D46D65" w:rsidRDefault="00000000">
            <w:pPr>
              <w:jc w:val="center"/>
            </w:pPr>
            <w:r w:rsidRPr="00D46D65">
              <w:rPr>
                <w:b/>
                <w:bCs/>
                <w:sz w:val="20"/>
                <w:szCs w:val="20"/>
              </w:rPr>
              <w:t>Metric</w:t>
            </w:r>
          </w:p>
        </w:tc>
        <w:tc>
          <w:tcPr>
            <w:tcW w:w="3120" w:type="dxa"/>
            <w:tcBorders>
              <w:top w:val="single" w:sz="8" w:space="0" w:color="FFFFFF"/>
              <w:left w:val="single" w:sz="8" w:space="0" w:color="FFFFFF"/>
              <w:bottom w:val="single" w:sz="8" w:space="0" w:color="FFFFFF"/>
              <w:right w:val="single" w:sz="8" w:space="0" w:color="FFFFFF"/>
            </w:tcBorders>
            <w:shd w:val="clear" w:color="auto" w:fill="1E3A5F"/>
            <w:tcMar>
              <w:top w:w="80" w:type="dxa"/>
              <w:left w:w="140" w:type="dxa"/>
              <w:bottom w:w="80" w:type="dxa"/>
              <w:right w:w="140" w:type="dxa"/>
            </w:tcMar>
            <w:vAlign w:val="center"/>
          </w:tcPr>
          <w:p w14:paraId="237D9CEF" w14:textId="77777777" w:rsidR="00320BCC" w:rsidRPr="00D46D65" w:rsidRDefault="00000000">
            <w:pPr>
              <w:jc w:val="center"/>
            </w:pPr>
            <w:r w:rsidRPr="00D46D65">
              <w:rPr>
                <w:b/>
                <w:bCs/>
                <w:sz w:val="20"/>
                <w:szCs w:val="20"/>
              </w:rPr>
              <w:t>Visit</w:t>
            </w:r>
          </w:p>
        </w:tc>
        <w:tc>
          <w:tcPr>
            <w:tcW w:w="3120" w:type="dxa"/>
            <w:tcBorders>
              <w:top w:val="single" w:sz="8" w:space="0" w:color="FFFFFF"/>
              <w:left w:val="single" w:sz="8" w:space="0" w:color="FFFFFF"/>
              <w:bottom w:val="single" w:sz="8" w:space="0" w:color="FFFFFF"/>
              <w:right w:val="single" w:sz="8" w:space="0" w:color="FFFFFF"/>
            </w:tcBorders>
            <w:shd w:val="clear" w:color="auto" w:fill="1E3A5F"/>
            <w:tcMar>
              <w:top w:w="80" w:type="dxa"/>
              <w:left w:w="140" w:type="dxa"/>
              <w:bottom w:w="80" w:type="dxa"/>
              <w:right w:w="140" w:type="dxa"/>
            </w:tcMar>
            <w:vAlign w:val="center"/>
          </w:tcPr>
          <w:p w14:paraId="24FA3B52" w14:textId="77777777" w:rsidR="00320BCC" w:rsidRPr="00D46D65" w:rsidRDefault="00000000">
            <w:pPr>
              <w:jc w:val="center"/>
            </w:pPr>
            <w:r w:rsidRPr="00D46D65">
              <w:rPr>
                <w:b/>
                <w:bCs/>
                <w:sz w:val="20"/>
                <w:szCs w:val="20"/>
              </w:rPr>
              <w:t>Conversion</w:t>
            </w:r>
          </w:p>
        </w:tc>
      </w:tr>
      <w:tr w:rsidR="00320BCC" w:rsidRPr="00D46D65" w14:paraId="3B69A98F"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441988D" w14:textId="77777777" w:rsidR="00320BCC" w:rsidRPr="00D46D65" w:rsidRDefault="00000000">
            <w:r w:rsidRPr="00D46D65">
              <w:rPr>
                <w:b/>
                <w:bCs/>
                <w:sz w:val="20"/>
                <w:szCs w:val="20"/>
              </w:rPr>
              <w:t>Naive ATE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3865F59" w14:textId="77777777" w:rsidR="00320BCC" w:rsidRPr="00D46D65" w:rsidRDefault="00000000">
            <w:pPr>
              <w:jc w:val="center"/>
            </w:pPr>
            <w:r w:rsidRPr="00D46D65">
              <w:rPr>
                <w:sz w:val="20"/>
                <w:szCs w:val="20"/>
              </w:rPr>
              <w:t>+0.0103</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5049234" w14:textId="77777777" w:rsidR="00320BCC" w:rsidRPr="00D46D65" w:rsidRDefault="00000000">
            <w:pPr>
              <w:jc w:val="center"/>
            </w:pPr>
            <w:r w:rsidRPr="00D46D65">
              <w:rPr>
                <w:sz w:val="20"/>
                <w:szCs w:val="20"/>
              </w:rPr>
              <w:t>+0.0017</w:t>
            </w:r>
          </w:p>
        </w:tc>
      </w:tr>
      <w:tr w:rsidR="00320BCC" w:rsidRPr="00D46D65" w14:paraId="1A6F25E8"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5F9AB687" w14:textId="77777777" w:rsidR="00320BCC" w:rsidRPr="00D46D65" w:rsidRDefault="00000000">
            <w:r w:rsidRPr="00D46D65">
              <w:rPr>
                <w:b/>
                <w:bCs/>
                <w:sz w:val="20"/>
                <w:szCs w:val="20"/>
              </w:rPr>
              <w:t>IPW ATE</w:t>
            </w:r>
          </w:p>
        </w:tc>
        <w:tc>
          <w:tcPr>
            <w:tcW w:w="312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4D59423E" w14:textId="77777777" w:rsidR="00320BCC" w:rsidRPr="00D46D65" w:rsidRDefault="00000000">
            <w:pPr>
              <w:jc w:val="center"/>
            </w:pPr>
            <w:r w:rsidRPr="00D46D65">
              <w:rPr>
                <w:sz w:val="20"/>
                <w:szCs w:val="20"/>
              </w:rPr>
              <w:t>+0.0080</w:t>
            </w:r>
          </w:p>
        </w:tc>
        <w:tc>
          <w:tcPr>
            <w:tcW w:w="312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744F1F42" w14:textId="77777777" w:rsidR="00320BCC" w:rsidRPr="00D46D65" w:rsidRDefault="00000000">
            <w:pPr>
              <w:jc w:val="center"/>
            </w:pPr>
            <w:r w:rsidRPr="00D46D65">
              <w:rPr>
                <w:sz w:val="20"/>
                <w:szCs w:val="20"/>
              </w:rPr>
              <w:t>+0.0015</w:t>
            </w:r>
          </w:p>
        </w:tc>
      </w:tr>
      <w:tr w:rsidR="00320BCC" w:rsidRPr="00D46D65" w14:paraId="50812076"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50E03BB" w14:textId="77777777" w:rsidR="00320BCC" w:rsidRPr="00D46D65" w:rsidRDefault="00000000">
            <w:r w:rsidRPr="00D46D65">
              <w:rPr>
                <w:b/>
                <w:bCs/>
                <w:sz w:val="20"/>
                <w:szCs w:val="20"/>
              </w:rPr>
              <w:t>Difference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5B1FD97" w14:textId="77777777" w:rsidR="00320BCC" w:rsidRPr="00D46D65" w:rsidRDefault="00000000">
            <w:pPr>
              <w:jc w:val="center"/>
            </w:pPr>
            <w:r w:rsidRPr="00D46D65">
              <w:rPr>
                <w:sz w:val="20"/>
                <w:szCs w:val="20"/>
              </w:rPr>
              <w:t>-0.0022</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85A6FD5" w14:textId="77777777" w:rsidR="00320BCC" w:rsidRPr="00D46D65" w:rsidRDefault="00000000">
            <w:pPr>
              <w:jc w:val="center"/>
            </w:pPr>
            <w:r w:rsidRPr="00D46D65">
              <w:rPr>
                <w:sz w:val="20"/>
                <w:szCs w:val="20"/>
              </w:rPr>
              <w:t>-0.0002</w:t>
            </w:r>
          </w:p>
        </w:tc>
      </w:tr>
    </w:tbl>
    <w:p w14:paraId="04C71FCB" w14:textId="77777777" w:rsidR="00320BCC" w:rsidRPr="00D46D65" w:rsidRDefault="00320BC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0BCC" w:rsidRPr="00D46D65" w14:paraId="4490EB00" w14:textId="77777777">
        <w:tblPrEx>
          <w:tblCellMar>
            <w:top w:w="0" w:type="dxa"/>
            <w:bottom w:w="0" w:type="dxa"/>
          </w:tblCellMar>
        </w:tblPrEx>
        <w:tc>
          <w:tcPr>
            <w:tcW w:w="9360" w:type="dxa"/>
            <w:tcBorders>
              <w:top w:val="single" w:sz="12" w:space="0" w:color="2563EB"/>
              <w:left w:val="single" w:sz="24" w:space="0" w:color="2563EB"/>
              <w:bottom w:val="single" w:sz="4" w:space="0" w:color="2563EB"/>
              <w:right w:val="none" w:sz="0" w:space="0" w:color="FFFFFF"/>
            </w:tcBorders>
            <w:shd w:val="clear" w:color="auto" w:fill="DBEAFE"/>
            <w:tcMar>
              <w:top w:w="120" w:type="dxa"/>
              <w:left w:w="200" w:type="dxa"/>
              <w:bottom w:w="120" w:type="dxa"/>
              <w:right w:w="200" w:type="dxa"/>
            </w:tcMar>
          </w:tcPr>
          <w:p w14:paraId="661B68D0" w14:textId="77777777" w:rsidR="00320BCC" w:rsidRPr="00D46D65" w:rsidRDefault="00000000">
            <w:r w:rsidRPr="00D46D65">
              <w:rPr>
                <w:i/>
                <w:iCs/>
              </w:rPr>
              <w:t>Robustness finding: Two independent estimation methods reach the same conclusion. The ad increases visits by 0.8-1.0 percentage points and nearly doubles conversions. Direction, magnitude, and significance are consistent across both approaches.</w:t>
            </w:r>
          </w:p>
        </w:tc>
      </w:tr>
    </w:tbl>
    <w:p w14:paraId="06942703" w14:textId="77777777" w:rsidR="00320BCC" w:rsidRPr="00D46D65" w:rsidRDefault="00000000">
      <w:r w:rsidRPr="00D46D65">
        <w:br w:type="page"/>
      </w:r>
    </w:p>
    <w:p w14:paraId="1903FE63" w14:textId="77777777" w:rsidR="00CD51EE" w:rsidRPr="00D46D65" w:rsidRDefault="00CD51EE" w:rsidP="00CD51EE">
      <w:pPr>
        <w:pStyle w:val="Heading1"/>
        <w:rPr>
          <w:color w:val="auto"/>
          <w:kern w:val="36"/>
          <w14:ligatures w14:val="standardContextual"/>
        </w:rPr>
      </w:pPr>
      <w:r w:rsidRPr="00D46D65">
        <w:rPr>
          <w:color w:val="auto"/>
        </w:rPr>
        <w:lastRenderedPageBreak/>
        <w:t>7. CATE Results — Logistic Regression Models</w:t>
      </w:r>
    </w:p>
    <w:p w14:paraId="041E76B5" w14:textId="77777777" w:rsidR="00320BCC" w:rsidRPr="00D46D65" w:rsidRDefault="00000000">
      <w:pPr>
        <w:pStyle w:val="Heading2"/>
        <w:rPr>
          <w:color w:val="auto"/>
        </w:rPr>
      </w:pPr>
      <w:r w:rsidRPr="00D46D65">
        <w:rPr>
          <w:color w:val="auto"/>
        </w:rPr>
        <w:t>7.1 CATE Distributions — Figure 9</w:t>
      </w:r>
    </w:p>
    <w:p w14:paraId="1FBCBF9E" w14:textId="77777777" w:rsidR="00320BCC" w:rsidRPr="00D46D65" w:rsidRDefault="00000000">
      <w:pPr>
        <w:spacing w:after="160" w:line="320" w:lineRule="auto"/>
        <w:jc w:val="both"/>
      </w:pPr>
      <w:r w:rsidRPr="00D46D65">
        <w:t>Figure 9 compares the full distribution of individual treatment effects from both meta-learners. The S-Learner (left) produces a tight, right-skewed distribution with all values positive — reflecting its conservative nature. The T-Learner (right) reveals a much wider distribution extending into negative territory, finding Sleeping Dogs the S-Learner cannot identify.</w:t>
      </w:r>
    </w:p>
    <w:p w14:paraId="270FDD47" w14:textId="77777777" w:rsidR="00320BCC" w:rsidRPr="00D46D65" w:rsidRDefault="00320BCC"/>
    <w:p w14:paraId="26A8AE35" w14:textId="77777777" w:rsidR="00320BCC" w:rsidRPr="00D46D65" w:rsidRDefault="00000000">
      <w:pPr>
        <w:spacing w:before="160" w:after="80"/>
        <w:jc w:val="center"/>
      </w:pPr>
      <w:r w:rsidRPr="00D46D65">
        <w:rPr>
          <w:noProof/>
        </w:rPr>
        <w:drawing>
          <wp:inline distT="0" distB="0" distL="0" distR="0" wp14:anchorId="013C5ACB" wp14:editId="0373D69F">
            <wp:extent cx="5810250" cy="2476500"/>
            <wp:effectExtent l="0" t="0" r="0" b="0"/>
            <wp:docPr id="818552172" name="Figure 9 — CATE Distribution: S-Learner vs T-Learner" descr="Figure 9 — CATE Distribution: S-Learner vs T-Learner" title="Figure 9 — CATE Distribution: S-Learner vs T-Lear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810250" cy="2476500"/>
                    </a:xfrm>
                    <a:prstGeom prst="rect">
                      <a:avLst/>
                    </a:prstGeom>
                  </pic:spPr>
                </pic:pic>
              </a:graphicData>
            </a:graphic>
          </wp:inline>
        </w:drawing>
      </w:r>
    </w:p>
    <w:p w14:paraId="302FF0AF" w14:textId="77777777" w:rsidR="00320BCC" w:rsidRPr="00D46D65" w:rsidRDefault="00000000">
      <w:pPr>
        <w:spacing w:after="240"/>
        <w:jc w:val="center"/>
      </w:pPr>
      <w:r w:rsidRPr="00D46D65">
        <w:rPr>
          <w:i/>
          <w:iCs/>
          <w:sz w:val="19"/>
          <w:szCs w:val="19"/>
        </w:rPr>
        <w:t>Figure 9 — CATE Distribution: S-Learner vs T-Learner</w:t>
      </w:r>
    </w:p>
    <w:p w14:paraId="3A3143B7" w14:textId="77777777" w:rsidR="00320BCC" w:rsidRPr="00D46D65" w:rsidRDefault="00000000">
      <w:pPr>
        <w:pStyle w:val="Heading2"/>
        <w:rPr>
          <w:color w:val="auto"/>
        </w:rPr>
      </w:pPr>
      <w:r w:rsidRPr="00D46D65">
        <w:rPr>
          <w:color w:val="auto"/>
        </w:rPr>
        <w:t>7.2 Model Agreement — Figure 10</w:t>
      </w:r>
    </w:p>
    <w:p w14:paraId="0EFF8AAA" w14:textId="77777777" w:rsidR="00320BCC" w:rsidRPr="00D46D65" w:rsidRDefault="00000000">
      <w:pPr>
        <w:spacing w:after="160" w:line="320" w:lineRule="auto"/>
        <w:jc w:val="both"/>
      </w:pPr>
      <w:r w:rsidRPr="00D46D65">
        <w:t>Figure 10 assesses whether both models agree on who the high-CATE users are. The scatter plot (correlation = 0.7124) shows moderate agreement, with both models identifying the same top users. The decile chart confirms the key commercial finding: both models show a sharp jump in CATE at D9 and D10 — the users both models agree are the highest-value Persuadables.</w:t>
      </w:r>
    </w:p>
    <w:p w14:paraId="7C7764A9" w14:textId="77777777" w:rsidR="00320BCC" w:rsidRPr="00D46D65" w:rsidRDefault="00320BCC"/>
    <w:p w14:paraId="0B5D9D7C" w14:textId="77777777" w:rsidR="00320BCC" w:rsidRPr="00D46D65" w:rsidRDefault="00000000">
      <w:pPr>
        <w:spacing w:before="160" w:after="80"/>
        <w:jc w:val="center"/>
      </w:pPr>
      <w:r w:rsidRPr="00D46D65">
        <w:rPr>
          <w:noProof/>
        </w:rPr>
        <w:lastRenderedPageBreak/>
        <w:drawing>
          <wp:inline distT="0" distB="0" distL="0" distR="0" wp14:anchorId="0DFD4012" wp14:editId="478FBB41">
            <wp:extent cx="5810250" cy="2476500"/>
            <wp:effectExtent l="0" t="0" r="0" b="0"/>
            <wp:docPr id="1544562415" name="Figure 10 — S-Learner vs T-Learner: Agreement Check" descr="Figure 10 — S-Learner vs T-Learner: Agreement Check" title="Figure 10 — S-Learner vs T-Learner: Agreement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810250" cy="2476500"/>
                    </a:xfrm>
                    <a:prstGeom prst="rect">
                      <a:avLst/>
                    </a:prstGeom>
                  </pic:spPr>
                </pic:pic>
              </a:graphicData>
            </a:graphic>
          </wp:inline>
        </w:drawing>
      </w:r>
    </w:p>
    <w:p w14:paraId="216F5BB7" w14:textId="77777777" w:rsidR="00320BCC" w:rsidRPr="00D46D65" w:rsidRDefault="00000000">
      <w:pPr>
        <w:spacing w:after="240"/>
        <w:jc w:val="center"/>
      </w:pPr>
      <w:r w:rsidRPr="00D46D65">
        <w:rPr>
          <w:i/>
          <w:iCs/>
          <w:sz w:val="19"/>
          <w:szCs w:val="19"/>
        </w:rPr>
        <w:t>Figure 10 — S-Learner vs T-Learner: Agreement Check</w:t>
      </w:r>
    </w:p>
    <w:p w14:paraId="481E41C3" w14:textId="77777777" w:rsidR="00320BCC" w:rsidRPr="00D46D65" w:rsidRDefault="00000000">
      <w:pPr>
        <w:pStyle w:val="Heading2"/>
        <w:rPr>
          <w:color w:val="auto"/>
        </w:rPr>
      </w:pPr>
      <w:r w:rsidRPr="00D46D65">
        <w:rPr>
          <w:color w:val="auto"/>
        </w:rPr>
        <w:t>7.3 Heterogeneous Effects by Feature — Figure 11</w:t>
      </w:r>
    </w:p>
    <w:p w14:paraId="4BCDBE37" w14:textId="77777777" w:rsidR="00320BCC" w:rsidRPr="00D46D65" w:rsidRDefault="00000000">
      <w:pPr>
        <w:spacing w:after="160" w:line="320" w:lineRule="auto"/>
        <w:jc w:val="both"/>
      </w:pPr>
      <w:r w:rsidRPr="00D46D65">
        <w:t>Figure 11 reveals which user features drive treatment effect heterogeneity. Features f1 and f9 show strongly increasing CATE across quartiles — Q4 users respond most strongly to the ad. Features f0, f5, f6, f8, f10, f11 show decreasing patterns — Q1 users are the priority for these dimensions. Features f4 and f7 show non-monotonic patterns with peak response in middle quartiles.</w:t>
      </w:r>
    </w:p>
    <w:p w14:paraId="2F071ECB" w14:textId="77777777" w:rsidR="00320BCC" w:rsidRPr="00D46D65" w:rsidRDefault="00320BCC"/>
    <w:p w14:paraId="3F353148" w14:textId="77777777" w:rsidR="00320BCC" w:rsidRPr="00D46D65" w:rsidRDefault="00000000">
      <w:pPr>
        <w:spacing w:before="160" w:after="80"/>
        <w:jc w:val="center"/>
      </w:pPr>
      <w:r w:rsidRPr="00D46D65">
        <w:rPr>
          <w:noProof/>
        </w:rPr>
        <w:lastRenderedPageBreak/>
        <w:drawing>
          <wp:inline distT="0" distB="0" distL="0" distR="0" wp14:anchorId="700F7679" wp14:editId="1C40E56A">
            <wp:extent cx="5810250" cy="3952875"/>
            <wp:effectExtent l="0" t="0" r="0" b="0"/>
            <wp:docPr id="1684647190" name="Figure 11 — Heterogeneous Treatment Effects by Feature" descr="Figure 11 — Heterogeneous Treatment Effects by Feature" title="Figure 11 — Heterogeneous Treatment Effects by Fe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810250" cy="3952875"/>
                    </a:xfrm>
                    <a:prstGeom prst="rect">
                      <a:avLst/>
                    </a:prstGeom>
                  </pic:spPr>
                </pic:pic>
              </a:graphicData>
            </a:graphic>
          </wp:inline>
        </w:drawing>
      </w:r>
    </w:p>
    <w:p w14:paraId="76B06155" w14:textId="77777777" w:rsidR="00320BCC" w:rsidRPr="00D46D65" w:rsidRDefault="00000000">
      <w:pPr>
        <w:spacing w:after="240"/>
        <w:jc w:val="center"/>
      </w:pPr>
      <w:r w:rsidRPr="00D46D65">
        <w:rPr>
          <w:i/>
          <w:iCs/>
          <w:sz w:val="19"/>
          <w:szCs w:val="19"/>
        </w:rPr>
        <w:t>Figure 11 — Heterogeneous Treatment Effects by Feature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20BCC" w:rsidRPr="00D46D65" w14:paraId="102DBDA8" w14:textId="77777777">
        <w:tblPrEx>
          <w:tblCellMar>
            <w:top w:w="0" w:type="dxa"/>
            <w:bottom w:w="0" w:type="dxa"/>
          </w:tblCellMar>
        </w:tblPrEx>
        <w:tc>
          <w:tcPr>
            <w:tcW w:w="3120" w:type="dxa"/>
            <w:tcBorders>
              <w:top w:val="single" w:sz="8" w:space="0" w:color="FFFFFF"/>
              <w:left w:val="single" w:sz="8" w:space="0" w:color="FFFFFF"/>
              <w:bottom w:val="single" w:sz="8" w:space="0" w:color="FFFFFF"/>
              <w:right w:val="single" w:sz="8" w:space="0" w:color="FFFFFF"/>
            </w:tcBorders>
            <w:shd w:val="clear" w:color="auto" w:fill="1E3A5F"/>
            <w:tcMar>
              <w:top w:w="80" w:type="dxa"/>
              <w:left w:w="140" w:type="dxa"/>
              <w:bottom w:w="80" w:type="dxa"/>
              <w:right w:w="140" w:type="dxa"/>
            </w:tcMar>
            <w:vAlign w:val="center"/>
          </w:tcPr>
          <w:p w14:paraId="6792F356" w14:textId="77777777" w:rsidR="00320BCC" w:rsidRPr="00D46D65" w:rsidRDefault="00000000">
            <w:pPr>
              <w:jc w:val="center"/>
            </w:pPr>
            <w:r w:rsidRPr="00D46D65">
              <w:rPr>
                <w:b/>
                <w:bCs/>
                <w:sz w:val="20"/>
                <w:szCs w:val="20"/>
              </w:rPr>
              <w:t>Metric</w:t>
            </w:r>
          </w:p>
        </w:tc>
        <w:tc>
          <w:tcPr>
            <w:tcW w:w="3120" w:type="dxa"/>
            <w:tcBorders>
              <w:top w:val="single" w:sz="8" w:space="0" w:color="FFFFFF"/>
              <w:left w:val="single" w:sz="8" w:space="0" w:color="FFFFFF"/>
              <w:bottom w:val="single" w:sz="8" w:space="0" w:color="FFFFFF"/>
              <w:right w:val="single" w:sz="8" w:space="0" w:color="FFFFFF"/>
            </w:tcBorders>
            <w:shd w:val="clear" w:color="auto" w:fill="1E3A5F"/>
            <w:tcMar>
              <w:top w:w="80" w:type="dxa"/>
              <w:left w:w="140" w:type="dxa"/>
              <w:bottom w:w="80" w:type="dxa"/>
              <w:right w:w="140" w:type="dxa"/>
            </w:tcMar>
            <w:vAlign w:val="center"/>
          </w:tcPr>
          <w:p w14:paraId="0B8E1505" w14:textId="77777777" w:rsidR="00320BCC" w:rsidRPr="00D46D65" w:rsidRDefault="00000000">
            <w:pPr>
              <w:jc w:val="center"/>
            </w:pPr>
            <w:r w:rsidRPr="00D46D65">
              <w:rPr>
                <w:b/>
                <w:bCs/>
                <w:sz w:val="20"/>
                <w:szCs w:val="20"/>
              </w:rPr>
              <w:t>S-Learner (LR)</w:t>
            </w:r>
          </w:p>
        </w:tc>
        <w:tc>
          <w:tcPr>
            <w:tcW w:w="3120" w:type="dxa"/>
            <w:tcBorders>
              <w:top w:val="single" w:sz="8" w:space="0" w:color="FFFFFF"/>
              <w:left w:val="single" w:sz="8" w:space="0" w:color="FFFFFF"/>
              <w:bottom w:val="single" w:sz="8" w:space="0" w:color="FFFFFF"/>
              <w:right w:val="single" w:sz="8" w:space="0" w:color="FFFFFF"/>
            </w:tcBorders>
            <w:shd w:val="clear" w:color="auto" w:fill="1E3A5F"/>
            <w:tcMar>
              <w:top w:w="80" w:type="dxa"/>
              <w:left w:w="140" w:type="dxa"/>
              <w:bottom w:w="80" w:type="dxa"/>
              <w:right w:w="140" w:type="dxa"/>
            </w:tcMar>
            <w:vAlign w:val="center"/>
          </w:tcPr>
          <w:p w14:paraId="64C90E12" w14:textId="77777777" w:rsidR="00320BCC" w:rsidRPr="00D46D65" w:rsidRDefault="00000000">
            <w:pPr>
              <w:jc w:val="center"/>
            </w:pPr>
            <w:r w:rsidRPr="00D46D65">
              <w:rPr>
                <w:b/>
                <w:bCs/>
                <w:sz w:val="20"/>
                <w:szCs w:val="20"/>
              </w:rPr>
              <w:t>T-Learner (LR)</w:t>
            </w:r>
          </w:p>
        </w:tc>
      </w:tr>
      <w:tr w:rsidR="00320BCC" w:rsidRPr="00D46D65" w14:paraId="333D2134"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5D185D6" w14:textId="77777777" w:rsidR="00320BCC" w:rsidRPr="00D46D65" w:rsidRDefault="00000000">
            <w:r w:rsidRPr="00D46D65">
              <w:rPr>
                <w:b/>
                <w:bCs/>
                <w:sz w:val="20"/>
                <w:szCs w:val="20"/>
              </w:rPr>
              <w:t>Mean CATE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208383D" w14:textId="77777777" w:rsidR="00320BCC" w:rsidRPr="00D46D65" w:rsidRDefault="00000000">
            <w:pPr>
              <w:jc w:val="center"/>
            </w:pPr>
            <w:r w:rsidRPr="00D46D65">
              <w:rPr>
                <w:sz w:val="20"/>
                <w:szCs w:val="20"/>
              </w:rPr>
              <w:t>+0.0072</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062394D" w14:textId="77777777" w:rsidR="00320BCC" w:rsidRPr="00D46D65" w:rsidRDefault="00000000">
            <w:pPr>
              <w:jc w:val="center"/>
            </w:pPr>
            <w:r w:rsidRPr="00D46D65">
              <w:rPr>
                <w:sz w:val="20"/>
                <w:szCs w:val="20"/>
              </w:rPr>
              <w:t>+0.0078</w:t>
            </w:r>
          </w:p>
        </w:tc>
      </w:tr>
      <w:tr w:rsidR="00320BCC" w:rsidRPr="00D46D65" w14:paraId="728F79D6"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4B2FA6C0" w14:textId="77777777" w:rsidR="00320BCC" w:rsidRPr="00D46D65" w:rsidRDefault="00000000">
            <w:r w:rsidRPr="00D46D65">
              <w:rPr>
                <w:b/>
                <w:bCs/>
                <w:sz w:val="20"/>
                <w:szCs w:val="20"/>
              </w:rPr>
              <w:t>Min / Max CATE</w:t>
            </w:r>
          </w:p>
        </w:tc>
        <w:tc>
          <w:tcPr>
            <w:tcW w:w="312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7E1CEBF0" w14:textId="77777777" w:rsidR="00320BCC" w:rsidRPr="00D46D65" w:rsidRDefault="00000000">
            <w:pPr>
              <w:jc w:val="center"/>
            </w:pPr>
            <w:r w:rsidRPr="00D46D65">
              <w:rPr>
                <w:sz w:val="20"/>
                <w:szCs w:val="20"/>
              </w:rPr>
              <w:t>+0.0003 / +0.0636</w:t>
            </w:r>
          </w:p>
        </w:tc>
        <w:tc>
          <w:tcPr>
            <w:tcW w:w="312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36944E60" w14:textId="77777777" w:rsidR="00320BCC" w:rsidRPr="00D46D65" w:rsidRDefault="00000000">
            <w:pPr>
              <w:jc w:val="center"/>
            </w:pPr>
            <w:r w:rsidRPr="00D46D65">
              <w:rPr>
                <w:sz w:val="20"/>
                <w:szCs w:val="20"/>
              </w:rPr>
              <w:t>-0.1526 / +0.3339</w:t>
            </w:r>
          </w:p>
        </w:tc>
      </w:tr>
      <w:tr w:rsidR="00320BCC" w:rsidRPr="00D46D65" w14:paraId="09E83C61"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541F318" w14:textId="77777777" w:rsidR="00320BCC" w:rsidRPr="00D46D65" w:rsidRDefault="00000000">
            <w:r w:rsidRPr="00D46D65">
              <w:rPr>
                <w:b/>
                <w:bCs/>
                <w:sz w:val="20"/>
                <w:szCs w:val="20"/>
              </w:rPr>
              <w:t>Persuadables (&gt;0)</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E178602" w14:textId="77777777" w:rsidR="00320BCC" w:rsidRPr="00D46D65" w:rsidRDefault="00000000">
            <w:pPr>
              <w:jc w:val="center"/>
            </w:pPr>
            <w:r w:rsidRPr="00D46D65">
              <w:rPr>
                <w:sz w:val="20"/>
                <w:szCs w:val="20"/>
              </w:rPr>
              <w:t>100.0%</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77CCD98" w14:textId="77777777" w:rsidR="00320BCC" w:rsidRPr="00D46D65" w:rsidRDefault="00000000">
            <w:pPr>
              <w:jc w:val="center"/>
            </w:pPr>
            <w:r w:rsidRPr="00D46D65">
              <w:rPr>
                <w:sz w:val="20"/>
                <w:szCs w:val="20"/>
              </w:rPr>
              <w:t>81.7%</w:t>
            </w:r>
          </w:p>
        </w:tc>
      </w:tr>
      <w:tr w:rsidR="00320BCC" w:rsidRPr="00D46D65" w14:paraId="29BB3D39"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2D6107F7" w14:textId="77777777" w:rsidR="00320BCC" w:rsidRPr="00D46D65" w:rsidRDefault="00000000">
            <w:r w:rsidRPr="00D46D65">
              <w:rPr>
                <w:b/>
                <w:bCs/>
                <w:sz w:val="20"/>
                <w:szCs w:val="20"/>
              </w:rPr>
              <w:t>Model correlation</w:t>
            </w:r>
          </w:p>
        </w:tc>
        <w:tc>
          <w:tcPr>
            <w:tcW w:w="312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7E7B6771" w14:textId="77777777" w:rsidR="00320BCC" w:rsidRPr="00D46D65" w:rsidRDefault="00000000">
            <w:pPr>
              <w:jc w:val="center"/>
            </w:pPr>
            <w:r w:rsidRPr="00D46D65">
              <w:rPr>
                <w:b/>
                <w:bCs/>
                <w:sz w:val="20"/>
                <w:szCs w:val="20"/>
              </w:rPr>
              <w:t>S vs T: 0.7124</w:t>
            </w:r>
          </w:p>
        </w:tc>
        <w:tc>
          <w:tcPr>
            <w:tcW w:w="312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5F3C5CA6" w14:textId="77777777" w:rsidR="00320BCC" w:rsidRPr="00D46D65" w:rsidRDefault="00000000">
            <w:pPr>
              <w:jc w:val="center"/>
            </w:pPr>
            <w:r w:rsidRPr="00D46D65">
              <w:rPr>
                <w:b/>
                <w:bCs/>
                <w:sz w:val="20"/>
                <w:szCs w:val="20"/>
              </w:rPr>
              <w:t>S vs T: 0.7124</w:t>
            </w:r>
          </w:p>
        </w:tc>
      </w:tr>
    </w:tbl>
    <w:p w14:paraId="0F288349" w14:textId="77777777" w:rsidR="00320BCC" w:rsidRPr="00D46D65" w:rsidRDefault="00000000">
      <w:r w:rsidRPr="00D46D65">
        <w:br w:type="page"/>
      </w:r>
    </w:p>
    <w:p w14:paraId="4431977D" w14:textId="77777777" w:rsidR="00CD51EE" w:rsidRPr="00D46D65" w:rsidRDefault="00CD51EE" w:rsidP="00CD51EE">
      <w:pPr>
        <w:pStyle w:val="Heading1"/>
        <w:rPr>
          <w:color w:val="auto"/>
          <w:kern w:val="36"/>
          <w14:ligatures w14:val="standardContextual"/>
        </w:rPr>
      </w:pPr>
      <w:r w:rsidRPr="00D46D65">
        <w:rPr>
          <w:color w:val="auto"/>
        </w:rPr>
        <w:lastRenderedPageBreak/>
        <w:t>8. T-Learner Upgraded — LightGBM</w:t>
      </w:r>
    </w:p>
    <w:p w14:paraId="00F160C7" w14:textId="77777777" w:rsidR="00320BCC" w:rsidRPr="00D46D65" w:rsidRDefault="00000000">
      <w:pPr>
        <w:pStyle w:val="Heading2"/>
        <w:rPr>
          <w:color w:val="auto"/>
        </w:rPr>
      </w:pPr>
      <w:r w:rsidRPr="00D46D65">
        <w:rPr>
          <w:color w:val="auto"/>
        </w:rPr>
        <w:t>8.1 Motivation</w:t>
      </w:r>
    </w:p>
    <w:p w14:paraId="471A738E" w14:textId="77777777" w:rsidR="00320BCC" w:rsidRPr="00D46D65" w:rsidRDefault="00000000">
      <w:pPr>
        <w:spacing w:after="160" w:line="320" w:lineRule="auto"/>
        <w:jc w:val="both"/>
      </w:pPr>
      <w:r w:rsidRPr="00D46D65">
        <w:t>Logistic Regression assumes linear relationships between features and outcomes. LightGBM uses gradient boosting to capture non-linear interactions automatically — producing more accurate counterfactual predictions and therefore more reliable CATE estimates.</w:t>
      </w:r>
    </w:p>
    <w:p w14:paraId="5CCFF071" w14:textId="77777777" w:rsidR="00320BCC" w:rsidRPr="00D46D65" w:rsidRDefault="00000000">
      <w:pPr>
        <w:pStyle w:val="Heading2"/>
        <w:rPr>
          <w:color w:val="auto"/>
        </w:rPr>
      </w:pPr>
      <w:r w:rsidRPr="00D46D65">
        <w:rPr>
          <w:color w:val="auto"/>
        </w:rPr>
        <w:t>8.2 Outcome Model Quality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20BCC" w:rsidRPr="00D46D65" w14:paraId="468ADE31" w14:textId="77777777">
        <w:tblPrEx>
          <w:tblCellMar>
            <w:top w:w="0" w:type="dxa"/>
            <w:bottom w:w="0" w:type="dxa"/>
          </w:tblCellMar>
        </w:tblPrEx>
        <w:tc>
          <w:tcPr>
            <w:tcW w:w="3120" w:type="dxa"/>
            <w:tcBorders>
              <w:top w:val="single" w:sz="8" w:space="0" w:color="FFFFFF"/>
              <w:left w:val="single" w:sz="8" w:space="0" w:color="FFFFFF"/>
              <w:bottom w:val="single" w:sz="8" w:space="0" w:color="FFFFFF"/>
              <w:right w:val="single" w:sz="8" w:space="0" w:color="FFFFFF"/>
            </w:tcBorders>
            <w:shd w:val="clear" w:color="auto" w:fill="1E3A5F"/>
            <w:tcMar>
              <w:top w:w="80" w:type="dxa"/>
              <w:left w:w="140" w:type="dxa"/>
              <w:bottom w:w="80" w:type="dxa"/>
              <w:right w:w="140" w:type="dxa"/>
            </w:tcMar>
            <w:vAlign w:val="center"/>
          </w:tcPr>
          <w:p w14:paraId="30480CE6" w14:textId="77777777" w:rsidR="00320BCC" w:rsidRPr="00D46D65" w:rsidRDefault="00000000">
            <w:pPr>
              <w:jc w:val="center"/>
            </w:pPr>
            <w:r w:rsidRPr="00D46D65">
              <w:rPr>
                <w:b/>
                <w:bCs/>
                <w:sz w:val="20"/>
                <w:szCs w:val="20"/>
              </w:rPr>
              <w:t>Model</w:t>
            </w:r>
          </w:p>
        </w:tc>
        <w:tc>
          <w:tcPr>
            <w:tcW w:w="3120" w:type="dxa"/>
            <w:tcBorders>
              <w:top w:val="single" w:sz="8" w:space="0" w:color="FFFFFF"/>
              <w:left w:val="single" w:sz="8" w:space="0" w:color="FFFFFF"/>
              <w:bottom w:val="single" w:sz="8" w:space="0" w:color="FFFFFF"/>
              <w:right w:val="single" w:sz="8" w:space="0" w:color="FFFFFF"/>
            </w:tcBorders>
            <w:shd w:val="clear" w:color="auto" w:fill="1E3A5F"/>
            <w:tcMar>
              <w:top w:w="80" w:type="dxa"/>
              <w:left w:w="140" w:type="dxa"/>
              <w:bottom w:w="80" w:type="dxa"/>
              <w:right w:w="140" w:type="dxa"/>
            </w:tcMar>
            <w:vAlign w:val="center"/>
          </w:tcPr>
          <w:p w14:paraId="572391F8" w14:textId="77777777" w:rsidR="00320BCC" w:rsidRPr="00D46D65" w:rsidRDefault="00000000">
            <w:pPr>
              <w:jc w:val="center"/>
            </w:pPr>
            <w:r w:rsidRPr="00D46D65">
              <w:rPr>
                <w:b/>
                <w:bCs/>
                <w:sz w:val="20"/>
                <w:szCs w:val="20"/>
              </w:rPr>
              <w:t>Best Round</w:t>
            </w:r>
          </w:p>
        </w:tc>
        <w:tc>
          <w:tcPr>
            <w:tcW w:w="3120" w:type="dxa"/>
            <w:tcBorders>
              <w:top w:val="single" w:sz="8" w:space="0" w:color="FFFFFF"/>
              <w:left w:val="single" w:sz="8" w:space="0" w:color="FFFFFF"/>
              <w:bottom w:val="single" w:sz="8" w:space="0" w:color="FFFFFF"/>
              <w:right w:val="single" w:sz="8" w:space="0" w:color="FFFFFF"/>
            </w:tcBorders>
            <w:shd w:val="clear" w:color="auto" w:fill="1E3A5F"/>
            <w:tcMar>
              <w:top w:w="80" w:type="dxa"/>
              <w:left w:w="140" w:type="dxa"/>
              <w:bottom w:w="80" w:type="dxa"/>
              <w:right w:w="140" w:type="dxa"/>
            </w:tcMar>
            <w:vAlign w:val="center"/>
          </w:tcPr>
          <w:p w14:paraId="0AA3BCB3" w14:textId="77777777" w:rsidR="00320BCC" w:rsidRPr="00D46D65" w:rsidRDefault="00000000">
            <w:pPr>
              <w:jc w:val="center"/>
            </w:pPr>
            <w:r w:rsidRPr="00D46D65">
              <w:rPr>
                <w:b/>
                <w:bCs/>
                <w:sz w:val="20"/>
                <w:szCs w:val="20"/>
              </w:rPr>
              <w:t>Validation AUC</w:t>
            </w:r>
          </w:p>
        </w:tc>
      </w:tr>
      <w:tr w:rsidR="00320BCC" w:rsidRPr="00D46D65" w14:paraId="44FF4E94"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87ADC5C" w14:textId="77777777" w:rsidR="00320BCC" w:rsidRPr="00D46D65" w:rsidRDefault="00000000">
            <w:r w:rsidRPr="00D46D65">
              <w:rPr>
                <w:b/>
                <w:bCs/>
                <w:sz w:val="20"/>
                <w:szCs w:val="20"/>
              </w:rPr>
              <w:t>mu1 — Treated outcome model</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C649819" w14:textId="77777777" w:rsidR="00320BCC" w:rsidRPr="00D46D65" w:rsidRDefault="00000000">
            <w:pPr>
              <w:jc w:val="center"/>
            </w:pPr>
            <w:r w:rsidRPr="00D46D65">
              <w:rPr>
                <w:sz w:val="20"/>
                <w:szCs w:val="20"/>
              </w:rPr>
              <w:t>Round 91</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A2BFFC0" w14:textId="77777777" w:rsidR="00320BCC" w:rsidRPr="00D46D65" w:rsidRDefault="00000000">
            <w:pPr>
              <w:jc w:val="center"/>
            </w:pPr>
            <w:r w:rsidRPr="00D46D65">
              <w:rPr>
                <w:b/>
                <w:bCs/>
                <w:sz w:val="20"/>
                <w:szCs w:val="20"/>
              </w:rPr>
              <w:t>0.9440</w:t>
            </w:r>
          </w:p>
        </w:tc>
      </w:tr>
      <w:tr w:rsidR="00320BCC" w:rsidRPr="00D46D65" w14:paraId="136B0804"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117657D7" w14:textId="77777777" w:rsidR="00320BCC" w:rsidRPr="00D46D65" w:rsidRDefault="00000000">
            <w:r w:rsidRPr="00D46D65">
              <w:rPr>
                <w:b/>
                <w:bCs/>
                <w:sz w:val="20"/>
                <w:szCs w:val="20"/>
              </w:rPr>
              <w:t>mu0 — Control outcome model</w:t>
            </w:r>
          </w:p>
        </w:tc>
        <w:tc>
          <w:tcPr>
            <w:tcW w:w="312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04147EF1" w14:textId="77777777" w:rsidR="00320BCC" w:rsidRPr="00D46D65" w:rsidRDefault="00000000">
            <w:pPr>
              <w:jc w:val="center"/>
            </w:pPr>
            <w:r w:rsidRPr="00D46D65">
              <w:rPr>
                <w:sz w:val="20"/>
                <w:szCs w:val="20"/>
              </w:rPr>
              <w:t>Round 26</w:t>
            </w:r>
          </w:p>
        </w:tc>
        <w:tc>
          <w:tcPr>
            <w:tcW w:w="312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2156A0FF" w14:textId="77777777" w:rsidR="00320BCC" w:rsidRPr="00D46D65" w:rsidRDefault="00000000">
            <w:pPr>
              <w:jc w:val="center"/>
            </w:pPr>
            <w:r w:rsidRPr="00D46D65">
              <w:rPr>
                <w:b/>
                <w:bCs/>
                <w:sz w:val="20"/>
                <w:szCs w:val="20"/>
              </w:rPr>
              <w:t>0.9342</w:t>
            </w:r>
          </w:p>
        </w:tc>
      </w:tr>
    </w:tbl>
    <w:p w14:paraId="0C1F4FD5" w14:textId="77777777" w:rsidR="00320BCC" w:rsidRPr="00D46D65" w:rsidRDefault="00320BCC"/>
    <w:p w14:paraId="284651B5" w14:textId="77777777" w:rsidR="00320BCC" w:rsidRPr="00D46D65" w:rsidRDefault="00000000">
      <w:pPr>
        <w:pStyle w:val="Heading2"/>
        <w:rPr>
          <w:color w:val="auto"/>
        </w:rPr>
      </w:pPr>
      <w:r w:rsidRPr="00D46D65">
        <w:rPr>
          <w:color w:val="auto"/>
        </w:rPr>
        <w:t>8.3 LR vs LightGBM CATE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20BCC" w:rsidRPr="00D46D65" w14:paraId="704A90C0" w14:textId="77777777">
        <w:tblPrEx>
          <w:tblCellMar>
            <w:top w:w="0" w:type="dxa"/>
            <w:bottom w:w="0" w:type="dxa"/>
          </w:tblCellMar>
        </w:tblPrEx>
        <w:tc>
          <w:tcPr>
            <w:tcW w:w="3120" w:type="dxa"/>
            <w:tcBorders>
              <w:top w:val="single" w:sz="8" w:space="0" w:color="FFFFFF"/>
              <w:left w:val="single" w:sz="8" w:space="0" w:color="FFFFFF"/>
              <w:bottom w:val="single" w:sz="8" w:space="0" w:color="FFFFFF"/>
              <w:right w:val="single" w:sz="8" w:space="0" w:color="FFFFFF"/>
            </w:tcBorders>
            <w:shd w:val="clear" w:color="auto" w:fill="1E3A5F"/>
            <w:tcMar>
              <w:top w:w="80" w:type="dxa"/>
              <w:left w:w="140" w:type="dxa"/>
              <w:bottom w:w="80" w:type="dxa"/>
              <w:right w:w="140" w:type="dxa"/>
            </w:tcMar>
            <w:vAlign w:val="center"/>
          </w:tcPr>
          <w:p w14:paraId="2CB9507E" w14:textId="77777777" w:rsidR="00320BCC" w:rsidRPr="00D46D65" w:rsidRDefault="00000000">
            <w:pPr>
              <w:jc w:val="center"/>
            </w:pPr>
            <w:r w:rsidRPr="00D46D65">
              <w:rPr>
                <w:b/>
                <w:bCs/>
                <w:sz w:val="20"/>
                <w:szCs w:val="20"/>
              </w:rPr>
              <w:t>Metric</w:t>
            </w:r>
          </w:p>
        </w:tc>
        <w:tc>
          <w:tcPr>
            <w:tcW w:w="3120" w:type="dxa"/>
            <w:tcBorders>
              <w:top w:val="single" w:sz="8" w:space="0" w:color="FFFFFF"/>
              <w:left w:val="single" w:sz="8" w:space="0" w:color="FFFFFF"/>
              <w:bottom w:val="single" w:sz="8" w:space="0" w:color="FFFFFF"/>
              <w:right w:val="single" w:sz="8" w:space="0" w:color="FFFFFF"/>
            </w:tcBorders>
            <w:shd w:val="clear" w:color="auto" w:fill="1E3A5F"/>
            <w:tcMar>
              <w:top w:w="80" w:type="dxa"/>
              <w:left w:w="140" w:type="dxa"/>
              <w:bottom w:w="80" w:type="dxa"/>
              <w:right w:w="140" w:type="dxa"/>
            </w:tcMar>
            <w:vAlign w:val="center"/>
          </w:tcPr>
          <w:p w14:paraId="5C51AD0A" w14:textId="77777777" w:rsidR="00320BCC" w:rsidRPr="00D46D65" w:rsidRDefault="00000000">
            <w:pPr>
              <w:jc w:val="center"/>
            </w:pPr>
            <w:r w:rsidRPr="00D46D65">
              <w:rPr>
                <w:b/>
                <w:bCs/>
                <w:sz w:val="20"/>
                <w:szCs w:val="20"/>
              </w:rPr>
              <w:t>T-Learner (LR)</w:t>
            </w:r>
          </w:p>
        </w:tc>
        <w:tc>
          <w:tcPr>
            <w:tcW w:w="3120" w:type="dxa"/>
            <w:tcBorders>
              <w:top w:val="single" w:sz="8" w:space="0" w:color="FFFFFF"/>
              <w:left w:val="single" w:sz="8" w:space="0" w:color="FFFFFF"/>
              <w:bottom w:val="single" w:sz="8" w:space="0" w:color="FFFFFF"/>
              <w:right w:val="single" w:sz="8" w:space="0" w:color="FFFFFF"/>
            </w:tcBorders>
            <w:shd w:val="clear" w:color="auto" w:fill="1E3A5F"/>
            <w:tcMar>
              <w:top w:w="80" w:type="dxa"/>
              <w:left w:w="140" w:type="dxa"/>
              <w:bottom w:w="80" w:type="dxa"/>
              <w:right w:w="140" w:type="dxa"/>
            </w:tcMar>
            <w:vAlign w:val="center"/>
          </w:tcPr>
          <w:p w14:paraId="44684C79" w14:textId="77777777" w:rsidR="00320BCC" w:rsidRPr="00D46D65" w:rsidRDefault="00000000">
            <w:pPr>
              <w:jc w:val="center"/>
            </w:pPr>
            <w:r w:rsidRPr="00D46D65">
              <w:rPr>
                <w:b/>
                <w:bCs/>
                <w:sz w:val="20"/>
                <w:szCs w:val="20"/>
              </w:rPr>
              <w:t>T-Learner (LightGBM)</w:t>
            </w:r>
          </w:p>
        </w:tc>
      </w:tr>
      <w:tr w:rsidR="00320BCC" w:rsidRPr="00D46D65" w14:paraId="60C11B6E"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7A00AEF" w14:textId="77777777" w:rsidR="00320BCC" w:rsidRPr="00D46D65" w:rsidRDefault="00000000">
            <w:r w:rsidRPr="00D46D65">
              <w:rPr>
                <w:b/>
                <w:bCs/>
                <w:sz w:val="20"/>
                <w:szCs w:val="20"/>
              </w:rPr>
              <w:t>Mean CATE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1D07653" w14:textId="77777777" w:rsidR="00320BCC" w:rsidRPr="00D46D65" w:rsidRDefault="00000000">
            <w:pPr>
              <w:jc w:val="center"/>
            </w:pPr>
            <w:r w:rsidRPr="00D46D65">
              <w:rPr>
                <w:sz w:val="20"/>
                <w:szCs w:val="20"/>
              </w:rPr>
              <w:t>+0.0078</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5581F99" w14:textId="77777777" w:rsidR="00320BCC" w:rsidRPr="00D46D65" w:rsidRDefault="00000000">
            <w:pPr>
              <w:jc w:val="center"/>
            </w:pPr>
            <w:r w:rsidRPr="00D46D65">
              <w:rPr>
                <w:sz w:val="20"/>
                <w:szCs w:val="20"/>
              </w:rPr>
              <w:t>+0.0077</w:t>
            </w:r>
          </w:p>
        </w:tc>
      </w:tr>
      <w:tr w:rsidR="00320BCC" w:rsidRPr="00D46D65" w14:paraId="4D3E3DB5"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6B46258C" w14:textId="77777777" w:rsidR="00320BCC" w:rsidRPr="00D46D65" w:rsidRDefault="00000000">
            <w:r w:rsidRPr="00D46D65">
              <w:rPr>
                <w:b/>
                <w:bCs/>
                <w:sz w:val="20"/>
                <w:szCs w:val="20"/>
              </w:rPr>
              <w:t>Std CATE</w:t>
            </w:r>
          </w:p>
        </w:tc>
        <w:tc>
          <w:tcPr>
            <w:tcW w:w="312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7D1B5CD9" w14:textId="77777777" w:rsidR="00320BCC" w:rsidRPr="00D46D65" w:rsidRDefault="00000000">
            <w:pPr>
              <w:jc w:val="center"/>
            </w:pPr>
            <w:r w:rsidRPr="00D46D65">
              <w:rPr>
                <w:sz w:val="20"/>
                <w:szCs w:val="20"/>
              </w:rPr>
              <w:t>0.0232</w:t>
            </w:r>
          </w:p>
        </w:tc>
        <w:tc>
          <w:tcPr>
            <w:tcW w:w="312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1DC5EDBD" w14:textId="77777777" w:rsidR="00320BCC" w:rsidRPr="00D46D65" w:rsidRDefault="00000000">
            <w:pPr>
              <w:jc w:val="center"/>
            </w:pPr>
            <w:r w:rsidRPr="00D46D65">
              <w:rPr>
                <w:b/>
                <w:bCs/>
                <w:sz w:val="20"/>
                <w:szCs w:val="20"/>
              </w:rPr>
              <w:t>0.0530</w:t>
            </w:r>
          </w:p>
        </w:tc>
      </w:tr>
      <w:tr w:rsidR="00320BCC" w:rsidRPr="00D46D65" w14:paraId="7CCA0DD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7D21E9F" w14:textId="77777777" w:rsidR="00320BCC" w:rsidRPr="00D46D65" w:rsidRDefault="00000000">
            <w:r w:rsidRPr="00D46D65">
              <w:rPr>
                <w:b/>
                <w:bCs/>
                <w:sz w:val="20"/>
                <w:szCs w:val="20"/>
              </w:rPr>
              <w:t>Min CATE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2ED99C0" w14:textId="77777777" w:rsidR="00320BCC" w:rsidRPr="00D46D65" w:rsidRDefault="00000000">
            <w:pPr>
              <w:jc w:val="center"/>
            </w:pPr>
            <w:r w:rsidRPr="00D46D65">
              <w:rPr>
                <w:sz w:val="20"/>
                <w:szCs w:val="20"/>
              </w:rPr>
              <w:t>-0.1526</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0300203" w14:textId="77777777" w:rsidR="00320BCC" w:rsidRPr="00D46D65" w:rsidRDefault="00000000">
            <w:pPr>
              <w:jc w:val="center"/>
            </w:pPr>
            <w:r w:rsidRPr="00D46D65">
              <w:rPr>
                <w:b/>
                <w:bCs/>
                <w:sz w:val="20"/>
                <w:szCs w:val="20"/>
              </w:rPr>
              <w:t>-0.2724</w:t>
            </w:r>
          </w:p>
        </w:tc>
      </w:tr>
      <w:tr w:rsidR="00320BCC" w:rsidRPr="00D46D65" w14:paraId="33689709"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6E81353C" w14:textId="77777777" w:rsidR="00320BCC" w:rsidRPr="00D46D65" w:rsidRDefault="00000000">
            <w:r w:rsidRPr="00D46D65">
              <w:rPr>
                <w:b/>
                <w:bCs/>
                <w:sz w:val="20"/>
                <w:szCs w:val="20"/>
              </w:rPr>
              <w:t>Max CATE</w:t>
            </w:r>
          </w:p>
        </w:tc>
        <w:tc>
          <w:tcPr>
            <w:tcW w:w="312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6DE43A0D" w14:textId="77777777" w:rsidR="00320BCC" w:rsidRPr="00D46D65" w:rsidRDefault="00000000">
            <w:pPr>
              <w:jc w:val="center"/>
            </w:pPr>
            <w:r w:rsidRPr="00D46D65">
              <w:rPr>
                <w:sz w:val="20"/>
                <w:szCs w:val="20"/>
              </w:rPr>
              <w:t>+0.3339</w:t>
            </w:r>
          </w:p>
        </w:tc>
        <w:tc>
          <w:tcPr>
            <w:tcW w:w="312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6793FD48" w14:textId="77777777" w:rsidR="00320BCC" w:rsidRPr="00D46D65" w:rsidRDefault="00000000">
            <w:pPr>
              <w:jc w:val="center"/>
            </w:pPr>
            <w:r w:rsidRPr="00D46D65">
              <w:rPr>
                <w:b/>
                <w:bCs/>
                <w:sz w:val="20"/>
                <w:szCs w:val="20"/>
              </w:rPr>
              <w:t>+0.5816</w:t>
            </w:r>
          </w:p>
        </w:tc>
      </w:tr>
      <w:tr w:rsidR="00320BCC" w:rsidRPr="00D46D65" w14:paraId="28FABF54"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E7712FA" w14:textId="77777777" w:rsidR="00320BCC" w:rsidRPr="00D46D65" w:rsidRDefault="00000000">
            <w:r w:rsidRPr="00D46D65">
              <w:rPr>
                <w:b/>
                <w:bCs/>
                <w:sz w:val="20"/>
                <w:szCs w:val="20"/>
              </w:rPr>
              <w:t>Persuadables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91FF170" w14:textId="77777777" w:rsidR="00320BCC" w:rsidRPr="00D46D65" w:rsidRDefault="00000000">
            <w:pPr>
              <w:jc w:val="center"/>
            </w:pPr>
            <w:r w:rsidRPr="00D46D65">
              <w:rPr>
                <w:sz w:val="20"/>
                <w:szCs w:val="20"/>
              </w:rPr>
              <w:t>81.7%</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97E2FC0" w14:textId="77777777" w:rsidR="00320BCC" w:rsidRPr="00D46D65" w:rsidRDefault="00000000">
            <w:pPr>
              <w:jc w:val="center"/>
            </w:pPr>
            <w:r w:rsidRPr="00D46D65">
              <w:rPr>
                <w:b/>
                <w:bCs/>
                <w:sz w:val="20"/>
                <w:szCs w:val="20"/>
              </w:rPr>
              <w:t>21.1%</w:t>
            </w:r>
          </w:p>
        </w:tc>
      </w:tr>
      <w:tr w:rsidR="00320BCC" w:rsidRPr="00D46D65" w14:paraId="2009E1B5"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368AC68B" w14:textId="77777777" w:rsidR="00320BCC" w:rsidRPr="00D46D65" w:rsidRDefault="00000000">
            <w:r w:rsidRPr="00D46D65">
              <w:rPr>
                <w:b/>
                <w:bCs/>
                <w:sz w:val="20"/>
                <w:szCs w:val="20"/>
              </w:rPr>
              <w:t>Others (&lt;=0)</w:t>
            </w:r>
          </w:p>
        </w:tc>
        <w:tc>
          <w:tcPr>
            <w:tcW w:w="312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04EF91D9" w14:textId="77777777" w:rsidR="00320BCC" w:rsidRPr="00D46D65" w:rsidRDefault="00000000">
            <w:pPr>
              <w:jc w:val="center"/>
            </w:pPr>
            <w:r w:rsidRPr="00D46D65">
              <w:rPr>
                <w:sz w:val="20"/>
                <w:szCs w:val="20"/>
              </w:rPr>
              <w:t>18.3%</w:t>
            </w:r>
          </w:p>
        </w:tc>
        <w:tc>
          <w:tcPr>
            <w:tcW w:w="312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75BAF304" w14:textId="77777777" w:rsidR="00320BCC" w:rsidRPr="00D46D65" w:rsidRDefault="00000000">
            <w:pPr>
              <w:jc w:val="center"/>
            </w:pPr>
            <w:r w:rsidRPr="00D46D65">
              <w:rPr>
                <w:b/>
                <w:bCs/>
                <w:sz w:val="20"/>
                <w:szCs w:val="20"/>
              </w:rPr>
              <w:t>78.9%</w:t>
            </w:r>
          </w:p>
        </w:tc>
      </w:tr>
    </w:tbl>
    <w:p w14:paraId="36249CF8" w14:textId="77777777" w:rsidR="00320BCC" w:rsidRPr="00D46D65" w:rsidRDefault="00320BC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0BCC" w:rsidRPr="00D46D65" w14:paraId="54CCAB9C" w14:textId="77777777">
        <w:tblPrEx>
          <w:tblCellMar>
            <w:top w:w="0" w:type="dxa"/>
            <w:bottom w:w="0" w:type="dxa"/>
          </w:tblCellMar>
        </w:tblPrEx>
        <w:tc>
          <w:tcPr>
            <w:tcW w:w="9360" w:type="dxa"/>
            <w:tcBorders>
              <w:top w:val="single" w:sz="12" w:space="0" w:color="2563EB"/>
              <w:left w:val="single" w:sz="24" w:space="0" w:color="2563EB"/>
              <w:bottom w:val="single" w:sz="4" w:space="0" w:color="2563EB"/>
              <w:right w:val="none" w:sz="0" w:space="0" w:color="FFFFFF"/>
            </w:tcBorders>
            <w:shd w:val="clear" w:color="auto" w:fill="DBEAFE"/>
            <w:tcMar>
              <w:top w:w="120" w:type="dxa"/>
              <w:left w:w="200" w:type="dxa"/>
              <w:bottom w:w="120" w:type="dxa"/>
              <w:right w:w="200" w:type="dxa"/>
            </w:tcMar>
          </w:tcPr>
          <w:p w14:paraId="35A6A31F" w14:textId="77777777" w:rsidR="00320BCC" w:rsidRPr="00D46D65" w:rsidRDefault="00000000">
            <w:r w:rsidRPr="00D46D65">
              <w:rPr>
                <w:i/>
                <w:iCs/>
              </w:rPr>
              <w:t>LightGBM finding: Mean CATE is unchanged (+0.0077 vs +0.0078) confirming the average effect is robust. The standard deviation doubles (0.053 vs 0.023), revealing richer heterogeneity. Only 21.1% of users have positive CATE — a more realistic picture than the LR's 81.7%.</w:t>
            </w:r>
          </w:p>
        </w:tc>
      </w:tr>
    </w:tbl>
    <w:p w14:paraId="4AE06739" w14:textId="77777777" w:rsidR="00320BCC" w:rsidRPr="00D46D65" w:rsidRDefault="00000000">
      <w:r w:rsidRPr="00D46D65">
        <w:br w:type="page"/>
      </w:r>
    </w:p>
    <w:p w14:paraId="49772377" w14:textId="77777777" w:rsidR="00CD51EE" w:rsidRPr="00D46D65" w:rsidRDefault="00CD51EE" w:rsidP="00CD51EE">
      <w:pPr>
        <w:pStyle w:val="Heading1"/>
        <w:rPr>
          <w:color w:val="auto"/>
          <w:kern w:val="36"/>
          <w14:ligatures w14:val="standardContextual"/>
        </w:rPr>
      </w:pPr>
      <w:r w:rsidRPr="00D46D65">
        <w:rPr>
          <w:color w:val="auto"/>
        </w:rPr>
        <w:lastRenderedPageBreak/>
        <w:t>9. Customer Segmentation — The Four Uplift Groups</w:t>
      </w:r>
    </w:p>
    <w:p w14:paraId="6E233DB8" w14:textId="77777777" w:rsidR="00320BCC" w:rsidRPr="00D46D65" w:rsidRDefault="00000000">
      <w:pPr>
        <w:pStyle w:val="Heading2"/>
        <w:rPr>
          <w:color w:val="auto"/>
        </w:rPr>
      </w:pPr>
      <w:r w:rsidRPr="00D46D65">
        <w:rPr>
          <w:color w:val="auto"/>
        </w:rPr>
        <w:t>9.1 Segmentation Results — Figure 14</w:t>
      </w:r>
    </w:p>
    <w:p w14:paraId="5903A844" w14:textId="77777777" w:rsidR="00320BCC" w:rsidRPr="00D46D65" w:rsidRDefault="00000000">
      <w:pPr>
        <w:spacing w:after="160" w:line="320" w:lineRule="auto"/>
        <w:jc w:val="both"/>
      </w:pPr>
      <w:r w:rsidRPr="00D46D65">
        <w:t>Figure 14 classifies all 60,000 test users into four segments using LightGBM predicted visit probabilities (threshold = 0.06). The 2x2 heatmap (left) shows the quadrant counts. The bar chart (right) shows segment sizes and mean CATE per segment.</w:t>
      </w:r>
    </w:p>
    <w:p w14:paraId="7C5B0C3F" w14:textId="77777777" w:rsidR="00320BCC" w:rsidRPr="00D46D65" w:rsidRDefault="00320BCC"/>
    <w:p w14:paraId="4BF1BB08" w14:textId="77777777" w:rsidR="00320BCC" w:rsidRPr="00D46D65" w:rsidRDefault="00000000">
      <w:pPr>
        <w:spacing w:before="160" w:after="80"/>
        <w:jc w:val="center"/>
      </w:pPr>
      <w:r w:rsidRPr="00D46D65">
        <w:rPr>
          <w:noProof/>
        </w:rPr>
        <w:drawing>
          <wp:inline distT="0" distB="0" distL="0" distR="0" wp14:anchorId="00ADC4E4" wp14:editId="256706D7">
            <wp:extent cx="5810250" cy="2476500"/>
            <wp:effectExtent l="0" t="0" r="0" b="0"/>
            <wp:docPr id="1424585121" name="Figure 14 — Customer Segmentation: The Four Uplift Groups" descr="Figure 14 — Customer Segmentation: The Four Uplift Groups" title="Figure 14 — Customer Segmentation: The Four Uplift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810250" cy="2476500"/>
                    </a:xfrm>
                    <a:prstGeom prst="rect">
                      <a:avLst/>
                    </a:prstGeom>
                  </pic:spPr>
                </pic:pic>
              </a:graphicData>
            </a:graphic>
          </wp:inline>
        </w:drawing>
      </w:r>
    </w:p>
    <w:p w14:paraId="13A0FC59" w14:textId="77777777" w:rsidR="00320BCC" w:rsidRPr="00D46D65" w:rsidRDefault="00000000">
      <w:pPr>
        <w:spacing w:after="240"/>
        <w:jc w:val="center"/>
      </w:pPr>
      <w:r w:rsidRPr="00D46D65">
        <w:rPr>
          <w:i/>
          <w:iCs/>
          <w:sz w:val="19"/>
          <w:szCs w:val="19"/>
        </w:rPr>
        <w:t>Figure 14 — Customer Segmentation: The Four Uplift Groups</w:t>
      </w:r>
    </w:p>
    <w:p w14:paraId="21FD9F07" w14:textId="77777777" w:rsidR="00320BCC" w:rsidRPr="00D46D65" w:rsidRDefault="00000000">
      <w:pPr>
        <w:pStyle w:val="Heading2"/>
        <w:rPr>
          <w:color w:val="auto"/>
        </w:rPr>
      </w:pPr>
      <w:r w:rsidRPr="00D46D65">
        <w:rPr>
          <w:color w:val="auto"/>
        </w:rPr>
        <w:t>9.2 Segment Interpretation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170"/>
        <w:gridCol w:w="1170"/>
        <w:gridCol w:w="1170"/>
        <w:gridCol w:w="3510"/>
      </w:tblGrid>
      <w:tr w:rsidR="00320BCC" w:rsidRPr="00D46D65" w14:paraId="72D22C75" w14:textId="77777777">
        <w:tblPrEx>
          <w:tblCellMar>
            <w:top w:w="0" w:type="dxa"/>
            <w:bottom w:w="0" w:type="dxa"/>
          </w:tblCellMar>
        </w:tblPrEx>
        <w:tc>
          <w:tcPr>
            <w:tcW w:w="2340" w:type="dxa"/>
            <w:tcBorders>
              <w:top w:val="single" w:sz="8" w:space="0" w:color="FFFFFF"/>
              <w:left w:val="single" w:sz="8" w:space="0" w:color="FFFFFF"/>
              <w:bottom w:val="single" w:sz="8" w:space="0" w:color="FFFFFF"/>
              <w:right w:val="single" w:sz="8" w:space="0" w:color="FFFFFF"/>
            </w:tcBorders>
            <w:shd w:val="clear" w:color="auto" w:fill="1E3A5F"/>
            <w:tcMar>
              <w:top w:w="80" w:type="dxa"/>
              <w:left w:w="140" w:type="dxa"/>
              <w:bottom w:w="80" w:type="dxa"/>
              <w:right w:w="140" w:type="dxa"/>
            </w:tcMar>
            <w:vAlign w:val="center"/>
          </w:tcPr>
          <w:p w14:paraId="19CA87F7" w14:textId="77777777" w:rsidR="00320BCC" w:rsidRPr="00D46D65" w:rsidRDefault="00000000">
            <w:pPr>
              <w:jc w:val="center"/>
            </w:pPr>
            <w:r w:rsidRPr="00D46D65">
              <w:rPr>
                <w:b/>
                <w:bCs/>
                <w:sz w:val="20"/>
                <w:szCs w:val="20"/>
              </w:rPr>
              <w:t>Segment</w:t>
            </w:r>
          </w:p>
        </w:tc>
        <w:tc>
          <w:tcPr>
            <w:tcW w:w="1170" w:type="dxa"/>
            <w:tcBorders>
              <w:top w:val="single" w:sz="8" w:space="0" w:color="FFFFFF"/>
              <w:left w:val="single" w:sz="8" w:space="0" w:color="FFFFFF"/>
              <w:bottom w:val="single" w:sz="8" w:space="0" w:color="FFFFFF"/>
              <w:right w:val="single" w:sz="8" w:space="0" w:color="FFFFFF"/>
            </w:tcBorders>
            <w:shd w:val="clear" w:color="auto" w:fill="1E3A5F"/>
            <w:tcMar>
              <w:top w:w="80" w:type="dxa"/>
              <w:left w:w="140" w:type="dxa"/>
              <w:bottom w:w="80" w:type="dxa"/>
              <w:right w:w="140" w:type="dxa"/>
            </w:tcMar>
            <w:vAlign w:val="center"/>
          </w:tcPr>
          <w:p w14:paraId="09CEDFF5" w14:textId="77777777" w:rsidR="00320BCC" w:rsidRPr="00D46D65" w:rsidRDefault="00000000">
            <w:pPr>
              <w:jc w:val="center"/>
            </w:pPr>
            <w:r w:rsidRPr="00D46D65">
              <w:rPr>
                <w:b/>
                <w:bCs/>
                <w:sz w:val="20"/>
                <w:szCs w:val="20"/>
              </w:rPr>
              <w:t>Count</w:t>
            </w:r>
          </w:p>
        </w:tc>
        <w:tc>
          <w:tcPr>
            <w:tcW w:w="1170" w:type="dxa"/>
            <w:tcBorders>
              <w:top w:val="single" w:sz="8" w:space="0" w:color="FFFFFF"/>
              <w:left w:val="single" w:sz="8" w:space="0" w:color="FFFFFF"/>
              <w:bottom w:val="single" w:sz="8" w:space="0" w:color="FFFFFF"/>
              <w:right w:val="single" w:sz="8" w:space="0" w:color="FFFFFF"/>
            </w:tcBorders>
            <w:shd w:val="clear" w:color="auto" w:fill="1E3A5F"/>
            <w:tcMar>
              <w:top w:w="80" w:type="dxa"/>
              <w:left w:w="140" w:type="dxa"/>
              <w:bottom w:w="80" w:type="dxa"/>
              <w:right w:w="140" w:type="dxa"/>
            </w:tcMar>
            <w:vAlign w:val="center"/>
          </w:tcPr>
          <w:p w14:paraId="60726995" w14:textId="77777777" w:rsidR="00320BCC" w:rsidRPr="00D46D65" w:rsidRDefault="00000000">
            <w:pPr>
              <w:jc w:val="center"/>
            </w:pPr>
            <w:r w:rsidRPr="00D46D65">
              <w:rPr>
                <w:b/>
                <w:bCs/>
                <w:sz w:val="20"/>
                <w:szCs w:val="20"/>
              </w:rPr>
              <w:t>%</w:t>
            </w:r>
          </w:p>
        </w:tc>
        <w:tc>
          <w:tcPr>
            <w:tcW w:w="1170" w:type="dxa"/>
            <w:tcBorders>
              <w:top w:val="single" w:sz="8" w:space="0" w:color="FFFFFF"/>
              <w:left w:val="single" w:sz="8" w:space="0" w:color="FFFFFF"/>
              <w:bottom w:val="single" w:sz="8" w:space="0" w:color="FFFFFF"/>
              <w:right w:val="single" w:sz="8" w:space="0" w:color="FFFFFF"/>
            </w:tcBorders>
            <w:shd w:val="clear" w:color="auto" w:fill="1E3A5F"/>
            <w:tcMar>
              <w:top w:w="80" w:type="dxa"/>
              <w:left w:w="140" w:type="dxa"/>
              <w:bottom w:w="80" w:type="dxa"/>
              <w:right w:w="140" w:type="dxa"/>
            </w:tcMar>
            <w:vAlign w:val="center"/>
          </w:tcPr>
          <w:p w14:paraId="20496015" w14:textId="77777777" w:rsidR="00320BCC" w:rsidRPr="00D46D65" w:rsidRDefault="00000000">
            <w:pPr>
              <w:jc w:val="center"/>
            </w:pPr>
            <w:r w:rsidRPr="00D46D65">
              <w:rPr>
                <w:b/>
                <w:bCs/>
                <w:sz w:val="20"/>
                <w:szCs w:val="20"/>
              </w:rPr>
              <w:t>Mean CATE</w:t>
            </w:r>
          </w:p>
        </w:tc>
        <w:tc>
          <w:tcPr>
            <w:tcW w:w="3510" w:type="dxa"/>
            <w:tcBorders>
              <w:top w:val="single" w:sz="8" w:space="0" w:color="FFFFFF"/>
              <w:left w:val="single" w:sz="8" w:space="0" w:color="FFFFFF"/>
              <w:bottom w:val="single" w:sz="8" w:space="0" w:color="FFFFFF"/>
              <w:right w:val="single" w:sz="8" w:space="0" w:color="FFFFFF"/>
            </w:tcBorders>
            <w:shd w:val="clear" w:color="auto" w:fill="1E3A5F"/>
            <w:tcMar>
              <w:top w:w="80" w:type="dxa"/>
              <w:left w:w="140" w:type="dxa"/>
              <w:bottom w:w="80" w:type="dxa"/>
              <w:right w:w="140" w:type="dxa"/>
            </w:tcMar>
            <w:vAlign w:val="center"/>
          </w:tcPr>
          <w:p w14:paraId="39F7CF22" w14:textId="77777777" w:rsidR="00320BCC" w:rsidRPr="00D46D65" w:rsidRDefault="00000000">
            <w:pPr>
              <w:jc w:val="center"/>
            </w:pPr>
            <w:r w:rsidRPr="00D46D65">
              <w:rPr>
                <w:b/>
                <w:bCs/>
                <w:sz w:val="20"/>
                <w:szCs w:val="20"/>
              </w:rPr>
              <w:t>Action</w:t>
            </w:r>
          </w:p>
        </w:tc>
      </w:tr>
      <w:tr w:rsidR="00320BCC" w:rsidRPr="00D46D65" w14:paraId="28860041"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4006DEF" w14:textId="77777777" w:rsidR="00320BCC" w:rsidRPr="00D46D65" w:rsidRDefault="00000000">
            <w:r w:rsidRPr="00D46D65">
              <w:rPr>
                <w:b/>
                <w:bCs/>
                <w:sz w:val="20"/>
                <w:szCs w:val="20"/>
              </w:rPr>
              <w:t>Persuadables</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F860CD1" w14:textId="77777777" w:rsidR="00320BCC" w:rsidRPr="00D46D65" w:rsidRDefault="00000000">
            <w:pPr>
              <w:jc w:val="center"/>
            </w:pPr>
            <w:r w:rsidRPr="00D46D65">
              <w:rPr>
                <w:sz w:val="20"/>
                <w:szCs w:val="20"/>
              </w:rPr>
              <w:t>2,021</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4A68118" w14:textId="77777777" w:rsidR="00320BCC" w:rsidRPr="00D46D65" w:rsidRDefault="00000000">
            <w:pPr>
              <w:jc w:val="center"/>
            </w:pPr>
            <w:r w:rsidRPr="00D46D65">
              <w:rPr>
                <w:sz w:val="20"/>
                <w:szCs w:val="20"/>
              </w:rPr>
              <w:t>3.4%</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2B36763" w14:textId="77777777" w:rsidR="00320BCC" w:rsidRPr="00D46D65" w:rsidRDefault="00000000">
            <w:pPr>
              <w:jc w:val="center"/>
            </w:pPr>
            <w:r w:rsidRPr="00D46D65">
              <w:rPr>
                <w:b/>
                <w:bCs/>
                <w:sz w:val="20"/>
                <w:szCs w:val="20"/>
              </w:rPr>
              <w:t>+0.0658</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7920992" w14:textId="77777777" w:rsidR="00320BCC" w:rsidRPr="00D46D65" w:rsidRDefault="00000000">
            <w:r w:rsidRPr="00D46D65">
              <w:rPr>
                <w:b/>
                <w:bCs/>
                <w:sz w:val="20"/>
                <w:szCs w:val="20"/>
              </w:rPr>
              <w:t>TARGET — highest priority</w:t>
            </w:r>
          </w:p>
        </w:tc>
      </w:tr>
      <w:tr w:rsidR="00320BCC" w:rsidRPr="00D46D65" w14:paraId="241C95FE"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37C48BC4" w14:textId="77777777" w:rsidR="00320BCC" w:rsidRPr="00D46D65" w:rsidRDefault="00000000">
            <w:r w:rsidRPr="00D46D65">
              <w:rPr>
                <w:b/>
                <w:bCs/>
                <w:sz w:val="20"/>
                <w:szCs w:val="20"/>
              </w:rPr>
              <w:t>Sure Things</w:t>
            </w:r>
          </w:p>
        </w:tc>
        <w:tc>
          <w:tcPr>
            <w:tcW w:w="117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0A32A2FE" w14:textId="77777777" w:rsidR="00320BCC" w:rsidRPr="00D46D65" w:rsidRDefault="00000000">
            <w:pPr>
              <w:jc w:val="center"/>
            </w:pPr>
            <w:r w:rsidRPr="00D46D65">
              <w:rPr>
                <w:sz w:val="20"/>
                <w:szCs w:val="20"/>
              </w:rPr>
              <w:t>7,203</w:t>
            </w:r>
          </w:p>
        </w:tc>
        <w:tc>
          <w:tcPr>
            <w:tcW w:w="117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53A39402" w14:textId="77777777" w:rsidR="00320BCC" w:rsidRPr="00D46D65" w:rsidRDefault="00000000">
            <w:pPr>
              <w:jc w:val="center"/>
            </w:pPr>
            <w:r w:rsidRPr="00D46D65">
              <w:rPr>
                <w:sz w:val="20"/>
                <w:szCs w:val="20"/>
              </w:rPr>
              <w:t>12.0%</w:t>
            </w:r>
          </w:p>
        </w:tc>
        <w:tc>
          <w:tcPr>
            <w:tcW w:w="117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4571F13C" w14:textId="77777777" w:rsidR="00320BCC" w:rsidRPr="00D46D65" w:rsidRDefault="00000000">
            <w:pPr>
              <w:jc w:val="center"/>
            </w:pPr>
            <w:r w:rsidRPr="00D46D65">
              <w:rPr>
                <w:sz w:val="20"/>
                <w:szCs w:val="20"/>
              </w:rPr>
              <w:t>+0.0999</w:t>
            </w:r>
          </w:p>
        </w:tc>
        <w:tc>
          <w:tcPr>
            <w:tcW w:w="351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3F4062D7" w14:textId="77777777" w:rsidR="00320BCC" w:rsidRPr="00D46D65" w:rsidRDefault="00000000">
            <w:r w:rsidRPr="00D46D65">
              <w:rPr>
                <w:sz w:val="20"/>
                <w:szCs w:val="20"/>
              </w:rPr>
              <w:t>SKIP — visit without ad</w:t>
            </w:r>
          </w:p>
        </w:tc>
      </w:tr>
      <w:tr w:rsidR="00320BCC" w:rsidRPr="00D46D65" w14:paraId="4C4E859F"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7B2FA7A" w14:textId="77777777" w:rsidR="00320BCC" w:rsidRPr="00D46D65" w:rsidRDefault="00000000">
            <w:r w:rsidRPr="00D46D65">
              <w:rPr>
                <w:b/>
                <w:bCs/>
                <w:sz w:val="20"/>
                <w:szCs w:val="20"/>
              </w:rPr>
              <w:t>Lost Causes</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84005EB" w14:textId="77777777" w:rsidR="00320BCC" w:rsidRPr="00D46D65" w:rsidRDefault="00000000">
            <w:pPr>
              <w:jc w:val="center"/>
            </w:pPr>
            <w:r w:rsidRPr="00D46D65">
              <w:rPr>
                <w:sz w:val="20"/>
                <w:szCs w:val="20"/>
              </w:rPr>
              <w:t>50,507</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B2FDBEB" w14:textId="77777777" w:rsidR="00320BCC" w:rsidRPr="00D46D65" w:rsidRDefault="00000000">
            <w:pPr>
              <w:jc w:val="center"/>
            </w:pPr>
            <w:r w:rsidRPr="00D46D65">
              <w:rPr>
                <w:sz w:val="20"/>
                <w:szCs w:val="20"/>
              </w:rPr>
              <w:t>84.2%</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6148E27" w14:textId="77777777" w:rsidR="00320BCC" w:rsidRPr="00D46D65" w:rsidRDefault="00000000">
            <w:pPr>
              <w:jc w:val="center"/>
            </w:pPr>
            <w:r w:rsidRPr="00D46D65">
              <w:rPr>
                <w:sz w:val="20"/>
                <w:szCs w:val="20"/>
              </w:rPr>
              <w:t>-0.0075</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D9E4875" w14:textId="77777777" w:rsidR="00320BCC" w:rsidRPr="00D46D65" w:rsidRDefault="00000000">
            <w:r w:rsidRPr="00D46D65">
              <w:rPr>
                <w:sz w:val="20"/>
                <w:szCs w:val="20"/>
              </w:rPr>
              <w:t>SKIP — ad cannot help</w:t>
            </w:r>
          </w:p>
        </w:tc>
      </w:tr>
      <w:tr w:rsidR="00320BCC" w:rsidRPr="00D46D65" w14:paraId="2C1B6184"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7B690BC9" w14:textId="77777777" w:rsidR="00320BCC" w:rsidRPr="00D46D65" w:rsidRDefault="00000000">
            <w:r w:rsidRPr="00D46D65">
              <w:rPr>
                <w:b/>
                <w:bCs/>
                <w:sz w:val="20"/>
                <w:szCs w:val="20"/>
              </w:rPr>
              <w:t>Sleeping Dogs</w:t>
            </w:r>
          </w:p>
        </w:tc>
        <w:tc>
          <w:tcPr>
            <w:tcW w:w="117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07F614DC" w14:textId="77777777" w:rsidR="00320BCC" w:rsidRPr="00D46D65" w:rsidRDefault="00000000">
            <w:pPr>
              <w:jc w:val="center"/>
            </w:pPr>
            <w:r w:rsidRPr="00D46D65">
              <w:rPr>
                <w:sz w:val="20"/>
                <w:szCs w:val="20"/>
              </w:rPr>
              <w:t>269</w:t>
            </w:r>
          </w:p>
        </w:tc>
        <w:tc>
          <w:tcPr>
            <w:tcW w:w="117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068AF2B3" w14:textId="77777777" w:rsidR="00320BCC" w:rsidRPr="00D46D65" w:rsidRDefault="00000000">
            <w:pPr>
              <w:jc w:val="center"/>
            </w:pPr>
            <w:r w:rsidRPr="00D46D65">
              <w:rPr>
                <w:sz w:val="20"/>
                <w:szCs w:val="20"/>
              </w:rPr>
              <w:t>0.4%</w:t>
            </w:r>
          </w:p>
        </w:tc>
        <w:tc>
          <w:tcPr>
            <w:tcW w:w="117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1B8D680A" w14:textId="77777777" w:rsidR="00320BCC" w:rsidRPr="00D46D65" w:rsidRDefault="00000000">
            <w:pPr>
              <w:jc w:val="center"/>
            </w:pPr>
            <w:r w:rsidRPr="00D46D65">
              <w:rPr>
                <w:b/>
                <w:bCs/>
                <w:sz w:val="20"/>
                <w:szCs w:val="20"/>
              </w:rPr>
              <w:t>-0.0397</w:t>
            </w:r>
          </w:p>
        </w:tc>
        <w:tc>
          <w:tcPr>
            <w:tcW w:w="351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1ADD0527" w14:textId="77777777" w:rsidR="00320BCC" w:rsidRPr="00D46D65" w:rsidRDefault="00000000">
            <w:r w:rsidRPr="00D46D65">
              <w:rPr>
                <w:b/>
                <w:bCs/>
                <w:sz w:val="20"/>
                <w:szCs w:val="20"/>
              </w:rPr>
              <w:t>AVOID — ad reduces visits</w:t>
            </w:r>
          </w:p>
        </w:tc>
      </w:tr>
    </w:tbl>
    <w:p w14:paraId="3178CF35" w14:textId="77777777" w:rsidR="00320BCC" w:rsidRPr="00D46D65" w:rsidRDefault="00320BC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0BCC" w:rsidRPr="00D46D65" w14:paraId="01765002" w14:textId="77777777">
        <w:tblPrEx>
          <w:tblCellMar>
            <w:top w:w="0" w:type="dxa"/>
            <w:bottom w:w="0" w:type="dxa"/>
          </w:tblCellMar>
        </w:tblPrEx>
        <w:tc>
          <w:tcPr>
            <w:tcW w:w="9360" w:type="dxa"/>
            <w:tcBorders>
              <w:top w:val="single" w:sz="12" w:space="0" w:color="2563EB"/>
              <w:left w:val="single" w:sz="24" w:space="0" w:color="2563EB"/>
              <w:bottom w:val="single" w:sz="4" w:space="0" w:color="2563EB"/>
              <w:right w:val="none" w:sz="0" w:space="0" w:color="FFFFFF"/>
            </w:tcBorders>
            <w:shd w:val="clear" w:color="auto" w:fill="DBEAFE"/>
            <w:tcMar>
              <w:top w:w="120" w:type="dxa"/>
              <w:left w:w="200" w:type="dxa"/>
              <w:bottom w:w="120" w:type="dxa"/>
              <w:right w:w="200" w:type="dxa"/>
            </w:tcMar>
          </w:tcPr>
          <w:p w14:paraId="02B1FE52" w14:textId="77777777" w:rsidR="00320BCC" w:rsidRPr="00D46D65" w:rsidRDefault="00000000">
            <w:r w:rsidRPr="00D46D65">
              <w:rPr>
                <w:i/>
                <w:iCs/>
              </w:rPr>
              <w:t>Segmentation finding: Only 3.4% of users are genuine Persuadables. 84.2% are Lost Causes the ad cannot help. Concentrating budget on the 3.4% Persuadables while excluding the 0.4% Sleeping Dogs maximises incremental ROI per advertising dollar spent.</w:t>
            </w:r>
          </w:p>
        </w:tc>
      </w:tr>
    </w:tbl>
    <w:p w14:paraId="32E80365" w14:textId="77777777" w:rsidR="00320BCC" w:rsidRPr="00D46D65" w:rsidRDefault="00000000">
      <w:r w:rsidRPr="00D46D65">
        <w:br w:type="page"/>
      </w:r>
    </w:p>
    <w:p w14:paraId="571AC22E" w14:textId="77777777" w:rsidR="00CD51EE" w:rsidRPr="00D46D65" w:rsidRDefault="00CD51EE" w:rsidP="00CD51EE">
      <w:pPr>
        <w:pStyle w:val="Heading1"/>
        <w:rPr>
          <w:color w:val="auto"/>
          <w:kern w:val="36"/>
          <w14:ligatures w14:val="standardContextual"/>
        </w:rPr>
      </w:pPr>
      <w:r w:rsidRPr="00D46D65">
        <w:rPr>
          <w:color w:val="auto"/>
        </w:rPr>
        <w:lastRenderedPageBreak/>
        <w:t>10. Uplift Curve Evaluation</w:t>
      </w:r>
    </w:p>
    <w:p w14:paraId="17352D31" w14:textId="77777777" w:rsidR="00320BCC" w:rsidRPr="00D46D65" w:rsidRDefault="00000000">
      <w:pPr>
        <w:pStyle w:val="Heading2"/>
        <w:rPr>
          <w:color w:val="auto"/>
        </w:rPr>
      </w:pPr>
      <w:r w:rsidRPr="00D46D65">
        <w:rPr>
          <w:color w:val="auto"/>
        </w:rPr>
        <w:t>10.1 Uplift Curves — Figure 12</w:t>
      </w:r>
    </w:p>
    <w:p w14:paraId="6E1369A2" w14:textId="77777777" w:rsidR="00320BCC" w:rsidRPr="00D46D65" w:rsidRDefault="00000000">
      <w:pPr>
        <w:spacing w:after="160" w:line="320" w:lineRule="auto"/>
        <w:jc w:val="both"/>
      </w:pPr>
      <w:r w:rsidRPr="00D46D65">
        <w:t>Figure 12 plots the cumulative incremental visits against the fraction of users targeted, ranked by predicted CATE. Both the S-Learner (blue) and T-Learner (purple) sit dramatically above the random baseline (dashed grey). The green shaded area is the value created by model-based targeting. The right panel zooms into the top 30% — where real budget decisions are made.</w:t>
      </w:r>
    </w:p>
    <w:p w14:paraId="79C85037" w14:textId="77777777" w:rsidR="00320BCC" w:rsidRPr="00D46D65" w:rsidRDefault="00320BCC"/>
    <w:p w14:paraId="14BA46D8" w14:textId="77777777" w:rsidR="00320BCC" w:rsidRPr="00D46D65" w:rsidRDefault="00000000">
      <w:pPr>
        <w:spacing w:before="160" w:after="80"/>
        <w:jc w:val="center"/>
      </w:pPr>
      <w:r w:rsidRPr="00D46D65">
        <w:rPr>
          <w:noProof/>
        </w:rPr>
        <w:drawing>
          <wp:inline distT="0" distB="0" distL="0" distR="0" wp14:anchorId="7C7E3FCB" wp14:editId="12624459">
            <wp:extent cx="5810250" cy="2314575"/>
            <wp:effectExtent l="0" t="0" r="0" b="0"/>
            <wp:docPr id="1910329419" name="Figure 12 — Uplift Curves: Model vs Random Targeting" descr="Figure 12 — Uplift Curves: Model vs Random Targeting" title="Figure 12 — Uplift Curves: Model vs Random Targe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810250" cy="2314575"/>
                    </a:xfrm>
                    <a:prstGeom prst="rect">
                      <a:avLst/>
                    </a:prstGeom>
                  </pic:spPr>
                </pic:pic>
              </a:graphicData>
            </a:graphic>
          </wp:inline>
        </w:drawing>
      </w:r>
    </w:p>
    <w:p w14:paraId="493C7F7F" w14:textId="77777777" w:rsidR="00320BCC" w:rsidRPr="00D46D65" w:rsidRDefault="00000000">
      <w:pPr>
        <w:spacing w:after="240"/>
        <w:jc w:val="center"/>
      </w:pPr>
      <w:r w:rsidRPr="00D46D65">
        <w:rPr>
          <w:i/>
          <w:iCs/>
          <w:sz w:val="19"/>
          <w:szCs w:val="19"/>
        </w:rPr>
        <w:t>Figure 12 — Uplift Curves: Model vs Random Targeting</w:t>
      </w:r>
    </w:p>
    <w:p w14:paraId="30F3F95D" w14:textId="77777777" w:rsidR="00320BCC" w:rsidRPr="00D46D65" w:rsidRDefault="00000000">
      <w:pPr>
        <w:pStyle w:val="Heading2"/>
        <w:rPr>
          <w:color w:val="auto"/>
        </w:rPr>
      </w:pPr>
      <w:r w:rsidRPr="00D46D65">
        <w:rPr>
          <w:color w:val="auto"/>
        </w:rPr>
        <w:t>10.2 Targeting Efficiency — Figure 13</w:t>
      </w:r>
    </w:p>
    <w:p w14:paraId="1AB2308A" w14:textId="77777777" w:rsidR="00320BCC" w:rsidRPr="00D46D65" w:rsidRDefault="00000000">
      <w:pPr>
        <w:spacing w:after="160" w:line="320" w:lineRule="auto"/>
        <w:jc w:val="both"/>
      </w:pPr>
      <w:r w:rsidRPr="00D46D65">
        <w:t>Figure 13 quantifies the business impact at each targeting depth. The left panel shows incremental visits gained over random targeting — peaking at Top 20% with +270 visits for the S-Learner. The right panel shows cumulative uplift captured: targeting just 20% of users by model-predicted CATE captures 65-79% of the entire campaign's total possible uplift.</w:t>
      </w:r>
    </w:p>
    <w:p w14:paraId="40FCEA1C" w14:textId="77777777" w:rsidR="00320BCC" w:rsidRPr="00D46D65" w:rsidRDefault="00320BCC"/>
    <w:p w14:paraId="41AE150E" w14:textId="77777777" w:rsidR="00320BCC" w:rsidRPr="00D46D65" w:rsidRDefault="00000000">
      <w:pPr>
        <w:spacing w:before="160" w:after="80"/>
        <w:jc w:val="center"/>
      </w:pPr>
      <w:r w:rsidRPr="00D46D65">
        <w:rPr>
          <w:noProof/>
        </w:rPr>
        <w:lastRenderedPageBreak/>
        <w:drawing>
          <wp:inline distT="0" distB="0" distL="0" distR="0" wp14:anchorId="5EE4D449" wp14:editId="0BB0D914">
            <wp:extent cx="5810250" cy="3657600"/>
            <wp:effectExtent l="0" t="0" r="0" b="0"/>
            <wp:docPr id="771742702" name="Figure 13 — Targeting Efficiency: Business Impact by Targeting Depth" descr="Figure 13 — Targeting Efficiency: Business Impact by Targeting Depth" title="Figure 13 — Targeting Efficiency: Business Impact by Targeting Dep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810250" cy="3657600"/>
                    </a:xfrm>
                    <a:prstGeom prst="rect">
                      <a:avLst/>
                    </a:prstGeom>
                  </pic:spPr>
                </pic:pic>
              </a:graphicData>
            </a:graphic>
          </wp:inline>
        </w:drawing>
      </w:r>
    </w:p>
    <w:p w14:paraId="4E6A8E9B" w14:textId="77777777" w:rsidR="00320BCC" w:rsidRPr="00D46D65" w:rsidRDefault="00000000">
      <w:pPr>
        <w:spacing w:after="240"/>
        <w:jc w:val="center"/>
      </w:pPr>
      <w:r w:rsidRPr="00D46D65">
        <w:rPr>
          <w:i/>
          <w:iCs/>
          <w:sz w:val="19"/>
          <w:szCs w:val="19"/>
        </w:rPr>
        <w:t>Figure 13 — Targeting Efficiency: Business Impact by Targeting Depth</w:t>
      </w:r>
    </w:p>
    <w:p w14:paraId="68EDA5F3" w14:textId="77777777" w:rsidR="00320BCC" w:rsidRPr="00D46D65" w:rsidRDefault="00000000">
      <w:pPr>
        <w:pStyle w:val="Heading2"/>
        <w:rPr>
          <w:color w:val="auto"/>
        </w:rPr>
      </w:pPr>
      <w:r w:rsidRPr="00D46D65">
        <w:rPr>
          <w:color w:val="auto"/>
        </w:rPr>
        <w:t>10.3 Qini Coefficients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20BCC" w:rsidRPr="00D46D65" w14:paraId="5C5FB2FD" w14:textId="77777777">
        <w:tblPrEx>
          <w:tblCellMar>
            <w:top w:w="0" w:type="dxa"/>
            <w:bottom w:w="0" w:type="dxa"/>
          </w:tblCellMar>
        </w:tblPrEx>
        <w:tc>
          <w:tcPr>
            <w:tcW w:w="4680" w:type="dxa"/>
            <w:tcBorders>
              <w:top w:val="single" w:sz="8" w:space="0" w:color="FFFFFF"/>
              <w:left w:val="single" w:sz="8" w:space="0" w:color="FFFFFF"/>
              <w:bottom w:val="single" w:sz="8" w:space="0" w:color="FFFFFF"/>
              <w:right w:val="single" w:sz="8" w:space="0" w:color="FFFFFF"/>
            </w:tcBorders>
            <w:shd w:val="clear" w:color="auto" w:fill="1E3A5F"/>
            <w:tcMar>
              <w:top w:w="80" w:type="dxa"/>
              <w:left w:w="140" w:type="dxa"/>
              <w:bottom w:w="80" w:type="dxa"/>
              <w:right w:w="140" w:type="dxa"/>
            </w:tcMar>
            <w:vAlign w:val="center"/>
          </w:tcPr>
          <w:p w14:paraId="00044CB9" w14:textId="77777777" w:rsidR="00320BCC" w:rsidRPr="00D46D65" w:rsidRDefault="00000000">
            <w:pPr>
              <w:jc w:val="center"/>
            </w:pPr>
            <w:r w:rsidRPr="00D46D65">
              <w:rPr>
                <w:b/>
                <w:bCs/>
                <w:sz w:val="20"/>
                <w:szCs w:val="20"/>
              </w:rPr>
              <w:t>Model</w:t>
            </w:r>
          </w:p>
        </w:tc>
        <w:tc>
          <w:tcPr>
            <w:tcW w:w="4680" w:type="dxa"/>
            <w:tcBorders>
              <w:top w:val="single" w:sz="8" w:space="0" w:color="FFFFFF"/>
              <w:left w:val="single" w:sz="8" w:space="0" w:color="FFFFFF"/>
              <w:bottom w:val="single" w:sz="8" w:space="0" w:color="FFFFFF"/>
              <w:right w:val="single" w:sz="8" w:space="0" w:color="FFFFFF"/>
            </w:tcBorders>
            <w:shd w:val="clear" w:color="auto" w:fill="1E3A5F"/>
            <w:tcMar>
              <w:top w:w="80" w:type="dxa"/>
              <w:left w:w="140" w:type="dxa"/>
              <w:bottom w:w="80" w:type="dxa"/>
              <w:right w:w="140" w:type="dxa"/>
            </w:tcMar>
            <w:vAlign w:val="center"/>
          </w:tcPr>
          <w:p w14:paraId="400008D5" w14:textId="77777777" w:rsidR="00320BCC" w:rsidRPr="00D46D65" w:rsidRDefault="00000000">
            <w:pPr>
              <w:jc w:val="center"/>
            </w:pPr>
            <w:r w:rsidRPr="00D46D65">
              <w:rPr>
                <w:b/>
                <w:bCs/>
                <w:sz w:val="20"/>
                <w:szCs w:val="20"/>
              </w:rPr>
              <w:t>Qini Coefficient</w:t>
            </w:r>
          </w:p>
        </w:tc>
      </w:tr>
      <w:tr w:rsidR="00320BCC" w:rsidRPr="00D46D65" w14:paraId="775E031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E6272EB" w14:textId="77777777" w:rsidR="00320BCC" w:rsidRPr="00D46D65" w:rsidRDefault="00000000">
            <w:r w:rsidRPr="00D46D65">
              <w:rPr>
                <w:b/>
                <w:bCs/>
                <w:sz w:val="20"/>
                <w:szCs w:val="20"/>
              </w:rPr>
              <w:t>S-Learner (Logistic Regression)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1DF8781" w14:textId="77777777" w:rsidR="00320BCC" w:rsidRPr="00D46D65" w:rsidRDefault="00000000">
            <w:pPr>
              <w:jc w:val="center"/>
            </w:pPr>
            <w:r w:rsidRPr="00D46D65">
              <w:rPr>
                <w:b/>
                <w:bCs/>
                <w:sz w:val="20"/>
                <w:szCs w:val="20"/>
              </w:rPr>
              <w:t>163.22</w:t>
            </w:r>
          </w:p>
        </w:tc>
      </w:tr>
      <w:tr w:rsidR="00320BCC" w:rsidRPr="00D46D65" w14:paraId="669710A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6CA8FE57" w14:textId="77777777" w:rsidR="00320BCC" w:rsidRPr="00D46D65" w:rsidRDefault="00000000">
            <w:r w:rsidRPr="00D46D65">
              <w:rPr>
                <w:b/>
                <w:bCs/>
                <w:sz w:val="20"/>
                <w:szCs w:val="20"/>
              </w:rPr>
              <w:t>T-Learner (Logistic Regression)</w:t>
            </w:r>
          </w:p>
        </w:tc>
        <w:tc>
          <w:tcPr>
            <w:tcW w:w="468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2A324BEA" w14:textId="77777777" w:rsidR="00320BCC" w:rsidRPr="00D46D65" w:rsidRDefault="00000000">
            <w:pPr>
              <w:jc w:val="center"/>
            </w:pPr>
            <w:r w:rsidRPr="00D46D65">
              <w:rPr>
                <w:b/>
                <w:bCs/>
                <w:sz w:val="20"/>
                <w:szCs w:val="20"/>
              </w:rPr>
              <w:t>153.84</w:t>
            </w:r>
          </w:p>
        </w:tc>
      </w:tr>
      <w:tr w:rsidR="00320BCC" w:rsidRPr="00D46D65" w14:paraId="458450B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C6766F5" w14:textId="77777777" w:rsidR="00320BCC" w:rsidRPr="00D46D65" w:rsidRDefault="00000000">
            <w:r w:rsidRPr="00D46D65">
              <w:rPr>
                <w:b/>
                <w:bCs/>
                <w:sz w:val="20"/>
                <w:szCs w:val="20"/>
              </w:rPr>
              <w:t>Random Baseline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5E5A1FE" w14:textId="77777777" w:rsidR="00320BCC" w:rsidRPr="00D46D65" w:rsidRDefault="00000000">
            <w:pPr>
              <w:jc w:val="center"/>
            </w:pPr>
            <w:r w:rsidRPr="00D46D65">
              <w:rPr>
                <w:sz w:val="20"/>
                <w:szCs w:val="20"/>
              </w:rPr>
              <w:t>0.00 (by definition)</w:t>
            </w:r>
          </w:p>
        </w:tc>
      </w:tr>
    </w:tbl>
    <w:p w14:paraId="00191BE1" w14:textId="77777777" w:rsidR="00320BCC" w:rsidRPr="00D46D65" w:rsidRDefault="00320BC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0BCC" w:rsidRPr="00D46D65" w14:paraId="21173A8B" w14:textId="77777777">
        <w:tblPrEx>
          <w:tblCellMar>
            <w:top w:w="0" w:type="dxa"/>
            <w:bottom w:w="0" w:type="dxa"/>
          </w:tblCellMar>
        </w:tblPrEx>
        <w:tc>
          <w:tcPr>
            <w:tcW w:w="9360" w:type="dxa"/>
            <w:tcBorders>
              <w:top w:val="single" w:sz="12" w:space="0" w:color="2563EB"/>
              <w:left w:val="single" w:sz="24" w:space="0" w:color="2563EB"/>
              <w:bottom w:val="single" w:sz="4" w:space="0" w:color="2563EB"/>
              <w:right w:val="none" w:sz="0" w:space="0" w:color="FFFFFF"/>
            </w:tcBorders>
            <w:shd w:val="clear" w:color="auto" w:fill="DBEAFE"/>
            <w:tcMar>
              <w:top w:w="120" w:type="dxa"/>
              <w:left w:w="200" w:type="dxa"/>
              <w:bottom w:w="120" w:type="dxa"/>
              <w:right w:w="200" w:type="dxa"/>
            </w:tcMar>
          </w:tcPr>
          <w:p w14:paraId="5E4F3E55" w14:textId="77777777" w:rsidR="00320BCC" w:rsidRPr="00D46D65" w:rsidRDefault="00000000">
            <w:r w:rsidRPr="00D46D65">
              <w:rPr>
                <w:i/>
                <w:iCs/>
              </w:rPr>
              <w:t>Efficiency finding: Targeting the top 20% by predicted CATE captures 65-79% of total campaign uplift while contacting only 1 in 5 users. Both models generate 2.5-2.9x more incremental visits than random targeting at the same 10% targeting depth.</w:t>
            </w:r>
          </w:p>
        </w:tc>
      </w:tr>
    </w:tbl>
    <w:p w14:paraId="132DAAAF" w14:textId="77777777" w:rsidR="00320BCC" w:rsidRPr="00D46D65" w:rsidRDefault="00000000">
      <w:r w:rsidRPr="00D46D65">
        <w:br w:type="page"/>
      </w:r>
    </w:p>
    <w:p w14:paraId="3DDB3FC7" w14:textId="77777777" w:rsidR="00CD51EE" w:rsidRPr="00D46D65" w:rsidRDefault="00CD51EE" w:rsidP="00CD51EE">
      <w:pPr>
        <w:pStyle w:val="Heading1"/>
        <w:rPr>
          <w:color w:val="auto"/>
          <w:kern w:val="36"/>
          <w14:ligatures w14:val="standardContextual"/>
        </w:rPr>
      </w:pPr>
      <w:r w:rsidRPr="00D46D65">
        <w:rPr>
          <w:color w:val="auto"/>
        </w:rPr>
        <w:lastRenderedPageBreak/>
        <w:t>11. Business Recommendations</w:t>
      </w:r>
    </w:p>
    <w:p w14:paraId="5C6C83FF" w14:textId="77777777" w:rsidR="00320BCC" w:rsidRPr="00D46D65" w:rsidRDefault="00000000">
      <w:pPr>
        <w:pStyle w:val="Heading2"/>
        <w:rPr>
          <w:color w:val="auto"/>
        </w:rPr>
      </w:pPr>
      <w:r w:rsidRPr="00D46D65">
        <w:rPr>
          <w:color w:val="auto"/>
        </w:rPr>
        <w:t>11.1 Targeting Strategy</w:t>
      </w:r>
    </w:p>
    <w:p w14:paraId="4A10A2AE" w14:textId="77777777" w:rsidR="00320BCC" w:rsidRPr="00D46D65" w:rsidRDefault="00000000">
      <w:pPr>
        <w:pStyle w:val="ListParagraph"/>
        <w:numPr>
          <w:ilvl w:val="0"/>
          <w:numId w:val="3"/>
        </w:numPr>
        <w:spacing w:after="100" w:line="300" w:lineRule="auto"/>
      </w:pPr>
      <w:r w:rsidRPr="00D46D65">
        <w:t>Rank all users by LightGBM T-Learner CATE score before each campaign cycle.</w:t>
      </w:r>
    </w:p>
    <w:p w14:paraId="7B3DCD44" w14:textId="77777777" w:rsidR="00320BCC" w:rsidRPr="00D46D65" w:rsidRDefault="00000000">
      <w:pPr>
        <w:pStyle w:val="ListParagraph"/>
        <w:numPr>
          <w:ilvl w:val="0"/>
          <w:numId w:val="3"/>
        </w:numPr>
        <w:spacing w:after="100" w:line="300" w:lineRule="auto"/>
      </w:pPr>
      <w:r w:rsidRPr="00D46D65">
        <w:t>Target the top 20-30% — this captures 65-79% of total uplift at a fraction of budget.</w:t>
      </w:r>
    </w:p>
    <w:p w14:paraId="0CF8A4AA" w14:textId="77777777" w:rsidR="00320BCC" w:rsidRPr="00D46D65" w:rsidRDefault="00000000">
      <w:pPr>
        <w:pStyle w:val="ListParagraph"/>
        <w:numPr>
          <w:ilvl w:val="0"/>
          <w:numId w:val="3"/>
        </w:numPr>
        <w:spacing w:after="100" w:line="300" w:lineRule="auto"/>
      </w:pPr>
      <w:r w:rsidRPr="00D46D65">
        <w:t>Build a suppression list of Sleeping Dogs (0.4%) — exclude them from all campaigns.</w:t>
      </w:r>
    </w:p>
    <w:p w14:paraId="39D1C415" w14:textId="77777777" w:rsidR="00320BCC" w:rsidRPr="00D46D65" w:rsidRDefault="00000000">
      <w:pPr>
        <w:pStyle w:val="ListParagraph"/>
        <w:numPr>
          <w:ilvl w:val="0"/>
          <w:numId w:val="3"/>
        </w:numPr>
        <w:spacing w:after="100" w:line="300" w:lineRule="auto"/>
      </w:pPr>
      <w:r w:rsidRPr="00D46D65">
        <w:t>Deprioritise Sure Things (12%) — they convert without advertising, generating zero incremental return.</w:t>
      </w:r>
    </w:p>
    <w:p w14:paraId="3F5C278E" w14:textId="77777777" w:rsidR="00320BCC" w:rsidRPr="00D46D65" w:rsidRDefault="00000000">
      <w:pPr>
        <w:pStyle w:val="ListParagraph"/>
        <w:numPr>
          <w:ilvl w:val="0"/>
          <w:numId w:val="3"/>
        </w:numPr>
        <w:spacing w:after="100" w:line="300" w:lineRule="auto"/>
      </w:pPr>
      <w:r w:rsidRPr="00D46D65">
        <w:t>Prioritise users with high f1 and f9 values — these features identify the highest-CATE Persuadables.</w:t>
      </w:r>
    </w:p>
    <w:p w14:paraId="4D6648D4" w14:textId="77777777" w:rsidR="00320BCC" w:rsidRPr="00D46D65" w:rsidRDefault="00000000">
      <w:pPr>
        <w:pStyle w:val="ListParagraph"/>
        <w:numPr>
          <w:ilvl w:val="0"/>
          <w:numId w:val="3"/>
        </w:numPr>
        <w:spacing w:after="100" w:line="300" w:lineRule="auto"/>
      </w:pPr>
      <w:r w:rsidRPr="00D46D65">
        <w:t>Retrain LightGBM models quarterly as user behaviour evolves.</w:t>
      </w:r>
    </w:p>
    <w:p w14:paraId="6804C97A" w14:textId="77777777" w:rsidR="00320BCC" w:rsidRPr="00D46D65" w:rsidRDefault="00320BCC"/>
    <w:p w14:paraId="1AB22CB5" w14:textId="77777777" w:rsidR="00320BCC" w:rsidRPr="00D46D65" w:rsidRDefault="00000000">
      <w:pPr>
        <w:pStyle w:val="Heading2"/>
        <w:rPr>
          <w:color w:val="auto"/>
        </w:rPr>
      </w:pPr>
      <w:r w:rsidRPr="00D46D65">
        <w:rPr>
          <w:color w:val="auto"/>
        </w:rPr>
        <w:t>11.2 Expected Business Impact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20BCC" w:rsidRPr="00D46D65" w14:paraId="311A3668" w14:textId="77777777">
        <w:tblPrEx>
          <w:tblCellMar>
            <w:top w:w="0" w:type="dxa"/>
            <w:bottom w:w="0" w:type="dxa"/>
          </w:tblCellMar>
        </w:tblPrEx>
        <w:tc>
          <w:tcPr>
            <w:tcW w:w="4680" w:type="dxa"/>
            <w:tcBorders>
              <w:top w:val="single" w:sz="8" w:space="0" w:color="FFFFFF"/>
              <w:left w:val="single" w:sz="8" w:space="0" w:color="FFFFFF"/>
              <w:bottom w:val="single" w:sz="8" w:space="0" w:color="FFFFFF"/>
              <w:right w:val="single" w:sz="8" w:space="0" w:color="FFFFFF"/>
            </w:tcBorders>
            <w:shd w:val="clear" w:color="auto" w:fill="1E3A5F"/>
            <w:tcMar>
              <w:top w:w="80" w:type="dxa"/>
              <w:left w:w="140" w:type="dxa"/>
              <w:bottom w:w="80" w:type="dxa"/>
              <w:right w:w="140" w:type="dxa"/>
            </w:tcMar>
            <w:vAlign w:val="center"/>
          </w:tcPr>
          <w:p w14:paraId="4069D7FF" w14:textId="77777777" w:rsidR="00320BCC" w:rsidRPr="00D46D65" w:rsidRDefault="00000000">
            <w:pPr>
              <w:jc w:val="center"/>
            </w:pPr>
            <w:r w:rsidRPr="00D46D65">
              <w:rPr>
                <w:b/>
                <w:bCs/>
                <w:sz w:val="20"/>
                <w:szCs w:val="20"/>
              </w:rPr>
              <w:t>Scenario</w:t>
            </w:r>
          </w:p>
        </w:tc>
        <w:tc>
          <w:tcPr>
            <w:tcW w:w="4680" w:type="dxa"/>
            <w:tcBorders>
              <w:top w:val="single" w:sz="8" w:space="0" w:color="FFFFFF"/>
              <w:left w:val="single" w:sz="8" w:space="0" w:color="FFFFFF"/>
              <w:bottom w:val="single" w:sz="8" w:space="0" w:color="FFFFFF"/>
              <w:right w:val="single" w:sz="8" w:space="0" w:color="FFFFFF"/>
            </w:tcBorders>
            <w:shd w:val="clear" w:color="auto" w:fill="1E3A5F"/>
            <w:tcMar>
              <w:top w:w="80" w:type="dxa"/>
              <w:left w:w="140" w:type="dxa"/>
              <w:bottom w:w="80" w:type="dxa"/>
              <w:right w:w="140" w:type="dxa"/>
            </w:tcMar>
            <w:vAlign w:val="center"/>
          </w:tcPr>
          <w:p w14:paraId="37902CFA" w14:textId="77777777" w:rsidR="00320BCC" w:rsidRPr="00D46D65" w:rsidRDefault="00000000">
            <w:pPr>
              <w:jc w:val="center"/>
            </w:pPr>
            <w:r w:rsidRPr="00D46D65">
              <w:rPr>
                <w:b/>
                <w:bCs/>
                <w:sz w:val="20"/>
                <w:szCs w:val="20"/>
              </w:rPr>
              <w:t>Expected Outcome</w:t>
            </w:r>
          </w:p>
        </w:tc>
      </w:tr>
      <w:tr w:rsidR="00320BCC" w:rsidRPr="00D46D65" w14:paraId="1F56B6A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5A6077A" w14:textId="77777777" w:rsidR="00320BCC" w:rsidRPr="00D46D65" w:rsidRDefault="00000000">
            <w:r w:rsidRPr="00D46D65">
              <w:rPr>
                <w:sz w:val="20"/>
                <w:szCs w:val="20"/>
              </w:rPr>
              <w:t>Random targeting (baseline)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D79A909" w14:textId="77777777" w:rsidR="00320BCC" w:rsidRPr="00D46D65" w:rsidRDefault="00000000">
            <w:r w:rsidRPr="00D46D65">
              <w:rPr>
                <w:sz w:val="20"/>
                <w:szCs w:val="20"/>
              </w:rPr>
              <w:t>185 incremental visits per 20% audience</w:t>
            </w:r>
          </w:p>
        </w:tc>
      </w:tr>
      <w:tr w:rsidR="00320BCC" w:rsidRPr="00D46D65" w14:paraId="0A67E6E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5CAB0714" w14:textId="77777777" w:rsidR="00320BCC" w:rsidRPr="00D46D65" w:rsidRDefault="00000000">
            <w:r w:rsidRPr="00D46D65">
              <w:rPr>
                <w:sz w:val="20"/>
                <w:szCs w:val="20"/>
              </w:rPr>
              <w:t>Model-based targeting (top 20%)</w:t>
            </w:r>
          </w:p>
        </w:tc>
        <w:tc>
          <w:tcPr>
            <w:tcW w:w="468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283B6A40" w14:textId="77777777" w:rsidR="00320BCC" w:rsidRPr="00D46D65" w:rsidRDefault="00000000">
            <w:r w:rsidRPr="00D46D65">
              <w:rPr>
                <w:b/>
                <w:bCs/>
                <w:sz w:val="20"/>
                <w:szCs w:val="20"/>
              </w:rPr>
              <w:t>456 incremental visits — 146% improvement</w:t>
            </w:r>
          </w:p>
        </w:tc>
      </w:tr>
      <w:tr w:rsidR="00320BCC" w:rsidRPr="00D46D65" w14:paraId="167CE20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F11001B" w14:textId="77777777" w:rsidR="00320BCC" w:rsidRPr="00D46D65" w:rsidRDefault="00000000">
            <w:r w:rsidRPr="00D46D65">
              <w:rPr>
                <w:sz w:val="20"/>
                <w:szCs w:val="20"/>
              </w:rPr>
              <w:t>Exclude Sleeping Dogs (0.4%)</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A3DF8C1" w14:textId="77777777" w:rsidR="00320BCC" w:rsidRPr="00D46D65" w:rsidRDefault="00000000">
            <w:r w:rsidRPr="00D46D65">
              <w:rPr>
                <w:sz w:val="20"/>
                <w:szCs w:val="20"/>
              </w:rPr>
              <w:t>Eliminate negative ROI from ad-averse users</w:t>
            </w:r>
          </w:p>
        </w:tc>
      </w:tr>
      <w:tr w:rsidR="00320BCC" w:rsidRPr="00D46D65" w14:paraId="66391C5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4FF6E454" w14:textId="77777777" w:rsidR="00320BCC" w:rsidRPr="00D46D65" w:rsidRDefault="00000000">
            <w:r w:rsidRPr="00D46D65">
              <w:rPr>
                <w:sz w:val="20"/>
                <w:szCs w:val="20"/>
              </w:rPr>
              <w:t>Focus on Persuadables (3.4%)</w:t>
            </w:r>
          </w:p>
        </w:tc>
        <w:tc>
          <w:tcPr>
            <w:tcW w:w="468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4DA24B8C" w14:textId="77777777" w:rsidR="00320BCC" w:rsidRPr="00D46D65" w:rsidRDefault="00000000">
            <w:r w:rsidRPr="00D46D65">
              <w:rPr>
                <w:b/>
                <w:bCs/>
                <w:sz w:val="20"/>
                <w:szCs w:val="20"/>
              </w:rPr>
              <w:t>Maximum incremental ROI — every impression generates uplift</w:t>
            </w:r>
          </w:p>
        </w:tc>
      </w:tr>
    </w:tbl>
    <w:p w14:paraId="38001CD4" w14:textId="77777777" w:rsidR="00320BCC" w:rsidRPr="00D46D65" w:rsidRDefault="00000000">
      <w:r w:rsidRPr="00D46D65">
        <w:br w:type="page"/>
      </w:r>
    </w:p>
    <w:p w14:paraId="462AF7F2" w14:textId="77777777" w:rsidR="00CD51EE" w:rsidRPr="00D46D65" w:rsidRDefault="00CD51EE" w:rsidP="00CD51EE">
      <w:pPr>
        <w:pStyle w:val="Heading1"/>
        <w:rPr>
          <w:color w:val="auto"/>
          <w:kern w:val="36"/>
          <w14:ligatures w14:val="standardContextual"/>
        </w:rPr>
      </w:pPr>
      <w:r w:rsidRPr="00D46D65">
        <w:rPr>
          <w:color w:val="auto"/>
        </w:rPr>
        <w:lastRenderedPageBreak/>
        <w:t>12. Conclusion</w:t>
      </w:r>
    </w:p>
    <w:p w14:paraId="087F7D6B" w14:textId="77777777" w:rsidR="00320BCC" w:rsidRPr="00D46D65" w:rsidRDefault="00000000">
      <w:pPr>
        <w:spacing w:after="160" w:line="320" w:lineRule="auto"/>
        <w:jc w:val="both"/>
      </w:pPr>
      <w:r w:rsidRPr="00D46D65">
        <w:t>This paper applied a multi-method causal inference and uplift modelling framework to the Criteo Uplift v2.1 dataset. For RQ1, four independent methods confirm a statistically significant ATE of +0.0103 on visits (+26.4% relative lift) and +0.0017 on conversions (+93.0%). For RQ2, the LightGBM T-Learner reveals heterogeneity from -0.2724 to +0.5816, with only 3.4% of users being genuine Persuadables. Uplift curve evaluation confirms targeting the top 20% by predicted CATE captures 65-79% of total campaign uplift.</w:t>
      </w:r>
    </w:p>
    <w:p w14:paraId="1DFB2859" w14:textId="77777777" w:rsidR="00320BCC" w:rsidRPr="00D46D65" w:rsidRDefault="00320BC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320BCC" w:rsidRPr="00D46D65" w14:paraId="5F26421E" w14:textId="77777777">
        <w:tblPrEx>
          <w:tblCellMar>
            <w:top w:w="0" w:type="dxa"/>
            <w:bottom w:w="0" w:type="dxa"/>
          </w:tblCellMar>
        </w:tblPrEx>
        <w:tc>
          <w:tcPr>
            <w:tcW w:w="2340" w:type="dxa"/>
            <w:tcBorders>
              <w:top w:val="single" w:sz="8" w:space="0" w:color="FFFFFF"/>
              <w:left w:val="single" w:sz="8" w:space="0" w:color="FFFFFF"/>
              <w:bottom w:val="single" w:sz="8" w:space="0" w:color="FFFFFF"/>
              <w:right w:val="single" w:sz="8" w:space="0" w:color="FFFFFF"/>
            </w:tcBorders>
            <w:shd w:val="clear" w:color="auto" w:fill="1E3A5F"/>
            <w:tcMar>
              <w:top w:w="80" w:type="dxa"/>
              <w:left w:w="140" w:type="dxa"/>
              <w:bottom w:w="80" w:type="dxa"/>
              <w:right w:w="140" w:type="dxa"/>
            </w:tcMar>
            <w:vAlign w:val="center"/>
          </w:tcPr>
          <w:p w14:paraId="474793D5" w14:textId="77777777" w:rsidR="00320BCC" w:rsidRPr="00D46D65" w:rsidRDefault="00000000">
            <w:pPr>
              <w:jc w:val="center"/>
            </w:pPr>
            <w:r w:rsidRPr="00D46D65">
              <w:rPr>
                <w:b/>
                <w:bCs/>
                <w:sz w:val="20"/>
                <w:szCs w:val="20"/>
              </w:rPr>
              <w:t>Step</w:t>
            </w:r>
          </w:p>
        </w:tc>
        <w:tc>
          <w:tcPr>
            <w:tcW w:w="2340" w:type="dxa"/>
            <w:tcBorders>
              <w:top w:val="single" w:sz="8" w:space="0" w:color="FFFFFF"/>
              <w:left w:val="single" w:sz="8" w:space="0" w:color="FFFFFF"/>
              <w:bottom w:val="single" w:sz="8" w:space="0" w:color="FFFFFF"/>
              <w:right w:val="single" w:sz="8" w:space="0" w:color="FFFFFF"/>
            </w:tcBorders>
            <w:shd w:val="clear" w:color="auto" w:fill="1E3A5F"/>
            <w:tcMar>
              <w:top w:w="80" w:type="dxa"/>
              <w:left w:w="140" w:type="dxa"/>
              <w:bottom w:w="80" w:type="dxa"/>
              <w:right w:w="140" w:type="dxa"/>
            </w:tcMar>
            <w:vAlign w:val="center"/>
          </w:tcPr>
          <w:p w14:paraId="1FFF2062" w14:textId="77777777" w:rsidR="00320BCC" w:rsidRPr="00D46D65" w:rsidRDefault="00000000">
            <w:pPr>
              <w:jc w:val="center"/>
            </w:pPr>
            <w:r w:rsidRPr="00D46D65">
              <w:rPr>
                <w:b/>
                <w:bCs/>
                <w:sz w:val="20"/>
                <w:szCs w:val="20"/>
              </w:rPr>
              <w:t>Method</w:t>
            </w:r>
          </w:p>
        </w:tc>
        <w:tc>
          <w:tcPr>
            <w:tcW w:w="4680" w:type="dxa"/>
            <w:tcBorders>
              <w:top w:val="single" w:sz="8" w:space="0" w:color="FFFFFF"/>
              <w:left w:val="single" w:sz="8" w:space="0" w:color="FFFFFF"/>
              <w:bottom w:val="single" w:sz="8" w:space="0" w:color="FFFFFF"/>
              <w:right w:val="single" w:sz="8" w:space="0" w:color="FFFFFF"/>
            </w:tcBorders>
            <w:shd w:val="clear" w:color="auto" w:fill="1E3A5F"/>
            <w:tcMar>
              <w:top w:w="80" w:type="dxa"/>
              <w:left w:w="140" w:type="dxa"/>
              <w:bottom w:w="80" w:type="dxa"/>
              <w:right w:w="140" w:type="dxa"/>
            </w:tcMar>
            <w:vAlign w:val="center"/>
          </w:tcPr>
          <w:p w14:paraId="198A0674" w14:textId="77777777" w:rsidR="00320BCC" w:rsidRPr="00D46D65" w:rsidRDefault="00000000">
            <w:pPr>
              <w:jc w:val="center"/>
            </w:pPr>
            <w:r w:rsidRPr="00D46D65">
              <w:rPr>
                <w:b/>
                <w:bCs/>
                <w:sz w:val="20"/>
                <w:szCs w:val="20"/>
              </w:rPr>
              <w:t>Key Finding</w:t>
            </w:r>
          </w:p>
        </w:tc>
      </w:tr>
      <w:tr w:rsidR="00320BCC" w:rsidRPr="00D46D65" w14:paraId="41F5414F"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9C358A8" w14:textId="77777777" w:rsidR="00320BCC" w:rsidRPr="00D46D65" w:rsidRDefault="00000000">
            <w:r w:rsidRPr="00D46D65">
              <w:rPr>
                <w:b/>
                <w:bCs/>
                <w:sz w:val="20"/>
                <w:szCs w:val="20"/>
              </w:rPr>
              <w:t>ATE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62D041E" w14:textId="77777777" w:rsidR="00320BCC" w:rsidRPr="00D46D65" w:rsidRDefault="00000000">
            <w:r w:rsidRPr="00D46D65">
              <w:rPr>
                <w:sz w:val="20"/>
                <w:szCs w:val="20"/>
              </w:rPr>
              <w:t>Diff-in-means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803B9A1" w14:textId="77777777" w:rsidR="00320BCC" w:rsidRPr="00D46D65" w:rsidRDefault="00000000">
            <w:r w:rsidRPr="00D46D65">
              <w:rPr>
                <w:b/>
                <w:bCs/>
                <w:sz w:val="20"/>
                <w:szCs w:val="20"/>
              </w:rPr>
              <w:t>+26.4% visits, +93.0% conversions — p&lt;0.001</w:t>
            </w:r>
          </w:p>
        </w:tc>
      </w:tr>
      <w:tr w:rsidR="00320BCC" w:rsidRPr="00D46D65" w14:paraId="4E26B6DA"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78D75C39" w14:textId="77777777" w:rsidR="00320BCC" w:rsidRPr="00D46D65" w:rsidRDefault="00000000">
            <w:r w:rsidRPr="00D46D65">
              <w:rPr>
                <w:b/>
                <w:bCs/>
                <w:sz w:val="20"/>
                <w:szCs w:val="20"/>
              </w:rPr>
              <w:t>IPW</w:t>
            </w:r>
          </w:p>
        </w:tc>
        <w:tc>
          <w:tcPr>
            <w:tcW w:w="234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78F9DF74" w14:textId="77777777" w:rsidR="00320BCC" w:rsidRPr="00D46D65" w:rsidRDefault="00000000">
            <w:r w:rsidRPr="00D46D65">
              <w:rPr>
                <w:sz w:val="20"/>
                <w:szCs w:val="20"/>
              </w:rPr>
              <w:t>Reweighting</w:t>
            </w:r>
          </w:p>
        </w:tc>
        <w:tc>
          <w:tcPr>
            <w:tcW w:w="468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24FE62F2" w14:textId="77777777" w:rsidR="00320BCC" w:rsidRPr="00D46D65" w:rsidRDefault="00000000">
            <w:r w:rsidRPr="00D46D65">
              <w:rPr>
                <w:sz w:val="20"/>
                <w:szCs w:val="20"/>
              </w:rPr>
              <w:t>ATE confirmed robust across methods</w:t>
            </w:r>
          </w:p>
        </w:tc>
      </w:tr>
      <w:tr w:rsidR="00320BCC" w:rsidRPr="00D46D65" w14:paraId="22F4E1D7"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E41BA56" w14:textId="77777777" w:rsidR="00320BCC" w:rsidRPr="00D46D65" w:rsidRDefault="00000000">
            <w:r w:rsidRPr="00D46D65">
              <w:rPr>
                <w:b/>
                <w:bCs/>
                <w:sz w:val="20"/>
                <w:szCs w:val="20"/>
              </w:rPr>
              <w:t>S-Learner</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A9659B8" w14:textId="77777777" w:rsidR="00320BCC" w:rsidRPr="00D46D65" w:rsidRDefault="00000000">
            <w:r w:rsidRPr="00D46D65">
              <w:rPr>
                <w:sz w:val="20"/>
                <w:szCs w:val="20"/>
              </w:rPr>
              <w:t>Single LR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4FCD7EF" w14:textId="77777777" w:rsidR="00320BCC" w:rsidRPr="00D46D65" w:rsidRDefault="00000000">
            <w:r w:rsidRPr="00D46D65">
              <w:rPr>
                <w:sz w:val="20"/>
                <w:szCs w:val="20"/>
              </w:rPr>
              <w:t>Mean CATE +0.0072, Qini 163.22 — best ranker</w:t>
            </w:r>
          </w:p>
        </w:tc>
      </w:tr>
      <w:tr w:rsidR="00320BCC" w:rsidRPr="00D46D65" w14:paraId="5F79B76E"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2788ABE1" w14:textId="77777777" w:rsidR="00320BCC" w:rsidRPr="00D46D65" w:rsidRDefault="00000000">
            <w:r w:rsidRPr="00D46D65">
              <w:rPr>
                <w:b/>
                <w:bCs/>
                <w:sz w:val="20"/>
                <w:szCs w:val="20"/>
              </w:rPr>
              <w:t>T-Learner LR</w:t>
            </w:r>
          </w:p>
        </w:tc>
        <w:tc>
          <w:tcPr>
            <w:tcW w:w="234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4136A81C" w14:textId="77777777" w:rsidR="00320BCC" w:rsidRPr="00D46D65" w:rsidRDefault="00000000">
            <w:r w:rsidRPr="00D46D65">
              <w:rPr>
                <w:sz w:val="20"/>
                <w:szCs w:val="20"/>
              </w:rPr>
              <w:t>Two LR models</w:t>
            </w:r>
          </w:p>
        </w:tc>
        <w:tc>
          <w:tcPr>
            <w:tcW w:w="468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68DC1E0D" w14:textId="77777777" w:rsidR="00320BCC" w:rsidRPr="00D46D65" w:rsidRDefault="00000000">
            <w:r w:rsidRPr="00D46D65">
              <w:rPr>
                <w:sz w:val="20"/>
                <w:szCs w:val="20"/>
              </w:rPr>
              <w:t>CATE -0.15 to +0.33, 18.3% negative effects</w:t>
            </w:r>
          </w:p>
        </w:tc>
      </w:tr>
      <w:tr w:rsidR="00320BCC" w:rsidRPr="00D46D65" w14:paraId="525DB53F"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B7EE794" w14:textId="77777777" w:rsidR="00320BCC" w:rsidRPr="00D46D65" w:rsidRDefault="00000000">
            <w:r w:rsidRPr="00D46D65">
              <w:rPr>
                <w:b/>
                <w:bCs/>
                <w:sz w:val="20"/>
                <w:szCs w:val="20"/>
              </w:rPr>
              <w:t>T-Learner LGB</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E86F2D5" w14:textId="77777777" w:rsidR="00320BCC" w:rsidRPr="00D46D65" w:rsidRDefault="00000000">
            <w:r w:rsidRPr="00D46D65">
              <w:rPr>
                <w:sz w:val="20"/>
                <w:szCs w:val="20"/>
              </w:rPr>
              <w:t>Two LightGBM</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A1E9599" w14:textId="77777777" w:rsidR="00320BCC" w:rsidRPr="00D46D65" w:rsidRDefault="00000000">
            <w:r w:rsidRPr="00D46D65">
              <w:rPr>
                <w:b/>
                <w:bCs/>
                <w:sz w:val="20"/>
                <w:szCs w:val="20"/>
              </w:rPr>
              <w:t>CATE -0.27 to +0.58, AUC 0.94 — richest heterogeneity</w:t>
            </w:r>
          </w:p>
        </w:tc>
      </w:tr>
      <w:tr w:rsidR="00320BCC" w:rsidRPr="00D46D65" w14:paraId="5BE9A996"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6FFF013C" w14:textId="77777777" w:rsidR="00320BCC" w:rsidRPr="00D46D65" w:rsidRDefault="00000000">
            <w:r w:rsidRPr="00D46D65">
              <w:rPr>
                <w:b/>
                <w:bCs/>
                <w:sz w:val="20"/>
                <w:szCs w:val="20"/>
              </w:rPr>
              <w:t>Segmentation</w:t>
            </w:r>
          </w:p>
        </w:tc>
        <w:tc>
          <w:tcPr>
            <w:tcW w:w="234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24DF425A" w14:textId="77777777" w:rsidR="00320BCC" w:rsidRPr="00D46D65" w:rsidRDefault="00000000">
            <w:r w:rsidRPr="00D46D65">
              <w:rPr>
                <w:sz w:val="20"/>
                <w:szCs w:val="20"/>
              </w:rPr>
              <w:t>2x2 heatmap</w:t>
            </w:r>
          </w:p>
        </w:tc>
        <w:tc>
          <w:tcPr>
            <w:tcW w:w="4680" w:type="dxa"/>
            <w:tcBorders>
              <w:top w:val="single" w:sz="4" w:space="0" w:color="CCCCCC"/>
              <w:left w:val="single" w:sz="4" w:space="0" w:color="CCCCCC"/>
              <w:bottom w:val="single" w:sz="4" w:space="0" w:color="CCCCCC"/>
              <w:right w:val="single" w:sz="4" w:space="0" w:color="CCCCCC"/>
            </w:tcBorders>
            <w:shd w:val="clear" w:color="auto" w:fill="F0F4FF"/>
            <w:tcMar>
              <w:top w:w="80" w:type="dxa"/>
              <w:left w:w="140" w:type="dxa"/>
              <w:bottom w:w="80" w:type="dxa"/>
              <w:right w:w="140" w:type="dxa"/>
            </w:tcMar>
            <w:vAlign w:val="center"/>
          </w:tcPr>
          <w:p w14:paraId="24012B5F" w14:textId="77777777" w:rsidR="00320BCC" w:rsidRPr="00D46D65" w:rsidRDefault="00000000">
            <w:r w:rsidRPr="00D46D65">
              <w:rPr>
                <w:sz w:val="20"/>
                <w:szCs w:val="20"/>
              </w:rPr>
              <w:t>3.4% Persuadables, 84.2% Lost Causes, 0.4% Sleeping Dogs</w:t>
            </w:r>
          </w:p>
        </w:tc>
      </w:tr>
      <w:tr w:rsidR="00320BCC" w:rsidRPr="00D46D65" w14:paraId="69B47E51"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E1BC3AC" w14:textId="77777777" w:rsidR="00320BCC" w:rsidRPr="00D46D65" w:rsidRDefault="00000000">
            <w:r w:rsidRPr="00D46D65">
              <w:rPr>
                <w:b/>
                <w:bCs/>
                <w:sz w:val="20"/>
                <w:szCs w:val="20"/>
              </w:rPr>
              <w:t>Evaluation</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A2E71B3" w14:textId="77777777" w:rsidR="00320BCC" w:rsidRPr="00D46D65" w:rsidRDefault="00000000">
            <w:r w:rsidRPr="00D46D65">
              <w:rPr>
                <w:sz w:val="20"/>
                <w:szCs w:val="20"/>
              </w:rPr>
              <w:t>Uplift + Qini</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2CCE686" w14:textId="77777777" w:rsidR="00320BCC" w:rsidRPr="00D46D65" w:rsidRDefault="00000000">
            <w:r w:rsidRPr="00D46D65">
              <w:rPr>
                <w:b/>
                <w:bCs/>
                <w:sz w:val="20"/>
                <w:szCs w:val="20"/>
              </w:rPr>
              <w:t>Top 20% captures 65-79% of total uplift</w:t>
            </w:r>
          </w:p>
        </w:tc>
      </w:tr>
    </w:tbl>
    <w:p w14:paraId="4C5EC8E2" w14:textId="77777777" w:rsidR="00320BCC" w:rsidRPr="00D46D65" w:rsidRDefault="00000000">
      <w:r w:rsidRPr="00D46D65">
        <w:br w:type="page"/>
      </w:r>
    </w:p>
    <w:p w14:paraId="4445185B" w14:textId="77777777" w:rsidR="00CD51EE" w:rsidRPr="00D46D65" w:rsidRDefault="00CD51EE" w:rsidP="00CD51EE">
      <w:pPr>
        <w:pStyle w:val="Heading1"/>
        <w:rPr>
          <w:color w:val="auto"/>
          <w:kern w:val="36"/>
          <w14:ligatures w14:val="standardContextual"/>
        </w:rPr>
      </w:pPr>
      <w:r w:rsidRPr="00D46D65">
        <w:rPr>
          <w:color w:val="auto"/>
        </w:rPr>
        <w:lastRenderedPageBreak/>
        <w:t>13. References</w:t>
      </w:r>
    </w:p>
    <w:p w14:paraId="14C21711" w14:textId="77777777" w:rsidR="00320BCC" w:rsidRPr="00D46D65" w:rsidRDefault="00000000">
      <w:pPr>
        <w:spacing w:after="160" w:line="320" w:lineRule="auto"/>
        <w:jc w:val="both"/>
      </w:pPr>
      <w:r w:rsidRPr="00D46D65">
        <w:t>Diemert, E., Betlei, A., Renaudin, C., &amp; Amini, M. (2018). A Large Scale Benchmark for Uplift Modeling. AdKDD and TargetAd Workshop, KDD 2018.</w:t>
      </w:r>
    </w:p>
    <w:p w14:paraId="74FBAB22" w14:textId="77777777" w:rsidR="00320BCC" w:rsidRPr="00D46D65" w:rsidRDefault="00320BCC"/>
    <w:p w14:paraId="75E12DE3" w14:textId="77777777" w:rsidR="00320BCC" w:rsidRPr="00D46D65" w:rsidRDefault="00000000">
      <w:pPr>
        <w:spacing w:after="160" w:line="320" w:lineRule="auto"/>
        <w:jc w:val="both"/>
      </w:pPr>
      <w:r w:rsidRPr="00D46D65">
        <w:t>Gutierrez, P., &amp; Gerardy, J. Y. (2017). Causal Inference and Uplift Modelling: A Review of the Literature. PMLR.</w:t>
      </w:r>
    </w:p>
    <w:p w14:paraId="5AAA4517" w14:textId="77777777" w:rsidR="00320BCC" w:rsidRPr="00D46D65" w:rsidRDefault="00320BCC"/>
    <w:p w14:paraId="51296549" w14:textId="77777777" w:rsidR="00320BCC" w:rsidRPr="00D46D65" w:rsidRDefault="00000000">
      <w:pPr>
        <w:spacing w:after="160" w:line="320" w:lineRule="auto"/>
        <w:jc w:val="both"/>
      </w:pPr>
      <w:r w:rsidRPr="00D46D65">
        <w:t>Imbens, G. W., &amp; Rubin, D. B. (2015). Causal Inference for Statistics, Social, and Biomedical Sciences. Cambridge University Press.</w:t>
      </w:r>
    </w:p>
    <w:p w14:paraId="3C1F8ADF" w14:textId="77777777" w:rsidR="00320BCC" w:rsidRPr="00D46D65" w:rsidRDefault="00320BCC"/>
    <w:p w14:paraId="211F4F53" w14:textId="77777777" w:rsidR="00320BCC" w:rsidRPr="00D46D65" w:rsidRDefault="00000000">
      <w:pPr>
        <w:spacing w:after="160" w:line="320" w:lineRule="auto"/>
        <w:jc w:val="both"/>
      </w:pPr>
      <w:r w:rsidRPr="00D46D65">
        <w:t>Ke, G., et al. (2017). LightGBM: A Highly Efficient Gradient Boosting Decision Tree. NeurIPS, 30.</w:t>
      </w:r>
    </w:p>
    <w:p w14:paraId="4932F37A" w14:textId="77777777" w:rsidR="00320BCC" w:rsidRPr="00D46D65" w:rsidRDefault="00320BCC"/>
    <w:p w14:paraId="42B35E5F" w14:textId="77777777" w:rsidR="00320BCC" w:rsidRPr="00D46D65" w:rsidRDefault="00000000">
      <w:pPr>
        <w:spacing w:after="160" w:line="320" w:lineRule="auto"/>
        <w:jc w:val="both"/>
      </w:pPr>
      <w:r w:rsidRPr="00D46D65">
        <w:t>Kunzel, S. R., Sekhon, J. S., Bickel, P. J., &amp; Yu, B. (2019). Metalearners for Estimating Heterogeneous Treatment Effects. PNAS, 116(10).</w:t>
      </w:r>
    </w:p>
    <w:p w14:paraId="76382E30" w14:textId="77777777" w:rsidR="00320BCC" w:rsidRPr="00D46D65" w:rsidRDefault="00320BCC"/>
    <w:p w14:paraId="6450D2CF" w14:textId="77777777" w:rsidR="00320BCC" w:rsidRPr="00D46D65" w:rsidRDefault="00000000">
      <w:pPr>
        <w:spacing w:after="160" w:line="320" w:lineRule="auto"/>
        <w:jc w:val="both"/>
      </w:pPr>
      <w:r w:rsidRPr="00D46D65">
        <w:t>Radcliffe, N. J., &amp; Surry, P. D. (2011). Real-World Uplift Modelling with Significance-Based Uplift Trees. Stochastic Solutions.</w:t>
      </w:r>
    </w:p>
    <w:p w14:paraId="0BB43448" w14:textId="77777777" w:rsidR="00320BCC" w:rsidRPr="00D46D65" w:rsidRDefault="00320BCC"/>
    <w:p w14:paraId="1B4662E9" w14:textId="77777777" w:rsidR="00320BCC" w:rsidRPr="00D46D65" w:rsidRDefault="00000000">
      <w:pPr>
        <w:spacing w:after="160" w:line="320" w:lineRule="auto"/>
        <w:jc w:val="both"/>
      </w:pPr>
      <w:r w:rsidRPr="00D46D65">
        <w:t>Rosenbaum, P. R., &amp; Rubin, D. B. (1983). The Central Role of the Propensity Score. Biometrika, 70(1), 41-55.</w:t>
      </w:r>
    </w:p>
    <w:p w14:paraId="764D3352" w14:textId="77777777" w:rsidR="00320BCC" w:rsidRPr="00D46D65" w:rsidRDefault="00320BCC"/>
    <w:p w14:paraId="0AB6D737" w14:textId="77777777" w:rsidR="00320BCC" w:rsidRPr="00D46D65" w:rsidRDefault="00000000">
      <w:pPr>
        <w:spacing w:after="160" w:line="320" w:lineRule="auto"/>
        <w:jc w:val="both"/>
      </w:pPr>
      <w:r w:rsidRPr="00D46D65">
        <w:t>Wager, S., &amp; Athey, S. (2018). Estimation and Inference of Heterogeneous Treatment Effects using Random Forests. JASA, 113(523).</w:t>
      </w:r>
    </w:p>
    <w:sectPr w:rsidR="00320BCC" w:rsidRPr="00D46D65">
      <w:headerReference w:type="default" r:id="rId21"/>
      <w:footerReference w:type="default" r:id="rId22"/>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4B544" w14:textId="77777777" w:rsidR="00020F62" w:rsidRDefault="00020F62">
      <w:r>
        <w:separator/>
      </w:r>
    </w:p>
  </w:endnote>
  <w:endnote w:type="continuationSeparator" w:id="0">
    <w:p w14:paraId="3E4E2C18" w14:textId="77777777" w:rsidR="00020F62" w:rsidRDefault="00020F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42ED8" w14:textId="77777777" w:rsidR="00320BCC" w:rsidRDefault="00000000">
    <w:pPr>
      <w:pBdr>
        <w:top w:val="single" w:sz="4" w:space="4" w:color="2563EB"/>
      </w:pBdr>
      <w:jc w:val="center"/>
    </w:pP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CD51EE">
      <w:rPr>
        <w:noProof/>
        <w:color w:val="6B7280"/>
        <w:sz w:val="18"/>
        <w:szCs w:val="18"/>
      </w:rPr>
      <w:t>1</w:t>
    </w:r>
    <w:r>
      <w:rPr>
        <w:color w:val="6B7280"/>
        <w:sz w:val="18"/>
        <w:szCs w:val="18"/>
      </w:rPr>
      <w:fldChar w:fldCharType="end"/>
    </w:r>
    <w:r>
      <w:rPr>
        <w:color w:val="6B7280"/>
        <w:sz w:val="18"/>
        <w:szCs w:val="18"/>
      </w:rPr>
      <w:t xml:space="preserve"> of </w:t>
    </w:r>
    <w:r>
      <w:rPr>
        <w:color w:val="6B7280"/>
        <w:sz w:val="18"/>
        <w:szCs w:val="18"/>
      </w:rPr>
      <w:fldChar w:fldCharType="begin"/>
    </w:r>
    <w:r>
      <w:rPr>
        <w:color w:val="6B7280"/>
        <w:sz w:val="18"/>
        <w:szCs w:val="18"/>
      </w:rPr>
      <w:instrText>NUMPAGES</w:instrText>
    </w:r>
    <w:r>
      <w:rPr>
        <w:color w:val="6B7280"/>
        <w:sz w:val="18"/>
        <w:szCs w:val="18"/>
      </w:rPr>
      <w:fldChar w:fldCharType="separate"/>
    </w:r>
    <w:r w:rsidR="00CD51EE">
      <w:rPr>
        <w:noProof/>
        <w:color w:val="6B7280"/>
        <w:sz w:val="18"/>
        <w:szCs w:val="18"/>
      </w:rPr>
      <w:t>2</w:t>
    </w:r>
    <w:r>
      <w:rPr>
        <w:color w:val="6B7280"/>
        <w:sz w:val="18"/>
        <w:szCs w:val="18"/>
      </w:rPr>
      <w:fldChar w:fldCharType="end"/>
    </w:r>
    <w:r>
      <w:rPr>
        <w:color w:val="6B7280"/>
        <w:sz w:val="18"/>
        <w:szCs w:val="18"/>
      </w:rPr>
      <w:t xml:space="preserve">  |  David — April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1A179" w14:textId="77777777" w:rsidR="00020F62" w:rsidRDefault="00020F62">
      <w:r>
        <w:separator/>
      </w:r>
    </w:p>
  </w:footnote>
  <w:footnote w:type="continuationSeparator" w:id="0">
    <w:p w14:paraId="7D96A8E5" w14:textId="77777777" w:rsidR="00020F62" w:rsidRDefault="00020F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48056" w14:textId="77777777" w:rsidR="00320BCC" w:rsidRDefault="00000000">
    <w:pPr>
      <w:pBdr>
        <w:bottom w:val="single" w:sz="4" w:space="4" w:color="2563EB"/>
      </w:pBdr>
      <w:jc w:val="right"/>
    </w:pPr>
    <w:r>
      <w:rPr>
        <w:color w:val="6B7280"/>
        <w:sz w:val="18"/>
        <w:szCs w:val="18"/>
      </w:rPr>
      <w:t>Criteo Uplift v2.1 — Causal Inference &amp; Uplift Modelling  |  ECON 5140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89543A"/>
    <w:multiLevelType w:val="hybridMultilevel"/>
    <w:tmpl w:val="1A3A9E26"/>
    <w:lvl w:ilvl="0" w:tplc="9A424BF4">
      <w:start w:val="1"/>
      <w:numFmt w:val="decimal"/>
      <w:lvlText w:val="%1."/>
      <w:lvlJc w:val="left"/>
      <w:pPr>
        <w:ind w:left="720" w:hanging="360"/>
      </w:pPr>
      <w:rPr>
        <w:rFonts w:ascii="Arial" w:eastAsia="Arial" w:hAnsi="Arial" w:cs="Arial"/>
      </w:rPr>
    </w:lvl>
    <w:lvl w:ilvl="1" w:tplc="24541554">
      <w:numFmt w:val="decimal"/>
      <w:lvlText w:val=""/>
      <w:lvlJc w:val="left"/>
    </w:lvl>
    <w:lvl w:ilvl="2" w:tplc="8320EC3C">
      <w:numFmt w:val="decimal"/>
      <w:lvlText w:val=""/>
      <w:lvlJc w:val="left"/>
    </w:lvl>
    <w:lvl w:ilvl="3" w:tplc="3854637C">
      <w:numFmt w:val="decimal"/>
      <w:lvlText w:val=""/>
      <w:lvlJc w:val="left"/>
    </w:lvl>
    <w:lvl w:ilvl="4" w:tplc="18307364">
      <w:numFmt w:val="decimal"/>
      <w:lvlText w:val=""/>
      <w:lvlJc w:val="left"/>
    </w:lvl>
    <w:lvl w:ilvl="5" w:tplc="1D1C3A56">
      <w:numFmt w:val="decimal"/>
      <w:lvlText w:val=""/>
      <w:lvlJc w:val="left"/>
    </w:lvl>
    <w:lvl w:ilvl="6" w:tplc="89365EE6">
      <w:numFmt w:val="decimal"/>
      <w:lvlText w:val=""/>
      <w:lvlJc w:val="left"/>
    </w:lvl>
    <w:lvl w:ilvl="7" w:tplc="089E1788">
      <w:numFmt w:val="decimal"/>
      <w:lvlText w:val=""/>
      <w:lvlJc w:val="left"/>
    </w:lvl>
    <w:lvl w:ilvl="8" w:tplc="2C7267F8">
      <w:numFmt w:val="decimal"/>
      <w:lvlText w:val=""/>
      <w:lvlJc w:val="left"/>
    </w:lvl>
  </w:abstractNum>
  <w:abstractNum w:abstractNumId="1" w15:restartNumberingAfterBreak="0">
    <w:nsid w:val="55E872B6"/>
    <w:multiLevelType w:val="hybridMultilevel"/>
    <w:tmpl w:val="FC48E514"/>
    <w:lvl w:ilvl="0" w:tplc="EAE27944">
      <w:start w:val="1"/>
      <w:numFmt w:val="bullet"/>
      <w:lvlText w:val="•"/>
      <w:lvlJc w:val="left"/>
      <w:pPr>
        <w:ind w:left="720" w:hanging="360"/>
      </w:pPr>
      <w:rPr>
        <w:rFonts w:ascii="Arial" w:eastAsia="Arial" w:hAnsi="Arial" w:cs="Arial"/>
      </w:rPr>
    </w:lvl>
    <w:lvl w:ilvl="1" w:tplc="AC84ADFA">
      <w:numFmt w:val="decimal"/>
      <w:lvlText w:val=""/>
      <w:lvlJc w:val="left"/>
    </w:lvl>
    <w:lvl w:ilvl="2" w:tplc="E0FE044C">
      <w:numFmt w:val="decimal"/>
      <w:lvlText w:val=""/>
      <w:lvlJc w:val="left"/>
    </w:lvl>
    <w:lvl w:ilvl="3" w:tplc="2676DA80">
      <w:numFmt w:val="decimal"/>
      <w:lvlText w:val=""/>
      <w:lvlJc w:val="left"/>
    </w:lvl>
    <w:lvl w:ilvl="4" w:tplc="F80EBB80">
      <w:numFmt w:val="decimal"/>
      <w:lvlText w:val=""/>
      <w:lvlJc w:val="left"/>
    </w:lvl>
    <w:lvl w:ilvl="5" w:tplc="C8A274A8">
      <w:numFmt w:val="decimal"/>
      <w:lvlText w:val=""/>
      <w:lvlJc w:val="left"/>
    </w:lvl>
    <w:lvl w:ilvl="6" w:tplc="CCF0C136">
      <w:numFmt w:val="decimal"/>
      <w:lvlText w:val=""/>
      <w:lvlJc w:val="left"/>
    </w:lvl>
    <w:lvl w:ilvl="7" w:tplc="D5E2C5AC">
      <w:numFmt w:val="decimal"/>
      <w:lvlText w:val=""/>
      <w:lvlJc w:val="left"/>
    </w:lvl>
    <w:lvl w:ilvl="8" w:tplc="F3383D88">
      <w:numFmt w:val="decimal"/>
      <w:lvlText w:val=""/>
      <w:lvlJc w:val="left"/>
    </w:lvl>
  </w:abstractNum>
  <w:abstractNum w:abstractNumId="2" w15:restartNumberingAfterBreak="0">
    <w:nsid w:val="7B012299"/>
    <w:multiLevelType w:val="hybridMultilevel"/>
    <w:tmpl w:val="64A22F1A"/>
    <w:lvl w:ilvl="0" w:tplc="85C8D0C2">
      <w:start w:val="1"/>
      <w:numFmt w:val="bullet"/>
      <w:lvlText w:val="●"/>
      <w:lvlJc w:val="left"/>
      <w:pPr>
        <w:ind w:left="720" w:hanging="360"/>
      </w:pPr>
    </w:lvl>
    <w:lvl w:ilvl="1" w:tplc="1806E2F0">
      <w:start w:val="1"/>
      <w:numFmt w:val="bullet"/>
      <w:lvlText w:val="○"/>
      <w:lvlJc w:val="left"/>
      <w:pPr>
        <w:ind w:left="1440" w:hanging="360"/>
      </w:pPr>
    </w:lvl>
    <w:lvl w:ilvl="2" w:tplc="CBA065A4">
      <w:start w:val="1"/>
      <w:numFmt w:val="bullet"/>
      <w:lvlText w:val="■"/>
      <w:lvlJc w:val="left"/>
      <w:pPr>
        <w:ind w:left="2160" w:hanging="360"/>
      </w:pPr>
    </w:lvl>
    <w:lvl w:ilvl="3" w:tplc="DF88E216">
      <w:start w:val="1"/>
      <w:numFmt w:val="bullet"/>
      <w:lvlText w:val="●"/>
      <w:lvlJc w:val="left"/>
      <w:pPr>
        <w:ind w:left="2880" w:hanging="360"/>
      </w:pPr>
    </w:lvl>
    <w:lvl w:ilvl="4" w:tplc="FC4C7C64">
      <w:start w:val="1"/>
      <w:numFmt w:val="bullet"/>
      <w:lvlText w:val="○"/>
      <w:lvlJc w:val="left"/>
      <w:pPr>
        <w:ind w:left="3600" w:hanging="360"/>
      </w:pPr>
    </w:lvl>
    <w:lvl w:ilvl="5" w:tplc="65503648">
      <w:start w:val="1"/>
      <w:numFmt w:val="bullet"/>
      <w:lvlText w:val="■"/>
      <w:lvlJc w:val="left"/>
      <w:pPr>
        <w:ind w:left="4320" w:hanging="360"/>
      </w:pPr>
    </w:lvl>
    <w:lvl w:ilvl="6" w:tplc="B06CD354">
      <w:start w:val="1"/>
      <w:numFmt w:val="bullet"/>
      <w:lvlText w:val="●"/>
      <w:lvlJc w:val="left"/>
      <w:pPr>
        <w:ind w:left="5040" w:hanging="360"/>
      </w:pPr>
    </w:lvl>
    <w:lvl w:ilvl="7" w:tplc="DA5EE1F8">
      <w:start w:val="1"/>
      <w:numFmt w:val="bullet"/>
      <w:lvlText w:val="●"/>
      <w:lvlJc w:val="left"/>
      <w:pPr>
        <w:ind w:left="5760" w:hanging="360"/>
      </w:pPr>
    </w:lvl>
    <w:lvl w:ilvl="8" w:tplc="832A459A">
      <w:start w:val="1"/>
      <w:numFmt w:val="bullet"/>
      <w:lvlText w:val="●"/>
      <w:lvlJc w:val="left"/>
      <w:pPr>
        <w:ind w:left="6480" w:hanging="360"/>
      </w:pPr>
    </w:lvl>
  </w:abstractNum>
  <w:num w:numId="1" w16cid:durableId="1660693283">
    <w:abstractNumId w:val="2"/>
    <w:lvlOverride w:ilvl="0">
      <w:startOverride w:val="1"/>
    </w:lvlOverride>
  </w:num>
  <w:num w:numId="2" w16cid:durableId="689719467">
    <w:abstractNumId w:val="1"/>
    <w:lvlOverride w:ilvl="0">
      <w:startOverride w:val="1"/>
    </w:lvlOverride>
  </w:num>
  <w:num w:numId="3" w16cid:durableId="16891382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0BCC"/>
    <w:rsid w:val="00020F62"/>
    <w:rsid w:val="00320BCC"/>
    <w:rsid w:val="003E11CF"/>
    <w:rsid w:val="00CD51EE"/>
    <w:rsid w:val="00D46D65"/>
    <w:rsid w:val="00DB68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215B1"/>
  <w15:docId w15:val="{CDBDF0C8-AA30-49D5-8C68-A903D357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180"/>
      <w:outlineLvl w:val="0"/>
    </w:pPr>
    <w:rPr>
      <w:b/>
      <w:bCs/>
      <w:color w:val="1E3A5F"/>
      <w:sz w:val="32"/>
      <w:szCs w:val="32"/>
    </w:rPr>
  </w:style>
  <w:style w:type="paragraph" w:styleId="Heading2">
    <w:name w:val="heading 2"/>
    <w:uiPriority w:val="9"/>
    <w:unhideWhenUsed/>
    <w:qFormat/>
    <w:pPr>
      <w:spacing w:before="280" w:after="120"/>
      <w:outlineLvl w:val="1"/>
    </w:pPr>
    <w:rPr>
      <w:b/>
      <w:bCs/>
      <w:color w:val="2563EB"/>
      <w:sz w:val="26"/>
      <w:szCs w:val="26"/>
    </w:rPr>
  </w:style>
  <w:style w:type="paragraph" w:styleId="Heading3">
    <w:name w:val="heading 3"/>
    <w:uiPriority w:val="9"/>
    <w:semiHidden/>
    <w:unhideWhenUsed/>
    <w:qFormat/>
    <w:pPr>
      <w:spacing w:before="200" w:after="100"/>
      <w:outlineLvl w:val="2"/>
    </w:pPr>
    <w:rPr>
      <w:b/>
      <w:bCs/>
      <w:color w:val="37415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CD51EE"/>
    <w:rPr>
      <w:b/>
      <w:bCs/>
      <w:color w:val="1E3A5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22</Pages>
  <Words>2497</Words>
  <Characters>14535</Characters>
  <Application>Microsoft Office Word</Application>
  <DocSecurity>0</DocSecurity>
  <Lines>519</Lines>
  <Paragraphs>396</Paragraphs>
  <ScaleCrop>false</ScaleCrop>
  <Company/>
  <LinksUpToDate>false</LinksUpToDate>
  <CharactersWithSpaces>16636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Abu</cp:lastModifiedBy>
  <cp:revision>4</cp:revision>
  <cp:lastPrinted>2026-04-24T02:51:00Z</cp:lastPrinted>
  <dcterms:created xsi:type="dcterms:W3CDTF">2026-04-18T03:31:00Z</dcterms:created>
  <dcterms:modified xsi:type="dcterms:W3CDTF">2026-04-24T02:53:00Z</dcterms:modified>
</cp:coreProperties>
</file>