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C3F29A">
      <w:pPr>
        <w:spacing w:before="1800" w:after="260"/>
      </w:pPr>
      <w:r>
        <w:rPr>
          <w:b/>
          <w:color w:val="0E7490"/>
          <w:sz w:val="19"/>
          <w:szCs w:val="19"/>
        </w:rPr>
        <w:t>DEEP RESEARCH  /  专题研究</w:t>
      </w:r>
    </w:p>
    <w:p w14:paraId="7106FA65">
      <w:pPr>
        <w:pStyle w:val="33"/>
      </w:pPr>
      <w:r>
        <w:rPr>
          <w:rFonts w:hint="eastAsia"/>
        </w:rPr>
        <w:t>房地产低迷对地方财政收入的影响：税收拖累、土地基金冲击与预算缓冲</w:t>
      </w:r>
    </w:p>
    <w:p w14:paraId="0B821E9B">
      <w:pPr>
        <w:pStyle w:val="27"/>
      </w:pPr>
      <w:r>
        <w:rPr>
          <w:rFonts w:hint="eastAsia"/>
        </w:rPr>
        <w:t>深度研究报告</w:t>
      </w:r>
    </w:p>
    <w:p w14:paraId="5000DC6F">
      <w:pPr>
        <w:pStyle w:val="166"/>
      </w:pPr>
      <w:r>
        <w:rPr>
          <w:rFonts w:hint="eastAsia"/>
        </w:rPr>
        <w:t>2026年8月17日</w:t>
      </w:r>
    </w:p>
    <w:p w14:paraId="5DAA950A">
      <w:pPr>
        <w:pBdr>
          <w:top w:val="single" w:color="D8E0E8" w:sz="8" w:space="8"/>
        </w:pBdr>
        <w:spacing w:before="2500" w:after="0"/>
      </w:pPr>
      <w:r>
        <w:rPr>
          <w:color w:val="667085"/>
          <w:sz w:val="18"/>
          <w:szCs w:val="18"/>
        </w:rPr>
        <w:t>基于公开资料的结构化分析  ·  DeepResearch CLI</w:t>
      </w:r>
    </w:p>
    <w:p w14:paraId="746E59BE">
      <w:pPr>
        <w:pageBreakBefore/>
      </w:pPr>
    </w:p>
    <w:sdt>
      <w:sdtPr>
        <w:id w:val="697338706"/>
        <w:docPartObj>
          <w:docPartGallery w:val="Table of Contents"/>
          <w:docPartUnique/>
        </w:docPartObj>
      </w:sdtPr>
      <w:sdtContent>
        <w:p w14:paraId="521DD4EF">
          <w:pPr>
            <w:pStyle w:val="165"/>
          </w:pPr>
          <w:bookmarkStart w:id="54" w:name="_GoBack"/>
          <w:bookmarkEnd w:id="54"/>
          <w:r>
            <w:t>目录</w:t>
          </w:r>
        </w:p>
        <w:p w14:paraId="6996F011">
          <w:pPr>
            <w:pStyle w:val="26"/>
            <w:tabs>
              <w:tab w:val="right" w:leader="dot" w:pos="9866"/>
            </w:tabs>
          </w:pPr>
          <w:r>
            <w:fldChar w:fldCharType="begin"/>
          </w:r>
          <w:r>
            <w:instrText xml:space="preserve">TOC \o "1-2" \h \z \u</w:instrText>
          </w:r>
          <w:r>
            <w:fldChar w:fldCharType="separate"/>
          </w:r>
          <w:r>
            <w:fldChar w:fldCharType="begin"/>
          </w:r>
          <w:r>
            <w:instrText xml:space="preserve"> HYPERLINK \l _Toc649434856 </w:instrText>
          </w:r>
          <w:r>
            <w:fldChar w:fldCharType="separate"/>
          </w:r>
          <w:r>
            <w:rPr>
              <w:rFonts w:hint="eastAsia"/>
            </w:rPr>
            <w:t>口径先行：影响程度取决于把分母放在税收、一般公共预算还是土地基金账本</w:t>
          </w:r>
          <w:r>
            <w:tab/>
          </w:r>
          <w:r>
            <w:fldChar w:fldCharType="begin"/>
          </w:r>
          <w:r>
            <w:instrText xml:space="preserve"> PAGEREF _Toc649434856 \h </w:instrText>
          </w:r>
          <w:r>
            <w:fldChar w:fldCharType="separate"/>
          </w:r>
          <w:r>
            <w:t>5</w:t>
          </w:r>
          <w:r>
            <w:fldChar w:fldCharType="end"/>
          </w:r>
          <w:r>
            <w:fldChar w:fldCharType="end"/>
          </w:r>
        </w:p>
        <w:p w14:paraId="17501F6D">
          <w:pPr>
            <w:pStyle w:val="29"/>
            <w:tabs>
              <w:tab w:val="right" w:leader="dot" w:pos="9866"/>
            </w:tabs>
          </w:pPr>
          <w:r>
            <w:fldChar w:fldCharType="begin"/>
          </w:r>
          <w:r>
            <w:instrText xml:space="preserve"> HYPERLINK \l _Toc1539730738 </w:instrText>
          </w:r>
          <w:r>
            <w:fldChar w:fldCharType="separate"/>
          </w:r>
          <w:r>
            <w:rPr>
              <w:rFonts w:hint="eastAsia"/>
            </w:rPr>
            <w:t>先把“地方财政收入”拆成三个可比口径</w:t>
          </w:r>
          <w:r>
            <w:tab/>
          </w:r>
          <w:r>
            <w:fldChar w:fldCharType="begin"/>
          </w:r>
          <w:r>
            <w:instrText xml:space="preserve"> PAGEREF _Toc1539730738 \h </w:instrText>
          </w:r>
          <w:r>
            <w:fldChar w:fldCharType="separate"/>
          </w:r>
          <w:r>
            <w:t>5</w:t>
          </w:r>
          <w:r>
            <w:fldChar w:fldCharType="end"/>
          </w:r>
          <w:r>
            <w:fldChar w:fldCharType="end"/>
          </w:r>
        </w:p>
        <w:p w14:paraId="47CA2F73">
          <w:pPr>
            <w:pStyle w:val="29"/>
            <w:tabs>
              <w:tab w:val="right" w:leader="dot" w:pos="9866"/>
            </w:tabs>
          </w:pPr>
          <w:r>
            <w:fldChar w:fldCharType="begin"/>
          </w:r>
          <w:r>
            <w:instrText xml:space="preserve"> HYPERLINK \l _Toc1076567216 </w:instrText>
          </w:r>
          <w:r>
            <w:fldChar w:fldCharType="separate"/>
          </w:r>
          <w:r>
            <w:rPr>
              <w:rFonts w:hint="eastAsia"/>
            </w:rPr>
            <w:t>全国基准：一般公共预算仍小幅增长，基金和土地端明显收缩</w:t>
          </w:r>
          <w:r>
            <w:tab/>
          </w:r>
          <w:r>
            <w:fldChar w:fldCharType="begin"/>
          </w:r>
          <w:r>
            <w:instrText xml:space="preserve"> PAGEREF _Toc1076567216 \h </w:instrText>
          </w:r>
          <w:r>
            <w:fldChar w:fldCharType="separate"/>
          </w:r>
          <w:r>
            <w:t>6</w:t>
          </w:r>
          <w:r>
            <w:fldChar w:fldCharType="end"/>
          </w:r>
          <w:r>
            <w:fldChar w:fldCharType="end"/>
          </w:r>
        </w:p>
        <w:p w14:paraId="75043795">
          <w:pPr>
            <w:pStyle w:val="29"/>
            <w:tabs>
              <w:tab w:val="right" w:leader="dot" w:pos="9866"/>
            </w:tabs>
          </w:pPr>
          <w:r>
            <w:fldChar w:fldCharType="begin"/>
          </w:r>
          <w:r>
            <w:instrText xml:space="preserve"> HYPERLINK \l _Toc1315473337 </w:instrText>
          </w:r>
          <w:r>
            <w:fldChar w:fldCharType="separate"/>
          </w:r>
          <w:r>
            <w:rPr>
              <w:rFonts w:hint="eastAsia"/>
            </w:rPr>
            <w:t>参考比重给出影响量级，但不能把国有土地使用权出让收入当作税收</w:t>
          </w:r>
          <w:r>
            <w:tab/>
          </w:r>
          <w:r>
            <w:fldChar w:fldCharType="begin"/>
          </w:r>
          <w:r>
            <w:instrText xml:space="preserve"> PAGEREF _Toc1315473337 \h </w:instrText>
          </w:r>
          <w:r>
            <w:fldChar w:fldCharType="separate"/>
          </w:r>
          <w:r>
            <w:t>7</w:t>
          </w:r>
          <w:r>
            <w:fldChar w:fldCharType="end"/>
          </w:r>
          <w:r>
            <w:fldChar w:fldCharType="end"/>
          </w:r>
        </w:p>
        <w:p w14:paraId="25C7D72E">
          <w:pPr>
            <w:pStyle w:val="26"/>
            <w:tabs>
              <w:tab w:val="right" w:leader="dot" w:pos="9866"/>
            </w:tabs>
          </w:pPr>
          <w:r>
            <w:fldChar w:fldCharType="begin"/>
          </w:r>
          <w:r>
            <w:instrText xml:space="preserve"> HYPERLINK \l _Toc816229094 </w:instrText>
          </w:r>
          <w:r>
            <w:fldChar w:fldCharType="separate"/>
          </w:r>
          <w:r>
            <w:rPr>
              <w:rFonts w:hint="eastAsia"/>
            </w:rPr>
            <w:t>税收渠道：交易和开发相关税种拖累明确，但公开数据只能覆盖一部分涉房税基</w:t>
          </w:r>
          <w:r>
            <w:tab/>
          </w:r>
          <w:r>
            <w:fldChar w:fldCharType="begin"/>
          </w:r>
          <w:r>
            <w:instrText xml:space="preserve"> PAGEREF _Toc816229094 \h </w:instrText>
          </w:r>
          <w:r>
            <w:fldChar w:fldCharType="separate"/>
          </w:r>
          <w:r>
            <w:t>8</w:t>
          </w:r>
          <w:r>
            <w:fldChar w:fldCharType="end"/>
          </w:r>
          <w:r>
            <w:fldChar w:fldCharType="end"/>
          </w:r>
        </w:p>
        <w:p w14:paraId="2DCF78FF">
          <w:pPr>
            <w:pStyle w:val="29"/>
            <w:tabs>
              <w:tab w:val="right" w:leader="dot" w:pos="9866"/>
            </w:tabs>
          </w:pPr>
          <w:r>
            <w:fldChar w:fldCharType="begin"/>
          </w:r>
          <w:r>
            <w:instrText xml:space="preserve"> HYPERLINK \l _Toc236845822 </w:instrText>
          </w:r>
          <w:r>
            <w:fldChar w:fldCharType="separate"/>
          </w:r>
          <w:r>
            <w:rPr>
              <w:rFonts w:hint="eastAsia"/>
            </w:rPr>
            <w:t>房地产低迷仍在交易、开发和资金端延续</w:t>
          </w:r>
          <w:r>
            <w:tab/>
          </w:r>
          <w:r>
            <w:fldChar w:fldCharType="begin"/>
          </w:r>
          <w:r>
            <w:instrText xml:space="preserve"> PAGEREF _Toc236845822 \h </w:instrText>
          </w:r>
          <w:r>
            <w:fldChar w:fldCharType="separate"/>
          </w:r>
          <w:r>
            <w:t>8</w:t>
          </w:r>
          <w:r>
            <w:fldChar w:fldCharType="end"/>
          </w:r>
          <w:r>
            <w:fldChar w:fldCharType="end"/>
          </w:r>
        </w:p>
        <w:p w14:paraId="376C8E7A">
          <w:pPr>
            <w:pStyle w:val="29"/>
            <w:tabs>
              <w:tab w:val="right" w:leader="dot" w:pos="9866"/>
            </w:tabs>
          </w:pPr>
          <w:r>
            <w:fldChar w:fldCharType="begin"/>
          </w:r>
          <w:r>
            <w:instrText xml:space="preserve"> HYPERLINK \l _Toc1380532463 </w:instrText>
          </w:r>
          <w:r>
            <w:fldChar w:fldCharType="separate"/>
          </w:r>
          <w:r>
            <w:rPr>
              <w:rFonts w:hint="eastAsia"/>
            </w:rPr>
            <w:t>官方可量化的涉房税收主要是五项土地和房地产相关税</w:t>
          </w:r>
          <w:r>
            <w:tab/>
          </w:r>
          <w:r>
            <w:fldChar w:fldCharType="begin"/>
          </w:r>
          <w:r>
            <w:instrText xml:space="preserve"> PAGEREF _Toc1380532463 \h </w:instrText>
          </w:r>
          <w:r>
            <w:fldChar w:fldCharType="separate"/>
          </w:r>
          <w:r>
            <w:t>9</w:t>
          </w:r>
          <w:r>
            <w:fldChar w:fldCharType="end"/>
          </w:r>
          <w:r>
            <w:fldChar w:fldCharType="end"/>
          </w:r>
        </w:p>
        <w:p w14:paraId="0136BB54">
          <w:pPr>
            <w:pStyle w:val="29"/>
            <w:tabs>
              <w:tab w:val="right" w:leader="dot" w:pos="9866"/>
            </w:tabs>
          </w:pPr>
          <w:r>
            <w:fldChar w:fldCharType="begin"/>
          </w:r>
          <w:r>
            <w:instrText xml:space="preserve"> HYPERLINK \l _Toc1195783453 </w:instrText>
          </w:r>
          <w:r>
            <w:fldChar w:fldCharType="separate"/>
          </w:r>
          <w:r>
            <w:rPr>
              <w:rFonts w:hint="eastAsia"/>
            </w:rPr>
            <w:t>税收端的直接量级：五税较</w:t>
          </w:r>
          <w:r>
            <w:t xml:space="preserve"> 2021 </w:t>
          </w:r>
          <w:r>
            <w:rPr>
              <w:rFonts w:hint="eastAsia"/>
            </w:rPr>
            <w:t>年少约</w:t>
          </w:r>
          <w:r>
            <w:t xml:space="preserve"> 3067 </w:t>
          </w:r>
          <w:r>
            <w:rPr>
              <w:rFonts w:hint="eastAsia"/>
            </w:rPr>
            <w:t>亿元，2026</w:t>
          </w:r>
          <w:r>
            <w:t xml:space="preserve"> </w:t>
          </w:r>
          <w:r>
            <w:rPr>
              <w:rFonts w:hint="eastAsia"/>
            </w:rPr>
            <w:t>年上半年约占地方一般公共预算本级收入</w:t>
          </w:r>
          <w:r>
            <w:t xml:space="preserve"> 13.35%</w:t>
          </w:r>
          <w:r>
            <w:tab/>
          </w:r>
          <w:r>
            <w:fldChar w:fldCharType="begin"/>
          </w:r>
          <w:r>
            <w:instrText xml:space="preserve"> PAGEREF _Toc1195783453 \h </w:instrText>
          </w:r>
          <w:r>
            <w:fldChar w:fldCharType="separate"/>
          </w:r>
          <w:r>
            <w:t>10</w:t>
          </w:r>
          <w:r>
            <w:fldChar w:fldCharType="end"/>
          </w:r>
          <w:r>
            <w:fldChar w:fldCharType="end"/>
          </w:r>
        </w:p>
        <w:p w14:paraId="17651340">
          <w:pPr>
            <w:pStyle w:val="29"/>
            <w:tabs>
              <w:tab w:val="right" w:leader="dot" w:pos="9866"/>
            </w:tabs>
          </w:pPr>
          <w:r>
            <w:fldChar w:fldCharType="begin"/>
          </w:r>
          <w:r>
            <w:instrText xml:space="preserve"> HYPERLINK \l _Toc1380525945 </w:instrText>
          </w:r>
          <w:r>
            <w:fldChar w:fldCharType="separate"/>
          </w:r>
          <w:r>
            <w:rPr>
              <w:rFonts w:hint="eastAsia"/>
            </w:rPr>
            <w:t>归因边界：市场低迷、税收政策和未公开共享税种不能硬拆成一个百分比</w:t>
          </w:r>
          <w:r>
            <w:tab/>
          </w:r>
          <w:r>
            <w:fldChar w:fldCharType="begin"/>
          </w:r>
          <w:r>
            <w:instrText xml:space="preserve"> PAGEREF _Toc1380525945 \h </w:instrText>
          </w:r>
          <w:r>
            <w:fldChar w:fldCharType="separate"/>
          </w:r>
          <w:r>
            <w:t>10</w:t>
          </w:r>
          <w:r>
            <w:fldChar w:fldCharType="end"/>
          </w:r>
          <w:r>
            <w:fldChar w:fldCharType="end"/>
          </w:r>
        </w:p>
        <w:p w14:paraId="4B8ABBB3">
          <w:pPr>
            <w:pStyle w:val="26"/>
            <w:tabs>
              <w:tab w:val="right" w:leader="dot" w:pos="9866"/>
            </w:tabs>
          </w:pPr>
          <w:r>
            <w:fldChar w:fldCharType="begin"/>
          </w:r>
          <w:r>
            <w:instrText xml:space="preserve"> HYPERLINK \l _Toc1086235427 </w:instrText>
          </w:r>
          <w:r>
            <w:fldChar w:fldCharType="separate"/>
          </w:r>
          <w:r>
            <w:rPr>
              <w:rFonts w:hint="eastAsia"/>
            </w:rPr>
            <w:t>土地与政府性基金渠道：广义财力冲击大于狭义税收冲击</w:t>
          </w:r>
          <w:r>
            <w:tab/>
          </w:r>
          <w:r>
            <w:fldChar w:fldCharType="begin"/>
          </w:r>
          <w:r>
            <w:instrText xml:space="preserve"> PAGEREF _Toc1086235427 \h </w:instrText>
          </w:r>
          <w:r>
            <w:fldChar w:fldCharType="separate"/>
          </w:r>
          <w:r>
            <w:t>12</w:t>
          </w:r>
          <w:r>
            <w:fldChar w:fldCharType="end"/>
          </w:r>
          <w:r>
            <w:fldChar w:fldCharType="end"/>
          </w:r>
        </w:p>
        <w:p w14:paraId="2F076165">
          <w:pPr>
            <w:pStyle w:val="29"/>
            <w:tabs>
              <w:tab w:val="right" w:leader="dot" w:pos="9866"/>
            </w:tabs>
          </w:pPr>
          <w:r>
            <w:fldChar w:fldCharType="begin"/>
          </w:r>
          <w:r>
            <w:instrText xml:space="preserve"> HYPERLINK \l _Toc600338442 </w:instrText>
          </w:r>
          <w:r>
            <w:fldChar w:fldCharType="separate"/>
          </w:r>
          <w:r>
            <w:rPr>
              <w:rFonts w:hint="eastAsia"/>
            </w:rPr>
            <w:t>国有土地使用权出让收入是房地产低迷传导到地方财力的最大单项渠道，但它属于政府性基金</w:t>
          </w:r>
          <w:r>
            <w:tab/>
          </w:r>
          <w:r>
            <w:fldChar w:fldCharType="begin"/>
          </w:r>
          <w:r>
            <w:instrText xml:space="preserve"> PAGEREF _Toc600338442 \h </w:instrText>
          </w:r>
          <w:r>
            <w:fldChar w:fldCharType="separate"/>
          </w:r>
          <w:r>
            <w:t>12</w:t>
          </w:r>
          <w:r>
            <w:fldChar w:fldCharType="end"/>
          </w:r>
          <w:r>
            <w:fldChar w:fldCharType="end"/>
          </w:r>
        </w:p>
        <w:p w14:paraId="494F36A1">
          <w:pPr>
            <w:pStyle w:val="29"/>
            <w:tabs>
              <w:tab w:val="right" w:leader="dot" w:pos="9866"/>
            </w:tabs>
          </w:pPr>
          <w:r>
            <w:fldChar w:fldCharType="begin"/>
          </w:r>
          <w:r>
            <w:instrText xml:space="preserve"> HYPERLINK \l _Toc1010021088 </w:instrText>
          </w:r>
          <w:r>
            <w:fldChar w:fldCharType="separate"/>
          </w:r>
          <w:r>
            <w:rPr>
              <w:rFonts w:hint="eastAsia"/>
            </w:rPr>
            <w:t>土地市场和财政入库之间存在滞后与口径差异</w:t>
          </w:r>
          <w:r>
            <w:tab/>
          </w:r>
          <w:r>
            <w:fldChar w:fldCharType="begin"/>
          </w:r>
          <w:r>
            <w:instrText xml:space="preserve"> PAGEREF _Toc1010021088 \h </w:instrText>
          </w:r>
          <w:r>
            <w:fldChar w:fldCharType="separate"/>
          </w:r>
          <w:r>
            <w:t>13</w:t>
          </w:r>
          <w:r>
            <w:fldChar w:fldCharType="end"/>
          </w:r>
          <w:r>
            <w:fldChar w:fldCharType="end"/>
          </w:r>
        </w:p>
        <w:p w14:paraId="58AEAF44">
          <w:pPr>
            <w:pStyle w:val="29"/>
            <w:tabs>
              <w:tab w:val="right" w:leader="dot" w:pos="9866"/>
            </w:tabs>
          </w:pPr>
          <w:r>
            <w:fldChar w:fldCharType="begin"/>
          </w:r>
          <w:r>
            <w:instrText xml:space="preserve"> HYPERLINK \l _Toc1713680128 </w:instrText>
          </w:r>
          <w:r>
            <w:fldChar w:fldCharType="separate"/>
          </w:r>
          <w:r>
            <w:rPr>
              <w:rFonts w:hint="eastAsia"/>
            </w:rPr>
            <w:t>从一般公共预算看，土地下降的净冲击小于毛收入跌幅但仍显著</w:t>
          </w:r>
          <w:r>
            <w:tab/>
          </w:r>
          <w:r>
            <w:fldChar w:fldCharType="begin"/>
          </w:r>
          <w:r>
            <w:instrText xml:space="preserve"> PAGEREF _Toc1713680128 \h </w:instrText>
          </w:r>
          <w:r>
            <w:fldChar w:fldCharType="separate"/>
          </w:r>
          <w:r>
            <w:t>13</w:t>
          </w:r>
          <w:r>
            <w:fldChar w:fldCharType="end"/>
          </w:r>
          <w:r>
            <w:fldChar w:fldCharType="end"/>
          </w:r>
        </w:p>
        <w:p w14:paraId="7AC3A044">
          <w:pPr>
            <w:pStyle w:val="29"/>
            <w:tabs>
              <w:tab w:val="right" w:leader="dot" w:pos="9866"/>
            </w:tabs>
          </w:pPr>
          <w:r>
            <w:fldChar w:fldCharType="begin"/>
          </w:r>
          <w:r>
            <w:instrText xml:space="preserve"> HYPERLINK \l _Toc1918721379 </w:instrText>
          </w:r>
          <w:r>
            <w:fldChar w:fldCharType="separate"/>
          </w:r>
          <w:r>
            <w:rPr>
              <w:rFonts w:hint="eastAsia"/>
            </w:rPr>
            <w:t>机制证据支持方向，但因果强度应限定为房地产调整重要传导而非唯一原因</w:t>
          </w:r>
          <w:r>
            <w:tab/>
          </w:r>
          <w:r>
            <w:fldChar w:fldCharType="begin"/>
          </w:r>
          <w:r>
            <w:instrText xml:space="preserve"> PAGEREF _Toc1918721379 \h </w:instrText>
          </w:r>
          <w:r>
            <w:fldChar w:fldCharType="separate"/>
          </w:r>
          <w:r>
            <w:t>14</w:t>
          </w:r>
          <w:r>
            <w:fldChar w:fldCharType="end"/>
          </w:r>
          <w:r>
            <w:fldChar w:fldCharType="end"/>
          </w:r>
        </w:p>
        <w:p w14:paraId="47DFBE6F">
          <w:pPr>
            <w:pStyle w:val="26"/>
            <w:tabs>
              <w:tab w:val="right" w:leader="dot" w:pos="9866"/>
            </w:tabs>
          </w:pPr>
          <w:r>
            <w:fldChar w:fldCharType="begin"/>
          </w:r>
          <w:r>
            <w:instrText xml:space="preserve"> HYPERLINK \l _Toc1335773501 </w:instrText>
          </w:r>
          <w:r>
            <w:fldChar w:fldCharType="separate"/>
          </w:r>
          <w:r>
            <w:rPr>
              <w:rFonts w:hint="eastAsia"/>
            </w:rPr>
            <w:t>地区分化：全国平均掩盖了高土地依赖地区的更大财政压力</w:t>
          </w:r>
          <w:r>
            <w:tab/>
          </w:r>
          <w:r>
            <w:fldChar w:fldCharType="begin"/>
          </w:r>
          <w:r>
            <w:instrText xml:space="preserve"> PAGEREF _Toc1335773501 \h </w:instrText>
          </w:r>
          <w:r>
            <w:fldChar w:fldCharType="separate"/>
          </w:r>
          <w:r>
            <w:t>16</w:t>
          </w:r>
          <w:r>
            <w:fldChar w:fldCharType="end"/>
          </w:r>
          <w:r>
            <w:fldChar w:fldCharType="end"/>
          </w:r>
        </w:p>
        <w:p w14:paraId="484AD93D">
          <w:pPr>
            <w:pStyle w:val="29"/>
            <w:tabs>
              <w:tab w:val="right" w:leader="dot" w:pos="9866"/>
            </w:tabs>
          </w:pPr>
          <w:r>
            <w:fldChar w:fldCharType="begin"/>
          </w:r>
          <w:r>
            <w:instrText xml:space="preserve"> HYPERLINK \l _Toc551185569 </w:instrText>
          </w:r>
          <w:r>
            <w:fldChar w:fldCharType="separate"/>
          </w:r>
          <w:r>
            <w:rPr>
              <w:rFonts w:hint="eastAsia"/>
            </w:rPr>
            <w:t>地区影响不能用全国平均外推：样本层级和披露口径先分层</w:t>
          </w:r>
          <w:r>
            <w:tab/>
          </w:r>
          <w:r>
            <w:fldChar w:fldCharType="begin"/>
          </w:r>
          <w:r>
            <w:instrText xml:space="preserve"> PAGEREF _Toc551185569 \h </w:instrText>
          </w:r>
          <w:r>
            <w:fldChar w:fldCharType="separate"/>
          </w:r>
          <w:r>
            <w:t>17</w:t>
          </w:r>
          <w:r>
            <w:fldChar w:fldCharType="end"/>
          </w:r>
          <w:r>
            <w:fldChar w:fldCharType="end"/>
          </w:r>
        </w:p>
        <w:p w14:paraId="5567C555">
          <w:pPr>
            <w:pStyle w:val="29"/>
            <w:tabs>
              <w:tab w:val="right" w:leader="dot" w:pos="9866"/>
            </w:tabs>
          </w:pPr>
          <w:r>
            <w:fldChar w:fldCharType="begin"/>
          </w:r>
          <w:r>
            <w:instrText xml:space="preserve"> HYPERLINK \l _Toc1678888672 </w:instrText>
          </w:r>
          <w:r>
            <w:fldChar w:fldCharType="separate"/>
          </w:r>
          <w:r>
            <w:rPr>
              <w:rFonts w:hint="eastAsia"/>
            </w:rPr>
            <w:t>高依赖样本：贵州、重庆、杭州、四川显示土地收入相对一般公共预算占比较高</w:t>
          </w:r>
          <w:r>
            <w:tab/>
          </w:r>
          <w:r>
            <w:fldChar w:fldCharType="begin"/>
          </w:r>
          <w:r>
            <w:instrText xml:space="preserve"> PAGEREF _Toc1678888672 \h </w:instrText>
          </w:r>
          <w:r>
            <w:fldChar w:fldCharType="separate"/>
          </w:r>
          <w:r>
            <w:t>17</w:t>
          </w:r>
          <w:r>
            <w:fldChar w:fldCharType="end"/>
          </w:r>
          <w:r>
            <w:fldChar w:fldCharType="end"/>
          </w:r>
        </w:p>
        <w:p w14:paraId="0F02C61D">
          <w:pPr>
            <w:pStyle w:val="29"/>
            <w:tabs>
              <w:tab w:val="right" w:leader="dot" w:pos="9866"/>
            </w:tabs>
          </w:pPr>
          <w:r>
            <w:fldChar w:fldCharType="begin"/>
          </w:r>
          <w:r>
            <w:instrText xml:space="preserve"> HYPERLINK \l _Toc1294272371 </w:instrText>
          </w:r>
          <w:r>
            <w:fldChar w:fldCharType="separate"/>
          </w:r>
          <w:r>
            <w:rPr>
              <w:rFonts w:hint="eastAsia"/>
            </w:rPr>
            <w:t>低基金比重或不同产业结构样本：深圳、北京、山西、宁波、苏州的压力来源不同</w:t>
          </w:r>
          <w:r>
            <w:tab/>
          </w:r>
          <w:r>
            <w:fldChar w:fldCharType="begin"/>
          </w:r>
          <w:r>
            <w:instrText xml:space="preserve"> PAGEREF _Toc1294272371 \h </w:instrText>
          </w:r>
          <w:r>
            <w:fldChar w:fldCharType="separate"/>
          </w:r>
          <w:r>
            <w:t>18</w:t>
          </w:r>
          <w:r>
            <w:fldChar w:fldCharType="end"/>
          </w:r>
          <w:r>
            <w:fldChar w:fldCharType="end"/>
          </w:r>
        </w:p>
        <w:p w14:paraId="48D80DDF">
          <w:pPr>
            <w:pStyle w:val="29"/>
            <w:tabs>
              <w:tab w:val="right" w:leader="dot" w:pos="9866"/>
            </w:tabs>
          </w:pPr>
          <w:r>
            <w:fldChar w:fldCharType="begin"/>
          </w:r>
          <w:r>
            <w:instrText xml:space="preserve"> HYPERLINK \l _Toc973878934 </w:instrText>
          </w:r>
          <w:r>
            <w:fldChar w:fldCharType="separate"/>
          </w:r>
          <w:r>
            <w:rPr>
              <w:rFonts w:hint="eastAsia"/>
            </w:rPr>
            <w:t>城市级税收证据显示，契税与土地增值税更能反映本地房地产行情</w:t>
          </w:r>
          <w:r>
            <w:tab/>
          </w:r>
          <w:r>
            <w:fldChar w:fldCharType="begin"/>
          </w:r>
          <w:r>
            <w:instrText xml:space="preserve"> PAGEREF _Toc973878934 \h </w:instrText>
          </w:r>
          <w:r>
            <w:fldChar w:fldCharType="separate"/>
          </w:r>
          <w:r>
            <w:t>19</w:t>
          </w:r>
          <w:r>
            <w:fldChar w:fldCharType="end"/>
          </w:r>
          <w:r>
            <w:fldChar w:fldCharType="end"/>
          </w:r>
        </w:p>
        <w:p w14:paraId="4659EC04">
          <w:pPr>
            <w:pStyle w:val="29"/>
            <w:tabs>
              <w:tab w:val="right" w:leader="dot" w:pos="9866"/>
            </w:tabs>
          </w:pPr>
          <w:r>
            <w:fldChar w:fldCharType="begin"/>
          </w:r>
          <w:r>
            <w:instrText xml:space="preserve"> HYPERLINK \l _Toc2010369951 </w:instrText>
          </w:r>
          <w:r>
            <w:fldChar w:fldCharType="separate"/>
          </w:r>
          <w:r>
            <w:rPr>
              <w:rFonts w:hint="eastAsia"/>
            </w:rPr>
            <w:t>地区差异的综合判断：影响程度从低基金比重到高土地依赖显著分化</w:t>
          </w:r>
          <w:r>
            <w:tab/>
          </w:r>
          <w:r>
            <w:fldChar w:fldCharType="begin"/>
          </w:r>
          <w:r>
            <w:instrText xml:space="preserve"> PAGEREF _Toc2010369951 \h </w:instrText>
          </w:r>
          <w:r>
            <w:fldChar w:fldCharType="separate"/>
          </w:r>
          <w:r>
            <w:t>19</w:t>
          </w:r>
          <w:r>
            <w:fldChar w:fldCharType="end"/>
          </w:r>
          <w:r>
            <w:fldChar w:fldCharType="end"/>
          </w:r>
        </w:p>
        <w:p w14:paraId="20B06B9E">
          <w:pPr>
            <w:pStyle w:val="26"/>
            <w:tabs>
              <w:tab w:val="right" w:leader="dot" w:pos="9866"/>
            </w:tabs>
          </w:pPr>
          <w:r>
            <w:fldChar w:fldCharType="begin"/>
          </w:r>
          <w:r>
            <w:instrText xml:space="preserve"> HYPERLINK \l _Toc1927548206 </w:instrText>
          </w:r>
          <w:r>
            <w:fldChar w:fldCharType="separate"/>
          </w:r>
          <w:r>
            <w:rPr>
              <w:rFonts w:hint="eastAsia"/>
            </w:rPr>
            <w:t>综合判断：影响已达到地方财力的重要量级，但表现为分口径、分地区和被部分缓冲的压力</w:t>
          </w:r>
          <w:r>
            <w:tab/>
          </w:r>
          <w:r>
            <w:fldChar w:fldCharType="begin"/>
          </w:r>
          <w:r>
            <w:instrText xml:space="preserve"> PAGEREF _Toc1927548206 \h </w:instrText>
          </w:r>
          <w:r>
            <w:fldChar w:fldCharType="separate"/>
          </w:r>
          <w:r>
            <w:t>21</w:t>
          </w:r>
          <w:r>
            <w:fldChar w:fldCharType="end"/>
          </w:r>
          <w:r>
            <w:fldChar w:fldCharType="end"/>
          </w:r>
        </w:p>
        <w:p w14:paraId="3C63913A">
          <w:pPr>
            <w:pStyle w:val="29"/>
            <w:tabs>
              <w:tab w:val="right" w:leader="dot" w:pos="9866"/>
            </w:tabs>
          </w:pPr>
          <w:r>
            <w:fldChar w:fldCharType="begin"/>
          </w:r>
          <w:r>
            <w:instrText xml:space="preserve"> HYPERLINK \l _Toc1511883247 </w:instrText>
          </w:r>
          <w:r>
            <w:fldChar w:fldCharType="separate"/>
          </w:r>
          <w:r>
            <w:rPr>
              <w:rFonts w:hint="eastAsia"/>
            </w:rPr>
            <w:t>直接回答量级：狭义税收是数千亿元级拖累，广义土地基金是更大冲击源</w:t>
          </w:r>
          <w:r>
            <w:tab/>
          </w:r>
          <w:r>
            <w:fldChar w:fldCharType="begin"/>
          </w:r>
          <w:r>
            <w:instrText xml:space="preserve"> PAGEREF _Toc1511883247 \h </w:instrText>
          </w:r>
          <w:r>
            <w:fldChar w:fldCharType="separate"/>
          </w:r>
          <w:r>
            <w:t>22</w:t>
          </w:r>
          <w:r>
            <w:fldChar w:fldCharType="end"/>
          </w:r>
          <w:r>
            <w:fldChar w:fldCharType="end"/>
          </w:r>
        </w:p>
        <w:p w14:paraId="3FE83119">
          <w:pPr>
            <w:pStyle w:val="29"/>
            <w:tabs>
              <w:tab w:val="right" w:leader="dot" w:pos="9866"/>
            </w:tabs>
          </w:pPr>
          <w:r>
            <w:fldChar w:fldCharType="begin"/>
          </w:r>
          <w:r>
            <w:instrText xml:space="preserve"> HYPERLINK \l _Toc1195221025 </w:instrText>
          </w:r>
          <w:r>
            <w:fldChar w:fldCharType="separate"/>
          </w:r>
          <w:r>
            <w:rPr>
              <w:rFonts w:hint="eastAsia"/>
            </w:rPr>
            <w:t>总收入没有同步塌陷，原因是转移支付、调入和债务融资在缓冲而非恢复税基</w:t>
          </w:r>
          <w:r>
            <w:tab/>
          </w:r>
          <w:r>
            <w:fldChar w:fldCharType="begin"/>
          </w:r>
          <w:r>
            <w:instrText xml:space="preserve"> PAGEREF _Toc1195221025 \h </w:instrText>
          </w:r>
          <w:r>
            <w:fldChar w:fldCharType="separate"/>
          </w:r>
          <w:r>
            <w:t>22</w:t>
          </w:r>
          <w:r>
            <w:fldChar w:fldCharType="end"/>
          </w:r>
          <w:r>
            <w:fldChar w:fldCharType="end"/>
          </w:r>
        </w:p>
        <w:p w14:paraId="767A768D">
          <w:pPr>
            <w:pStyle w:val="29"/>
            <w:tabs>
              <w:tab w:val="right" w:leader="dot" w:pos="9866"/>
            </w:tabs>
          </w:pPr>
          <w:r>
            <w:fldChar w:fldCharType="begin"/>
          </w:r>
          <w:r>
            <w:instrText xml:space="preserve"> HYPERLINK \l _Toc517733137 </w:instrText>
          </w:r>
          <w:r>
            <w:fldChar w:fldCharType="separate"/>
          </w:r>
          <w:r>
            <w:rPr>
              <w:rFonts w:hint="eastAsia"/>
            </w:rPr>
            <w:t>最新执行和预算安排显示压力仍在延续，但中央支持提高了短期可承受性</w:t>
          </w:r>
          <w:r>
            <w:tab/>
          </w:r>
          <w:r>
            <w:fldChar w:fldCharType="begin"/>
          </w:r>
          <w:r>
            <w:instrText xml:space="preserve"> PAGEREF _Toc517733137 \h </w:instrText>
          </w:r>
          <w:r>
            <w:fldChar w:fldCharType="separate"/>
          </w:r>
          <w:r>
            <w:t>23</w:t>
          </w:r>
          <w:r>
            <w:fldChar w:fldCharType="end"/>
          </w:r>
          <w:r>
            <w:fldChar w:fldCharType="end"/>
          </w:r>
        </w:p>
        <w:p w14:paraId="4454B327">
          <w:pPr>
            <w:pStyle w:val="29"/>
            <w:tabs>
              <w:tab w:val="right" w:leader="dot" w:pos="9866"/>
            </w:tabs>
          </w:pPr>
          <w:r>
            <w:fldChar w:fldCharType="begin"/>
          </w:r>
          <w:r>
            <w:instrText xml:space="preserve"> HYPERLINK \l _Toc2084579562 </w:instrText>
          </w:r>
          <w:r>
            <w:fldChar w:fldCharType="separate"/>
          </w:r>
          <w:r>
            <w:rPr>
              <w:rFonts w:hint="eastAsia"/>
            </w:rPr>
            <w:t>财政压力从收入端传导到支出端：刚性支出和付息增长限制了缓冲空间</w:t>
          </w:r>
          <w:r>
            <w:tab/>
          </w:r>
          <w:r>
            <w:fldChar w:fldCharType="begin"/>
          </w:r>
          <w:r>
            <w:instrText xml:space="preserve"> PAGEREF _Toc2084579562 \h </w:instrText>
          </w:r>
          <w:r>
            <w:fldChar w:fldCharType="separate"/>
          </w:r>
          <w:r>
            <w:t>24</w:t>
          </w:r>
          <w:r>
            <w:fldChar w:fldCharType="end"/>
          </w:r>
          <w:r>
            <w:fldChar w:fldCharType="end"/>
          </w:r>
        </w:p>
        <w:p w14:paraId="27A20AEE">
          <w:pPr>
            <w:pStyle w:val="29"/>
            <w:tabs>
              <w:tab w:val="right" w:leader="dot" w:pos="9866"/>
            </w:tabs>
          </w:pPr>
          <w:r>
            <w:fldChar w:fldCharType="begin"/>
          </w:r>
          <w:r>
            <w:instrText xml:space="preserve"> HYPERLINK \l _Toc1480481376 </w:instrText>
          </w:r>
          <w:r>
            <w:fldChar w:fldCharType="separate"/>
          </w:r>
          <w:r>
            <w:rPr>
              <w:rFonts w:hint="eastAsia"/>
            </w:rPr>
            <w:t>结论边界：冲击被部分对冲，但不能证明已被完全抵消</w:t>
          </w:r>
          <w:r>
            <w:tab/>
          </w:r>
          <w:r>
            <w:fldChar w:fldCharType="begin"/>
          </w:r>
          <w:r>
            <w:instrText xml:space="preserve"> PAGEREF _Toc1480481376 \h </w:instrText>
          </w:r>
          <w:r>
            <w:fldChar w:fldCharType="separate"/>
          </w:r>
          <w:r>
            <w:t>24</w:t>
          </w:r>
          <w:r>
            <w:fldChar w:fldCharType="end"/>
          </w:r>
          <w:r>
            <w:fldChar w:fldCharType="end"/>
          </w:r>
        </w:p>
        <w:p w14:paraId="41A2D44C">
          <w:pPr>
            <w:pStyle w:val="26"/>
            <w:tabs>
              <w:tab w:val="right" w:leader="dot" w:pos="9866"/>
            </w:tabs>
          </w:pPr>
          <w:r>
            <w:fldChar w:fldCharType="begin"/>
          </w:r>
          <w:r>
            <w:instrText xml:space="preserve"> HYPERLINK \l _Toc1704952290 </w:instrText>
          </w:r>
          <w:r>
            <w:fldChar w:fldCharType="separate"/>
          </w:r>
          <w:r>
            <w:rPr>
              <w:rFonts w:hint="eastAsia"/>
            </w:rPr>
            <w:t>参考文献</w:t>
          </w:r>
          <w:r>
            <w:tab/>
          </w:r>
          <w:r>
            <w:fldChar w:fldCharType="begin"/>
          </w:r>
          <w:r>
            <w:instrText xml:space="preserve"> PAGEREF _Toc1704952290 \h </w:instrText>
          </w:r>
          <w:r>
            <w:fldChar w:fldCharType="separate"/>
          </w:r>
          <w:r>
            <w:t>26</w:t>
          </w:r>
          <w:r>
            <w:fldChar w:fldCharType="end"/>
          </w:r>
          <w:r>
            <w:fldChar w:fldCharType="end"/>
          </w:r>
        </w:p>
        <w:p w14:paraId="1C1A2479">
          <w:r>
            <w:fldChar w:fldCharType="end"/>
          </w:r>
        </w:p>
      </w:sdtContent>
    </w:sdt>
    <w:p w14:paraId="44D00E0F">
      <w:pPr>
        <w:pStyle w:val="168"/>
      </w:pPr>
      <w:r>
        <w:rPr>
          <w:rFonts w:hint="eastAsia"/>
          <w:b/>
          <w:bCs/>
        </w:rPr>
        <w:t>关键发现</w:t>
      </w:r>
    </w:p>
    <w:p w14:paraId="747F3306">
      <w:pPr>
        <w:pStyle w:val="167"/>
        <w:numPr>
          <w:ilvl w:val="0"/>
          <w:numId w:val="7"/>
        </w:numPr>
      </w:pPr>
      <w:r>
        <w:rPr>
          <w:rFonts w:hint="eastAsia"/>
        </w:rPr>
        <w:t>狭义税收端，可公开量化的五项土地和房地产相关税收</w:t>
      </w:r>
      <w:r>
        <w:t xml:space="preserve"> 2025 </w:t>
      </w:r>
      <w:r>
        <w:rPr>
          <w:rFonts w:hint="eastAsia"/>
        </w:rPr>
        <w:t>年合计较</w:t>
      </w:r>
      <w:r>
        <w:t xml:space="preserve"> 2021 </w:t>
      </w:r>
      <w:r>
        <w:rPr>
          <w:rFonts w:hint="eastAsia"/>
        </w:rPr>
        <w:t>年少约</w:t>
      </w:r>
      <w:r>
        <w:t xml:space="preserve"> 3067 </w:t>
      </w:r>
      <w:r>
        <w:rPr>
          <w:rFonts w:hint="eastAsia"/>
        </w:rPr>
        <w:t>亿元；2026</w:t>
      </w:r>
      <w:r>
        <w:t xml:space="preserve"> </w:t>
      </w:r>
      <w:r>
        <w:rPr>
          <w:rFonts w:hint="eastAsia"/>
        </w:rPr>
        <w:t>年上半年五税规模约相当于同期地方一般公共预算本级收入的</w:t>
      </w:r>
      <w:r>
        <w:t xml:space="preserve"> </w:t>
      </w:r>
      <w:r>
        <w:rPr>
          <w:rFonts w:hint="eastAsia"/>
        </w:rPr>
        <w:t>13.35%，其中契税和土地增值税仍同比下降。</w:t>
      </w:r>
    </w:p>
    <w:p w14:paraId="097E935E">
      <w:pPr>
        <w:pStyle w:val="167"/>
        <w:numPr>
          <w:ilvl w:val="0"/>
          <w:numId w:val="7"/>
        </w:numPr>
      </w:pPr>
      <w:r>
        <w:rPr>
          <w:rFonts w:hint="eastAsia"/>
        </w:rPr>
        <w:t>广义财力端，国有土地使用权出让收入从</w:t>
      </w:r>
      <w:r>
        <w:t xml:space="preserve"> 2021 </w:t>
      </w:r>
      <w:r>
        <w:rPr>
          <w:rFonts w:hint="eastAsia"/>
        </w:rPr>
        <w:t>年</w:t>
      </w:r>
      <w:r>
        <w:t xml:space="preserve"> 87051 </w:t>
      </w:r>
      <w:r>
        <w:rPr>
          <w:rFonts w:hint="eastAsia"/>
        </w:rPr>
        <w:t>亿元降至</w:t>
      </w:r>
      <w:r>
        <w:t xml:space="preserve"> 2025 </w:t>
      </w:r>
      <w:r>
        <w:rPr>
          <w:rFonts w:hint="eastAsia"/>
        </w:rPr>
        <w:t>年</w:t>
      </w:r>
      <w:r>
        <w:t xml:space="preserve"> 41518 </w:t>
      </w:r>
      <w:r>
        <w:rPr>
          <w:rFonts w:hint="eastAsia"/>
        </w:rPr>
        <w:t>亿元，2026</w:t>
      </w:r>
      <w:r>
        <w:t xml:space="preserve"> </w:t>
      </w:r>
      <w:r>
        <w:rPr>
          <w:rFonts w:hint="eastAsia"/>
        </w:rPr>
        <w:t>年上半年仍同比下降</w:t>
      </w:r>
      <w:r>
        <w:t xml:space="preserve"> </w:t>
      </w:r>
      <w:r>
        <w:rPr>
          <w:rFonts w:hint="eastAsia"/>
        </w:rPr>
        <w:t>31.5%；它是政府性基金预算的核心来源，但不是税收收入。</w:t>
      </w:r>
    </w:p>
    <w:p w14:paraId="79170F52">
      <w:pPr>
        <w:pStyle w:val="167"/>
        <w:numPr>
          <w:ilvl w:val="0"/>
          <w:numId w:val="7"/>
        </w:numPr>
      </w:pPr>
      <w:r>
        <w:rPr>
          <w:rFonts w:hint="eastAsia"/>
        </w:rPr>
        <w:t>地方一般公共预算本级收入没有与房地产相关收入同步下滑，2025</w:t>
      </w:r>
      <w:r>
        <w:t xml:space="preserve"> </w:t>
      </w:r>
      <w:r>
        <w:rPr>
          <w:rFonts w:hint="eastAsia"/>
        </w:rPr>
        <w:t>年仍增长</w:t>
      </w:r>
      <w:r>
        <w:t xml:space="preserve"> </w:t>
      </w:r>
      <w:r>
        <w:rPr>
          <w:rFonts w:hint="eastAsia"/>
        </w:rPr>
        <w:t>2.4%；含中央转移支付、调入资金、专项债等安排的预算总盘缓冲了短期压力，但专项债属于融资工具，不能当作经常性税收恢复。</w:t>
      </w:r>
    </w:p>
    <w:p w14:paraId="15AF899F">
      <w:pPr>
        <w:pStyle w:val="167"/>
        <w:numPr>
          <w:ilvl w:val="0"/>
          <w:numId w:val="7"/>
        </w:numPr>
      </w:pPr>
      <w:r>
        <w:rPr>
          <w:rFonts w:hint="eastAsia"/>
        </w:rPr>
        <w:t>地区影响显著分化：贵州、重庆、杭州、四川等样本的国有土地使用权出让收入相对一般公共预算收入参考比重较高，深圳、山西、北京等样本则显示低政府性基金预算比重或不同产业结构，不能用全国平均外推所有地方。</w:t>
      </w:r>
    </w:p>
    <w:p w14:paraId="426B41F5">
      <w:pPr>
        <w:pStyle w:val="167"/>
        <w:numPr>
          <w:ilvl w:val="0"/>
          <w:numId w:val="7"/>
        </w:numPr>
      </w:pPr>
      <w:r>
        <w:rPr>
          <w:rFonts w:hint="eastAsia"/>
        </w:rPr>
        <w:t>公开证据不能把税收下降完全拆分为市场低迷、价格、政策减免和房企利润变化，也不能证明房地产相关收入下降已被某一比例完全抵消；结论应保留分口径和分地区边界。</w:t>
      </w:r>
    </w:p>
    <w:p w14:paraId="3CF36B65">
      <w:pPr>
        <w:pStyle w:val="3"/>
        <w:pageBreakBefore/>
      </w:pPr>
      <w:bookmarkStart w:id="0" w:name="_Toc649434856"/>
      <w:bookmarkStart w:id="1" w:name="口径先行影响程度取决于把分母放在税收一般公共预算还是土地基金账本"/>
      <w:r>
        <w:rPr>
          <w:rFonts w:hint="eastAsia"/>
        </w:rPr>
        <w:t>口径先行：影响程度取决于把分母放在税收、一般公共预算还是土地基金账本</w:t>
      </w:r>
      <w:bookmarkEnd w:id="0"/>
    </w:p>
    <w:p w14:paraId="0416B45C">
      <w:pPr>
        <w:pStyle w:val="168"/>
      </w:pPr>
      <w:r>
        <w:rPr>
          <w:rFonts w:hint="eastAsia"/>
        </w:rPr>
        <w:t>同一个房地产冲击，在地方税收、一般公共预算本级收入和政府性基金/国有土地使用权出让收入三个口径下会呈现不同量级；先统一分母，才能回答“多大程度”。房地产低迷对地方财政的影响不能用一个百分比概括，因为“政府税收减少”只对应狭义税收渠道，而国有土地使用权出让收入虽常构成更大的广义财力压力，却属于政府性基金预算而非税收收入。</w:t>
      </w:r>
    </w:p>
    <w:tbl>
      <w:tblPr>
        <w:tblStyle w:val="169"/>
        <w:tblW w:w="0" w:type="auto"/>
        <w:tblInd w:w="0" w:type="dxa"/>
        <w:tblBorders>
          <w:top w:val="single" w:color="D8E0E8" w:sz="4" w:space="0"/>
          <w:left w:val="single" w:color="D8E0E8" w:sz="4" w:space="0"/>
          <w:bottom w:val="single" w:color="D8E0E8" w:sz="4" w:space="0"/>
          <w:right w:val="single" w:color="D8E0E8" w:sz="4" w:space="0"/>
          <w:insideH w:val="single" w:color="D8E0E8" w:sz="4" w:space="0"/>
          <w:insideV w:val="single" w:color="D8E0E8" w:sz="4" w:space="0"/>
        </w:tblBorders>
        <w:tblLayout w:type="autofit"/>
        <w:tblCellMar>
          <w:top w:w="80" w:type="dxa"/>
          <w:left w:w="90" w:type="dxa"/>
          <w:bottom w:w="80" w:type="dxa"/>
          <w:right w:w="90" w:type="dxa"/>
        </w:tblCellMar>
      </w:tblPr>
      <w:tblGrid>
        <w:gridCol w:w="1503"/>
        <w:gridCol w:w="2319"/>
        <w:gridCol w:w="2741"/>
        <w:gridCol w:w="3483"/>
      </w:tblGrid>
      <w:tr w14:paraId="2221A629">
        <w:trPr>
          <w:tblHeader/>
        </w:trPr>
        <w:tc>
          <w:tcPr>
            <w:shd w:val="clear" w:color="auto" w:fill="17324D"/>
          </w:tcPr>
          <w:p w14:paraId="3BF080F2">
            <w:pPr>
              <w:pStyle w:val="167"/>
              <w:rPr>
                <w:b w:val="0"/>
              </w:rPr>
            </w:pPr>
            <w:r>
              <w:rPr>
                <w:rFonts w:hint="eastAsia"/>
                <w:b/>
                <w:color w:val="FFFFFF"/>
                <w:sz w:val="16"/>
                <w:szCs w:val="16"/>
              </w:rPr>
              <w:t>口径</w:t>
            </w:r>
          </w:p>
        </w:tc>
        <w:tc>
          <w:tcPr>
            <w:shd w:val="clear" w:color="auto" w:fill="17324D"/>
          </w:tcPr>
          <w:p w14:paraId="16976748">
            <w:pPr>
              <w:pStyle w:val="167"/>
              <w:rPr>
                <w:b w:val="0"/>
              </w:rPr>
            </w:pPr>
            <w:r>
              <w:rPr>
                <w:rFonts w:hint="eastAsia"/>
                <w:b/>
                <w:color w:val="FFFFFF"/>
                <w:sz w:val="16"/>
                <w:szCs w:val="16"/>
              </w:rPr>
              <w:t>财政账本</w:t>
            </w:r>
          </w:p>
        </w:tc>
        <w:tc>
          <w:tcPr>
            <w:shd w:val="clear" w:color="auto" w:fill="17324D"/>
          </w:tcPr>
          <w:p w14:paraId="240FC01F">
            <w:pPr>
              <w:pStyle w:val="167"/>
              <w:rPr>
                <w:b w:val="0"/>
              </w:rPr>
            </w:pPr>
            <w:r>
              <w:rPr>
                <w:rFonts w:hint="eastAsia"/>
                <w:b/>
                <w:color w:val="FFFFFF"/>
                <w:sz w:val="16"/>
                <w:szCs w:val="16"/>
              </w:rPr>
              <w:t>可用作何种分母</w:t>
            </w:r>
          </w:p>
        </w:tc>
        <w:tc>
          <w:tcPr>
            <w:shd w:val="clear" w:color="auto" w:fill="17324D"/>
          </w:tcPr>
          <w:p w14:paraId="36FFCBBC">
            <w:pPr>
              <w:pStyle w:val="167"/>
              <w:rPr>
                <w:b w:val="0"/>
              </w:rPr>
            </w:pPr>
            <w:r>
              <w:rPr>
                <w:rFonts w:hint="eastAsia"/>
                <w:b/>
                <w:color w:val="FFFFFF"/>
                <w:sz w:val="16"/>
                <w:szCs w:val="16"/>
              </w:rPr>
              <w:t>不可混用边界</w:t>
            </w:r>
          </w:p>
        </w:tc>
      </w:tr>
      <w:tr w14:paraId="7EDB55DE">
        <w:tc>
          <w:p w14:paraId="1F34F936">
            <w:pPr>
              <w:pStyle w:val="167"/>
              <w:rPr>
                <w:b w:val="0"/>
              </w:rPr>
            </w:pPr>
            <w:r>
              <w:rPr>
                <w:rFonts w:hint="eastAsia"/>
                <w:b w:val="0"/>
                <w:sz w:val="16"/>
                <w:szCs w:val="16"/>
              </w:rPr>
              <w:t>税收收入</w:t>
            </w:r>
          </w:p>
        </w:tc>
        <w:tc>
          <w:p w14:paraId="18FF9A6E">
            <w:pPr>
              <w:pStyle w:val="167"/>
              <w:rPr>
                <w:b w:val="0"/>
              </w:rPr>
            </w:pPr>
            <w:r>
              <w:rPr>
                <w:rFonts w:hint="eastAsia"/>
                <w:b w:val="0"/>
                <w:sz w:val="16"/>
                <w:szCs w:val="16"/>
              </w:rPr>
              <w:t>一般公共预算中的税收收入项目</w:t>
            </w:r>
          </w:p>
        </w:tc>
        <w:tc>
          <w:p w14:paraId="63F95121">
            <w:pPr>
              <w:pStyle w:val="167"/>
              <w:rPr>
                <w:b w:val="0"/>
              </w:rPr>
            </w:pPr>
            <w:r>
              <w:rPr>
                <w:rFonts w:hint="eastAsia"/>
                <w:b w:val="0"/>
                <w:sz w:val="16"/>
                <w:szCs w:val="16"/>
              </w:rPr>
              <w:t>衡量房地产交易、开发、持有等相关税种减少对地方税收的影响</w:t>
            </w:r>
          </w:p>
        </w:tc>
        <w:tc>
          <w:p w14:paraId="778769D1">
            <w:pPr>
              <w:pStyle w:val="167"/>
              <w:rPr>
                <w:b w:val="0"/>
              </w:rPr>
            </w:pPr>
            <w:r>
              <w:rPr>
                <w:rFonts w:hint="eastAsia"/>
                <w:b w:val="0"/>
                <w:sz w:val="16"/>
                <w:szCs w:val="16"/>
              </w:rPr>
              <w:t>不包含国有土地使用权出让收入；也不能把全国税收收入直接等同于地方税收收入</w:t>
            </w:r>
          </w:p>
        </w:tc>
      </w:tr>
      <w:tr w14:paraId="6AE7FD3A">
        <w:tc>
          <w:tcPr>
            <w:shd w:val="clear" w:color="auto" w:fill="F3F7FB"/>
          </w:tcPr>
          <w:p w14:paraId="36857677">
            <w:pPr>
              <w:pStyle w:val="167"/>
              <w:rPr>
                <w:b w:val="0"/>
              </w:rPr>
            </w:pPr>
            <w:r>
              <w:rPr>
                <w:rFonts w:hint="eastAsia"/>
                <w:b w:val="0"/>
                <w:sz w:val="16"/>
                <w:szCs w:val="16"/>
              </w:rPr>
              <w:t>地方一般公共预算本级收入</w:t>
            </w:r>
          </w:p>
        </w:tc>
        <w:tc>
          <w:tcPr>
            <w:shd w:val="clear" w:color="auto" w:fill="F3F7FB"/>
          </w:tcPr>
          <w:p w14:paraId="37FCB3C1">
            <w:pPr>
              <w:pStyle w:val="167"/>
              <w:rPr>
                <w:b w:val="0"/>
              </w:rPr>
            </w:pPr>
            <w:r>
              <w:rPr>
                <w:rFonts w:hint="eastAsia"/>
                <w:b w:val="0"/>
                <w:sz w:val="16"/>
                <w:szCs w:val="16"/>
              </w:rPr>
              <w:t>地方本级一般公共预算</w:t>
            </w:r>
          </w:p>
        </w:tc>
        <w:tc>
          <w:tcPr>
            <w:shd w:val="clear" w:color="auto" w:fill="F3F7FB"/>
          </w:tcPr>
          <w:p w14:paraId="6646DA10">
            <w:pPr>
              <w:pStyle w:val="167"/>
              <w:rPr>
                <w:b w:val="0"/>
              </w:rPr>
            </w:pPr>
            <w:r>
              <w:rPr>
                <w:rFonts w:hint="eastAsia"/>
                <w:b w:val="0"/>
                <w:sz w:val="16"/>
                <w:szCs w:val="16"/>
              </w:rPr>
              <w:t>衡量地方自身本级财力承压程度，是观察“地方财政收入”最常用的狭义分母</w:t>
            </w:r>
          </w:p>
        </w:tc>
        <w:tc>
          <w:tcPr>
            <w:shd w:val="clear" w:color="auto" w:fill="F3F7FB"/>
          </w:tcPr>
          <w:p w14:paraId="780CD6E5">
            <w:pPr>
              <w:pStyle w:val="167"/>
              <w:rPr>
                <w:b w:val="0"/>
              </w:rPr>
            </w:pPr>
            <w:r>
              <w:rPr>
                <w:rFonts w:hint="eastAsia"/>
                <w:b w:val="0"/>
                <w:sz w:val="16"/>
                <w:szCs w:val="16"/>
              </w:rPr>
              <w:t>不包含中央对地方转移支付；也不是地方税收收入本身</w:t>
            </w:r>
          </w:p>
        </w:tc>
      </w:tr>
      <w:tr w14:paraId="1F69EC2C">
        <w:tc>
          <w:p w14:paraId="2BE4D897">
            <w:pPr>
              <w:pStyle w:val="167"/>
              <w:rPr>
                <w:b w:val="0"/>
              </w:rPr>
            </w:pPr>
            <w:r>
              <w:rPr>
                <w:rFonts w:hint="eastAsia"/>
                <w:b w:val="0"/>
                <w:sz w:val="16"/>
                <w:szCs w:val="16"/>
              </w:rPr>
              <w:t>含中央支持后的地方一般公共预算收入</w:t>
            </w:r>
          </w:p>
        </w:tc>
        <w:tc>
          <w:p w14:paraId="420A9C09">
            <w:pPr>
              <w:pStyle w:val="167"/>
              <w:rPr>
                <w:b w:val="0"/>
              </w:rPr>
            </w:pPr>
            <w:r>
              <w:rPr>
                <w:rFonts w:hint="eastAsia"/>
                <w:b w:val="0"/>
                <w:sz w:val="16"/>
                <w:szCs w:val="16"/>
              </w:rPr>
              <w:t>一般公共预算中本级收入加上级返还、转移支付和调入等项目</w:t>
            </w:r>
          </w:p>
        </w:tc>
        <w:tc>
          <w:p w14:paraId="622333F2">
            <w:pPr>
              <w:pStyle w:val="167"/>
              <w:rPr>
                <w:b w:val="0"/>
              </w:rPr>
            </w:pPr>
            <w:r>
              <w:rPr>
                <w:rFonts w:hint="eastAsia"/>
                <w:b w:val="0"/>
                <w:sz w:val="16"/>
                <w:szCs w:val="16"/>
              </w:rPr>
              <w:t>衡量中央支持进入后地方预算可安排收入总量</w:t>
            </w:r>
          </w:p>
        </w:tc>
        <w:tc>
          <w:p w14:paraId="73E6B84E">
            <w:pPr>
              <w:pStyle w:val="167"/>
              <w:rPr>
                <w:b w:val="0"/>
              </w:rPr>
            </w:pPr>
            <w:r>
              <w:rPr>
                <w:rFonts w:hint="eastAsia"/>
                <w:b w:val="0"/>
                <w:sz w:val="16"/>
                <w:szCs w:val="16"/>
              </w:rPr>
              <w:t>分母纳入上级补助和调入资金，不能据此判断本地税基是否恢复</w:t>
            </w:r>
          </w:p>
        </w:tc>
      </w:tr>
      <w:tr w14:paraId="6AF326BD">
        <w:tc>
          <w:tcPr>
            <w:shd w:val="clear" w:color="auto" w:fill="F3F7FB"/>
          </w:tcPr>
          <w:p w14:paraId="7A863CAC">
            <w:pPr>
              <w:pStyle w:val="167"/>
              <w:rPr>
                <w:b w:val="0"/>
              </w:rPr>
            </w:pPr>
            <w:r>
              <w:rPr>
                <w:rFonts w:hint="eastAsia"/>
                <w:b w:val="0"/>
                <w:sz w:val="16"/>
                <w:szCs w:val="16"/>
              </w:rPr>
              <w:t>政府性基金和国有土地使用权出让收入</w:t>
            </w:r>
          </w:p>
        </w:tc>
        <w:tc>
          <w:tcPr>
            <w:shd w:val="clear" w:color="auto" w:fill="F3F7FB"/>
          </w:tcPr>
          <w:p w14:paraId="7CC0F866">
            <w:pPr>
              <w:pStyle w:val="167"/>
              <w:rPr>
                <w:b w:val="0"/>
              </w:rPr>
            </w:pPr>
            <w:r>
              <w:rPr>
                <w:rFonts w:hint="eastAsia"/>
                <w:b w:val="0"/>
                <w:sz w:val="16"/>
                <w:szCs w:val="16"/>
              </w:rPr>
              <w:t>地方政府性基金预算，核心项目为国有土地使用权出让收入</w:t>
            </w:r>
          </w:p>
        </w:tc>
        <w:tc>
          <w:tcPr>
            <w:shd w:val="clear" w:color="auto" w:fill="F3F7FB"/>
          </w:tcPr>
          <w:p w14:paraId="433AFA70">
            <w:pPr>
              <w:pStyle w:val="167"/>
              <w:rPr>
                <w:b w:val="0"/>
              </w:rPr>
            </w:pPr>
            <w:r>
              <w:rPr>
                <w:rFonts w:hint="eastAsia"/>
                <w:b w:val="0"/>
                <w:sz w:val="16"/>
                <w:szCs w:val="16"/>
              </w:rPr>
              <w:t>衡量房地产低迷通过土地财政影响广义地方财力的强度</w:t>
            </w:r>
          </w:p>
        </w:tc>
        <w:tc>
          <w:tcPr>
            <w:shd w:val="clear" w:color="auto" w:fill="F3F7FB"/>
          </w:tcPr>
          <w:p w14:paraId="24D3629C">
            <w:pPr>
              <w:pStyle w:val="167"/>
              <w:rPr>
                <w:b w:val="0"/>
              </w:rPr>
            </w:pPr>
            <w:r>
              <w:rPr>
                <w:rFonts w:hint="eastAsia"/>
                <w:b w:val="0"/>
                <w:sz w:val="16"/>
                <w:szCs w:val="16"/>
              </w:rPr>
              <w:t>土地收入不是税收；地方政府性基金预算本级收入也不等同于其中的国有土地使用权出让收入总额</w:t>
            </w:r>
          </w:p>
        </w:tc>
      </w:tr>
    </w:tbl>
    <w:p w14:paraId="2B555DAA">
      <w:pPr>
        <w:pStyle w:val="4"/>
      </w:pPr>
      <w:bookmarkStart w:id="2" w:name="_Toc1539730738"/>
      <w:bookmarkStart w:id="3" w:name="先把地方财政收入拆成三个可比口径"/>
      <w:r>
        <w:rPr>
          <w:rFonts w:hint="eastAsia"/>
        </w:rPr>
        <w:t>先把“地方财政收入”拆成三个可比口径</w:t>
      </w:r>
      <w:bookmarkEnd w:id="2"/>
    </w:p>
    <w:p w14:paraId="435700BE">
      <w:pPr>
        <w:pStyle w:val="168"/>
      </w:pPr>
      <w:r>
        <w:rPr>
          <w:rFonts w:hint="eastAsia"/>
        </w:rPr>
        <w:t>地方财政收入至少要拆成税收收入、地方一般公共预算本级收入、以及政府性基金和国有土地使用权出让收入三层。财政部政府收入分类把政府收入按来源和性质分为税收收入、社会保险基金收入、非税收入、贷款转贷回收本金收入、债务收入和转移性收入，非税收入下又设政府性基金收入等项目；这说明“税收收入”和“政府性基金收入”在分类上不是同一项收入，只能在说明总财力时并读，不能在测算税收减少时合并。[1]</w:t>
      </w:r>
    </w:p>
    <w:p w14:paraId="3DA91A13">
      <w:pPr>
        <w:pStyle w:val="19"/>
      </w:pPr>
      <w:r>
        <w:rPr>
          <w:rFonts w:hint="eastAsia"/>
        </w:rPr>
        <w:t>一般公共预算口径还要区分“本级收入”和“含上级支持后的收入”。《预算法实施条例》规定，地方各级一般公共预算收入编制内容包括本级一般公共预算收入、从国有资本经营预算调入资金、上级税收返还和转移支付、下级上解收入、从预算稳定调节基金调入资金及其他调入资金；地方政府性基金预算收入则包括本级政府性基金各项目收入、上一年度结余、下级上解收入和上级转移支付。[2]</w:t>
      </w:r>
      <w:r>
        <w:t xml:space="preserve"> </w:t>
      </w:r>
      <w:r>
        <w:rPr>
          <w:rFonts w:hint="eastAsia"/>
        </w:rPr>
        <w:t>因此，地方一般公共预算本级收入更适合作为观察地方自身收入变化的分母，而含中央转移支付后的地方一般公共预算收入更适合观察预算可安排总量，二者回答的是不同问题。</w:t>
      </w:r>
    </w:p>
    <w:p w14:paraId="123BD5B8">
      <w:pPr>
        <w:pStyle w:val="19"/>
      </w:pPr>
      <w:r>
        <w:rPr>
          <w:rFonts w:hint="eastAsia"/>
        </w:rPr>
        <w:t>国有土地使用权出让收入需要单列，是因为它既与房地产市场高度相关，又不属于税收。国有土地使用权出让收入被定义为政府以出让等方式配置国有土地使用权取得的全部土地价款，既包括招拍挂和协议出让总成交价款，也包括补缴土地价款、改变用途或容积率等补缴价款及其他相关收入；制度要求土地出让收支全额纳入地方政府性基金预算管理，收入全部缴入地方国库。[3]</w:t>
      </w:r>
      <w:r>
        <w:t xml:space="preserve"> </w:t>
      </w:r>
      <w:r>
        <w:rPr>
          <w:rFonts w:hint="eastAsia"/>
        </w:rPr>
        <w:t>这使土地收入可以解释房地产低迷对广义地方财力的冲击，但不能被写成“政府税收减少”的组成部分。</w:t>
      </w:r>
    </w:p>
    <w:p w14:paraId="2E37E857">
      <w:pPr>
        <w:pStyle w:val="19"/>
      </w:pPr>
      <w:r>
        <w:rPr>
          <w:rFonts w:hint="eastAsia"/>
        </w:rPr>
        <w:t>2025年预算执行口径进一步显示了这些分母的差异：地方一般公共预算收入为224007.4亿元，其中本级收入122082.26亿元、中央对地方转移支付收入101925.14亿元。[4]</w:t>
      </w:r>
      <w:r>
        <w:t xml:space="preserve"> </w:t>
      </w:r>
      <w:r>
        <w:rPr>
          <w:rFonts w:hint="eastAsia"/>
        </w:rPr>
        <w:t>同一份预算账本下，若用224007.4亿元作分母，已经把中央支持纳入地方收入总盘；若用122082.26亿元作分母，才是在观察地方一般公共预算本级收入。房地产低迷对地方财政的影响程度，会因这两个分母选择不同而显著改变。</w:t>
      </w:r>
    </w:p>
    <w:p w14:paraId="54A1EC3E">
      <w:pPr>
        <w:pStyle w:val="19"/>
      </w:pPr>
      <w:r>
        <w:rPr>
          <w:rFonts w:hint="eastAsia"/>
        </w:rPr>
        <w:t>口径混用会同时造成高估和低估。把国有土地使用权出让收入并入税收，会高估狭义税收受房地产低迷拖累的幅度；但只看地方一般公共预算本级收入，又会低估土地出让下降对地方政府性基金和广义财力的压力。2025年地方政府性基金预算本级收入52648亿元、同比下降8.2%，其中国有土地使用权出让收入41518亿元、同比下降14.7%，这个“其中”关系说明土地收入是基金收入的重要项目，但不是基金本级收入的全部，更不是一般公共预算税收。[5]</w:t>
      </w:r>
    </w:p>
    <w:bookmarkEnd w:id="3"/>
    <w:p w14:paraId="21F429C5">
      <w:pPr>
        <w:pStyle w:val="4"/>
      </w:pPr>
      <w:bookmarkStart w:id="4" w:name="_Toc1076567216"/>
      <w:bookmarkStart w:id="5" w:name="全国基准一般公共预算仍小幅增长基金和土地端明显收缩"/>
      <w:r>
        <w:rPr>
          <w:rFonts w:hint="eastAsia"/>
        </w:rPr>
        <w:t>全国基准：一般公共预算仍小幅增长，基金和土地端明显收缩</w:t>
      </w:r>
      <w:bookmarkEnd w:id="4"/>
    </w:p>
    <w:p w14:paraId="4B9E19ED">
      <w:pPr>
        <w:pStyle w:val="168"/>
      </w:pPr>
      <w:r>
        <w:rPr>
          <w:rFonts w:hint="eastAsia"/>
        </w:rPr>
        <w:t>全国一般公共预算在2021—2025年没有呈现与国有土地使用权出让收入同步塌陷的路径。财政部年度执行口径显示，全国一般公共预算收入从2021年的202539亿元升至2024年的219702亿元，2025年回落至216045亿元；地方一般公共预算本级收入则从2021年的111077亿元升至2025年的122082亿元，中间仅2022年降至108818亿元。[6][7][8][9][5]</w:t>
      </w:r>
      <w:r>
        <w:t xml:space="preserve"> </w:t>
      </w:r>
      <w:r>
        <w:rPr>
          <w:rFonts w:hint="eastAsia"/>
        </w:rPr>
        <w:t>这组数据说明，若把问题限定在地方本级一般公共预算收入，房地产低迷并没有表现为地方一般公共预算本级收入总额逐年下降。</w:t>
      </w:r>
    </w:p>
    <w:p w14:paraId="58FA3DE2">
      <w:pPr>
        <w:pStyle w:val="19"/>
      </w:pPr>
      <w:r>
        <w:rPr>
          <w:rFonts w:hint="eastAsia"/>
        </w:rPr>
        <w:t>税收与非税收入的组合也改变了对“财政收入减少”的直观判断。全国税收收入2021年为172731亿元，2022年降至166614亿元，2023年回升至181129亿元，2024年降至174972亿元，2025年为176363亿元；同期非税收入从29808亿元升至2024年的44730亿元，2025年又降至39682亿元。[6][7][8][9][5]</w:t>
      </w:r>
      <w:r>
        <w:t xml:space="preserve"> </w:t>
      </w:r>
      <w:r>
        <w:rPr>
          <w:rFonts w:hint="eastAsia"/>
        </w:rPr>
        <w:t>因此，一般公共预算总量的变化不是房地产税基单独决定的，非税收入、中央和地方分成结构、以及预算调入安排都会影响最终本级收入表现。</w:t>
      </w:r>
    </w:p>
    <w:p w14:paraId="201659A9">
      <w:pPr>
        <w:pStyle w:val="19"/>
      </w:pPr>
      <w:r>
        <w:rPr>
          <w:rFonts w:hint="eastAsia"/>
        </w:rPr>
        <w:t>与一般公共预算相比，政府性基金和土地收入的收缩更集中、更持续。全国政府性基金预算收入从2021年的98024亿元降至2025年的57704亿元；地方政府性基金预算本级收入从93936亿元降至52648亿元；国有土地使用权出让收入从87051亿元降至41518亿元。[6][7][8][9][5]</w:t>
      </w:r>
      <w:r>
        <w:t xml:space="preserve"> </w:t>
      </w:r>
      <w:r>
        <w:rPr>
          <w:rFonts w:hint="eastAsia"/>
        </w:rPr>
        <w:t>这条序列说明，房地产低迷对地方财政最明显的全国账面影响，首先体现在政府性基金和国有土地使用权出让收入账本，而不是地方本级一般公共预算收入的同幅下降。</w:t>
      </w:r>
    </w:p>
    <w:p w14:paraId="01F7BA18">
      <w:pPr>
        <w:pStyle w:val="19"/>
      </w:pPr>
      <w:r>
        <w:rPr>
          <w:rFonts w:hint="eastAsia"/>
        </w:rPr>
        <w:t>最新月度窗口延续了这种分化。2026年上半年，全国一般公共预算收入121047亿元、同比增长4.7%，全国税收收入97865亿元、同比增长5.3%，地方一般公共预算本级收入68807亿元、同比增长2.7%；同期全国政府性基金预算收入15244亿元、同比下降21.6%，地方政府性基金预算本级收入12847亿元、同比下降25.6%，其中国有土地使用权出让收入9778亿元、同比下降31.5%。[10]</w:t>
      </w:r>
      <w:r>
        <w:t xml:space="preserve"> </w:t>
      </w:r>
      <w:r>
        <w:rPr>
          <w:rFonts w:hint="eastAsia"/>
        </w:rPr>
        <w:t>这意味着房地产相关压力并没有在最新执行期消失，但它主要继续压在基金和土地端，而非表现为一般公共预算本级收入同步负增长。</w:t>
      </w:r>
    </w:p>
    <w:p w14:paraId="50E82D58">
      <w:pPr>
        <w:pStyle w:val="19"/>
      </w:pPr>
      <w:r>
        <w:rPr>
          <w:rFonts w:hint="eastAsia"/>
        </w:rPr>
        <w:t>2025年预算执行报告也把基金端下降的主要原因指向地方国有土地使用权出让收入下降。全国政府性基金预算收入57703.55亿元，为预算的92.3%，同比下降7%；同一报告中，全国一般公共预算收入216044.88亿元，为预算的98.3%，地方一般公共预算本级收入仍增长2.4%。[4]</w:t>
      </w:r>
      <w:r>
        <w:t xml:space="preserve"> </w:t>
      </w:r>
      <w:r>
        <w:rPr>
          <w:rFonts w:hint="eastAsia"/>
        </w:rPr>
        <w:t>两个预算账本的同时存在，解释了为什么地方政府可能感到土地财政压力明显，而一般公共预算收入数据仍不显示同等幅度的下滑。</w:t>
      </w:r>
    </w:p>
    <w:p w14:paraId="7DAB19E8">
      <w:pPr>
        <w:pStyle w:val="19"/>
      </w:pPr>
      <w:r>
        <w:rPr>
          <w:rFonts w:hint="eastAsia"/>
        </w:rPr>
        <w:t>地方税收收入的全国年度决算序列可作为狭义税收分母的历史基准，但最新可核验期止于2024年年鉴表。国家统计局年鉴显示，地方一般公共预算收入和地方税收收入分别为：2021年111084.23亿元、83789.27亿元；2022年108762.15亿元、76643.03亿元；2023年117228.73亿元、85302.18亿元；2024年119272.24亿元、83587.22亿元。[11][12][13][14]</w:t>
      </w:r>
      <w:r>
        <w:t xml:space="preserve"> </w:t>
      </w:r>
      <w:r>
        <w:rPr>
          <w:rFonts w:hint="eastAsia"/>
        </w:rPr>
        <w:t>因此，2025年和2026年上半年的地方税收压力不能直接用“全国税收收入”或“地方一般公共预算本级收入”替代测算，只能在后续涉房税种或基金口径中另行量化。</w:t>
      </w:r>
    </w:p>
    <w:bookmarkEnd w:id="5"/>
    <w:p w14:paraId="3EF77ED0">
      <w:pPr>
        <w:pStyle w:val="4"/>
      </w:pPr>
      <w:bookmarkStart w:id="6" w:name="_Toc1315473337"/>
      <w:bookmarkStart w:id="7" w:name="参考比重给出影响量级但不能把国有土地使用权出让收入当作税收"/>
      <w:r>
        <w:rPr>
          <w:rFonts w:hint="eastAsia"/>
        </w:rPr>
        <w:t>参考比重给出影响量级，但不能把国有土地使用权出让收入当作税收</w:t>
      </w:r>
      <w:bookmarkEnd w:id="6"/>
    </w:p>
    <w:p w14:paraId="5576C3A1">
      <w:pPr>
        <w:pStyle w:val="168"/>
      </w:pPr>
      <w:r>
        <w:rPr>
          <w:rFonts w:hint="eastAsia"/>
        </w:rPr>
        <w:t>国有土地使用权出让收入相对地方一般公共预算本级收入的参考比重，可以帮助理解房地产低迷为何会成为地方财政压力的核心来源。按财政部年度金额相除，国有土地使用权出让收入相当于地方一般公共预算本级收入的比例从2021年的约78.4%降至2022年的约61.4%、2023年的约49.5%、2024年的约40.8%、2025年的约34.0%，2026年上半年为约14.2%。[6][7][8][9][5][10]</w:t>
      </w:r>
      <w:r>
        <w:t xml:space="preserve"> </w:t>
      </w:r>
      <w:r>
        <w:rPr>
          <w:rFonts w:hint="eastAsia"/>
        </w:rPr>
        <w:t>这个比例不是预算入账关系，而是跨账本参考：它说明国有土地使用权出让收入规模相对于地方本级一般公共预算曾经很大，下降后对广义财力的拖累也不应被忽略。</w:t>
      </w:r>
    </w:p>
    <w:p w14:paraId="49620D9F">
      <w:pPr>
        <w:pStyle w:val="19"/>
      </w:pPr>
      <w:r>
        <w:rPr>
          <w:rFonts w:hint="eastAsia"/>
        </w:rPr>
        <w:t>同一土地收入在政府性基金内部仍是核心项目。2025年国有土地使用权出让收入41518亿元，相当于地方政府性基金预算本级收入52648亿元的约78.9%。[5]</w:t>
      </w:r>
      <w:r>
        <w:t xml:space="preserve"> </w:t>
      </w:r>
      <w:r>
        <w:rPr>
          <w:rFonts w:hint="eastAsia"/>
        </w:rPr>
        <w:t>这一比例说明，政府性基金预算本级收入的变化很大程度上受土地出让影响；但它也提醒读者，地方政府性基金预算本级收入并不等于国有土地使用权出让收入，基金账本内部还有其他项目，不能把一个“其中项”直接当作整个基金收入。</w:t>
      </w:r>
    </w:p>
    <w:p w14:paraId="48BCBA39">
      <w:pPr>
        <w:pStyle w:val="19"/>
      </w:pPr>
      <w:r>
        <w:rPr>
          <w:rFonts w:hint="eastAsia"/>
        </w:rPr>
        <w:t>国有土地使用权出让收入本身还是毛收入概念，不能直接等同于可自由支配财力。国务院办公厅关于规范土地出让收支管理的通知明确，国有土地使用权出让收入包括受让人支付的征地和拆迁补偿费用、土地前期开发费用和土地出让收益等，并规定其支出通过地方政府性基金预算从国有土地使用权出让收入中安排，使用范围包括征地和拆迁补偿、土地开发、支农、城市建设和其他支出。[15]</w:t>
      </w:r>
      <w:r>
        <w:t xml:space="preserve"> </w:t>
      </w:r>
      <w:r>
        <w:rPr>
          <w:rFonts w:hint="eastAsia"/>
        </w:rPr>
        <w:t>因此，土地收入下降会减少广义地方财力和政府性基金预算安排空间，但其对一般公共预算可用财力的净影响，不能简单等同于土地出让毛收入的同比下降额。</w:t>
      </w:r>
    </w:p>
    <w:p w14:paraId="554203D7">
      <w:pPr>
        <w:pStyle w:val="19"/>
      </w:pPr>
      <w:r>
        <w:rPr>
          <w:rFonts w:hint="eastAsia"/>
        </w:rPr>
        <w:t>地方税收收入的构成提供了另一个必要边界：房地产相关税种只是地方税收的一部分，地方税收并不等于房地产税收。2024年年鉴表中，地方税收收入为83587.22亿元，其中包括国内增值税33450.53亿元、企业所得税14461.58亿元、个人所得税5808.62亿元，也包括房产税4705.27亿元、城镇土地使用税2424.82亿元、土地增值税4868.70亿元、耕地占用税1368.17亿元和契税5169.59亿元等。[14]</w:t>
      </w:r>
      <w:r>
        <w:t xml:space="preserve"> </w:t>
      </w:r>
      <w:r>
        <w:rPr>
          <w:rFonts w:hint="eastAsia"/>
        </w:rPr>
        <w:t>这说明，后续测算房地产低迷的税收影响时，应优先锁定可识别的涉房税种，并承认地方税收中还有大量与房地产行业不完全重合的共享税种和其他税源。</w:t>
      </w:r>
    </w:p>
    <w:p w14:paraId="0F6AAC14">
      <w:pPr>
        <w:pStyle w:val="19"/>
      </w:pPr>
      <w:r>
        <w:rPr>
          <w:rFonts w:hint="eastAsia"/>
        </w:rPr>
        <w:t>由此得到的基准判断是：狭义回答“政府税收减少影响地方财政收入”时，分母应落在地方税收收入或地方一般公共预算本级收入，并把土地出让排除在税收之外；广义回答房地产低迷对地方财力的影响时，必须把政府性基金和国有土地使用权出让收入单列。全国基准显示，一般公共预算本级收入仍有一定韧性，基金和土地端则持续收缩；这不是相互矛盾，而是不同财政账本对同一房地产调整的反应强度不同。</w:t>
      </w:r>
    </w:p>
    <w:bookmarkEnd w:id="1"/>
    <w:bookmarkEnd w:id="7"/>
    <w:p w14:paraId="46888D46">
      <w:pPr>
        <w:pStyle w:val="3"/>
      </w:pPr>
      <w:bookmarkStart w:id="8" w:name="_Toc816229094"/>
      <w:bookmarkStart w:id="9" w:name="税收渠道交易和开发相关税种拖累明确但公开数据只能覆盖一部分涉房税基"/>
      <w:r>
        <w:rPr>
          <w:rFonts w:hint="eastAsia"/>
        </w:rPr>
        <w:t>税收渠道：交易和开发相关税种拖累明确，但公开数据只能覆盖一部分涉房税基</w:t>
      </w:r>
      <w:bookmarkEnd w:id="8"/>
    </w:p>
    <w:p w14:paraId="1E4C8B82">
      <w:pPr>
        <w:pStyle w:val="168"/>
      </w:pPr>
      <w:r>
        <w:rPr>
          <w:rFonts w:hint="eastAsia"/>
        </w:rPr>
        <w:t>狭义税收端的可量化冲击集中在契税和土地增值税：按财政部公开分项加总，五项土地和房地产相关税收</w:t>
      </w:r>
      <w:r>
        <w:t xml:space="preserve"> 2025 </w:t>
      </w:r>
      <w:r>
        <w:rPr>
          <w:rFonts w:hint="eastAsia"/>
        </w:rPr>
        <w:t>年比</w:t>
      </w:r>
      <w:r>
        <w:t xml:space="preserve"> 2021 </w:t>
      </w:r>
      <w:r>
        <w:rPr>
          <w:rFonts w:hint="eastAsia"/>
        </w:rPr>
        <w:t>年少约</w:t>
      </w:r>
      <w:r>
        <w:t xml:space="preserve"> 3067 </w:t>
      </w:r>
      <w:r>
        <w:rPr>
          <w:rFonts w:hint="eastAsia"/>
        </w:rPr>
        <w:t>亿元，降幅约</w:t>
      </w:r>
      <w:r>
        <w:t xml:space="preserve"> </w:t>
      </w:r>
      <w:r>
        <w:rPr>
          <w:rFonts w:hint="eastAsia"/>
        </w:rPr>
        <w:t>14.8%；但这一数字只覆盖官方可直接追踪的五项土地和房地产相关税收，不能代表房地产行业通过增值税、所得税等共享税种对地方财政造成的全部拖累。</w:t>
      </w:r>
    </w:p>
    <w:tbl>
      <w:tblPr>
        <w:tblStyle w:val="169"/>
        <w:tblW w:w="0" w:type="auto"/>
        <w:tblInd w:w="0" w:type="dxa"/>
        <w:tblBorders>
          <w:top w:val="single" w:color="D8E0E8" w:sz="4" w:space="0"/>
          <w:left w:val="single" w:color="D8E0E8" w:sz="4" w:space="0"/>
          <w:bottom w:val="single" w:color="D8E0E8" w:sz="4" w:space="0"/>
          <w:right w:val="single" w:color="D8E0E8" w:sz="4" w:space="0"/>
          <w:insideH w:val="single" w:color="D8E0E8" w:sz="4" w:space="0"/>
          <w:insideV w:val="single" w:color="D8E0E8" w:sz="4" w:space="0"/>
        </w:tblBorders>
        <w:tblLayout w:type="autofit"/>
        <w:tblCellMar>
          <w:top w:w="80" w:type="dxa"/>
          <w:left w:w="90" w:type="dxa"/>
          <w:bottom w:w="80" w:type="dxa"/>
          <w:right w:w="90" w:type="dxa"/>
        </w:tblCellMar>
      </w:tblPr>
      <w:tblGrid>
        <w:gridCol w:w="897"/>
        <w:gridCol w:w="1688"/>
        <w:gridCol w:w="2640"/>
        <w:gridCol w:w="2634"/>
        <w:gridCol w:w="2187"/>
      </w:tblGrid>
      <w:tr w14:paraId="3C2D9BE1">
        <w:trPr>
          <w:tblHeader/>
        </w:trPr>
        <w:tc>
          <w:tcPr>
            <w:shd w:val="clear" w:color="auto" w:fill="17324D"/>
          </w:tcPr>
          <w:p w14:paraId="598C6F14">
            <w:pPr>
              <w:pStyle w:val="167"/>
              <w:rPr>
                <w:b w:val="0"/>
              </w:rPr>
            </w:pPr>
            <w:r>
              <w:rPr>
                <w:rFonts w:hint="eastAsia"/>
                <w:b/>
                <w:color w:val="FFFFFF"/>
                <w:sz w:val="16"/>
                <w:szCs w:val="16"/>
              </w:rPr>
              <w:t>税种/指标</w:t>
            </w:r>
          </w:p>
        </w:tc>
        <w:tc>
          <w:tcPr>
            <w:shd w:val="clear" w:color="auto" w:fill="17324D"/>
          </w:tcPr>
          <w:p w14:paraId="772496F3">
            <w:pPr>
              <w:pStyle w:val="167"/>
              <w:jc w:val="right"/>
              <w:rPr>
                <w:b w:val="0"/>
              </w:rPr>
            </w:pPr>
            <w:r>
              <w:rPr>
                <w:rFonts w:hint="eastAsia"/>
                <w:b/>
                <w:color w:val="FFFFFF"/>
                <w:sz w:val="16"/>
                <w:szCs w:val="16"/>
              </w:rPr>
              <w:t>2025或最新数值</w:t>
            </w:r>
          </w:p>
        </w:tc>
        <w:tc>
          <w:tcPr>
            <w:shd w:val="clear" w:color="auto" w:fill="17324D"/>
          </w:tcPr>
          <w:p w14:paraId="433B00E9">
            <w:pPr>
              <w:pStyle w:val="167"/>
              <w:rPr>
                <w:b w:val="0"/>
              </w:rPr>
            </w:pPr>
            <w:r>
              <w:rPr>
                <w:rFonts w:hint="eastAsia"/>
                <w:b/>
                <w:color w:val="FFFFFF"/>
                <w:sz w:val="16"/>
                <w:szCs w:val="16"/>
              </w:rPr>
              <w:t>变化方向</w:t>
            </w:r>
          </w:p>
        </w:tc>
        <w:tc>
          <w:tcPr>
            <w:shd w:val="clear" w:color="auto" w:fill="17324D"/>
          </w:tcPr>
          <w:p w14:paraId="3583BFA6">
            <w:pPr>
              <w:pStyle w:val="167"/>
              <w:rPr>
                <w:b w:val="0"/>
              </w:rPr>
            </w:pPr>
            <w:r>
              <w:rPr>
                <w:rFonts w:hint="eastAsia"/>
                <w:b/>
                <w:color w:val="FFFFFF"/>
                <w:sz w:val="16"/>
                <w:szCs w:val="16"/>
              </w:rPr>
              <w:t>财政含义</w:t>
            </w:r>
          </w:p>
        </w:tc>
        <w:tc>
          <w:tcPr>
            <w:shd w:val="clear" w:color="auto" w:fill="17324D"/>
          </w:tcPr>
          <w:p w14:paraId="463E171A">
            <w:pPr>
              <w:pStyle w:val="167"/>
              <w:rPr>
                <w:b w:val="0"/>
              </w:rPr>
            </w:pPr>
            <w:r>
              <w:rPr>
                <w:rFonts w:hint="eastAsia"/>
                <w:b/>
                <w:color w:val="FFFFFF"/>
                <w:sz w:val="16"/>
                <w:szCs w:val="16"/>
              </w:rPr>
              <w:t>归因边界</w:t>
            </w:r>
          </w:p>
        </w:tc>
      </w:tr>
      <w:tr w14:paraId="1311F838">
        <w:tc>
          <w:p w14:paraId="01F9E7B3">
            <w:pPr>
              <w:pStyle w:val="167"/>
              <w:rPr>
                <w:b w:val="0"/>
              </w:rPr>
            </w:pPr>
            <w:r>
              <w:rPr>
                <w:rFonts w:hint="eastAsia"/>
                <w:b w:val="0"/>
                <w:sz w:val="16"/>
                <w:szCs w:val="16"/>
              </w:rPr>
              <w:t>全国房地产开发投资</w:t>
            </w:r>
          </w:p>
        </w:tc>
        <w:tc>
          <w:p w14:paraId="48F3D477">
            <w:pPr>
              <w:pStyle w:val="167"/>
              <w:jc w:val="right"/>
              <w:rPr>
                <w:b w:val="0"/>
              </w:rPr>
            </w:pPr>
            <w:r>
              <w:rPr>
                <w:b w:val="0"/>
                <w:sz w:val="16"/>
                <w:szCs w:val="16"/>
              </w:rPr>
              <w:t xml:space="preserve">2025 </w:t>
            </w:r>
            <w:r>
              <w:rPr>
                <w:rFonts w:hint="eastAsia"/>
                <w:b w:val="0"/>
                <w:sz w:val="16"/>
                <w:szCs w:val="16"/>
              </w:rPr>
              <w:t>年</w:t>
            </w:r>
            <w:r>
              <w:rPr>
                <w:b w:val="0"/>
                <w:sz w:val="16"/>
                <w:szCs w:val="16"/>
              </w:rPr>
              <w:t xml:space="preserve"> 82788 </w:t>
            </w:r>
            <w:r>
              <w:rPr>
                <w:rFonts w:hint="eastAsia"/>
                <w:b w:val="0"/>
                <w:sz w:val="16"/>
                <w:szCs w:val="16"/>
              </w:rPr>
              <w:t>亿元；2026</w:t>
            </w:r>
            <w:r>
              <w:rPr>
                <w:b w:val="0"/>
                <w:sz w:val="16"/>
                <w:szCs w:val="16"/>
              </w:rPr>
              <w:t xml:space="preserve"> </w:t>
            </w:r>
            <w:r>
              <w:rPr>
                <w:rFonts w:hint="eastAsia"/>
                <w:b w:val="0"/>
                <w:sz w:val="16"/>
                <w:szCs w:val="16"/>
              </w:rPr>
              <w:t>年上半年</w:t>
            </w:r>
            <w:r>
              <w:rPr>
                <w:b w:val="0"/>
                <w:sz w:val="16"/>
                <w:szCs w:val="16"/>
              </w:rPr>
              <w:t xml:space="preserve"> 38074 </w:t>
            </w:r>
            <w:r>
              <w:rPr>
                <w:rFonts w:hint="eastAsia"/>
                <w:b w:val="0"/>
                <w:sz w:val="16"/>
                <w:szCs w:val="16"/>
              </w:rPr>
              <w:t>亿元</w:t>
            </w:r>
          </w:p>
        </w:tc>
        <w:tc>
          <w:p w14:paraId="4D5984AC">
            <w:pPr>
              <w:pStyle w:val="167"/>
              <w:rPr>
                <w:b w:val="0"/>
              </w:rPr>
            </w:pPr>
            <w:r>
              <w:rPr>
                <w:b w:val="0"/>
                <w:sz w:val="16"/>
                <w:szCs w:val="16"/>
              </w:rPr>
              <w:t xml:space="preserve">2025 </w:t>
            </w:r>
            <w:r>
              <w:rPr>
                <w:rFonts w:hint="eastAsia"/>
                <w:b w:val="0"/>
                <w:sz w:val="16"/>
                <w:szCs w:val="16"/>
              </w:rPr>
              <w:t>年同比下降</w:t>
            </w:r>
            <w:r>
              <w:rPr>
                <w:b w:val="0"/>
                <w:sz w:val="16"/>
                <w:szCs w:val="16"/>
              </w:rPr>
              <w:t xml:space="preserve"> </w:t>
            </w:r>
            <w:r>
              <w:rPr>
                <w:rFonts w:hint="eastAsia"/>
                <w:b w:val="0"/>
                <w:sz w:val="16"/>
                <w:szCs w:val="16"/>
              </w:rPr>
              <w:t>17.2%；2026</w:t>
            </w:r>
            <w:r>
              <w:rPr>
                <w:b w:val="0"/>
                <w:sz w:val="16"/>
                <w:szCs w:val="16"/>
              </w:rPr>
              <w:t xml:space="preserve"> </w:t>
            </w:r>
            <w:r>
              <w:rPr>
                <w:rFonts w:hint="eastAsia"/>
                <w:b w:val="0"/>
                <w:sz w:val="16"/>
                <w:szCs w:val="16"/>
              </w:rPr>
              <w:t>年上半年同比下降</w:t>
            </w:r>
            <w:r>
              <w:rPr>
                <w:b w:val="0"/>
                <w:sz w:val="16"/>
                <w:szCs w:val="16"/>
              </w:rPr>
              <w:t xml:space="preserve"> 18.0%</w:t>
            </w:r>
          </w:p>
        </w:tc>
        <w:tc>
          <w:p w14:paraId="0E99CF0A">
            <w:pPr>
              <w:pStyle w:val="167"/>
              <w:rPr>
                <w:b w:val="0"/>
              </w:rPr>
            </w:pPr>
            <w:r>
              <w:rPr>
                <w:rFonts w:hint="eastAsia"/>
                <w:b w:val="0"/>
                <w:sz w:val="16"/>
                <w:szCs w:val="16"/>
              </w:rPr>
              <w:t>开发端税基和房企资金链继续承压</w:t>
            </w:r>
          </w:p>
        </w:tc>
        <w:tc>
          <w:p w14:paraId="03858F4A">
            <w:pPr>
              <w:pStyle w:val="167"/>
              <w:rPr>
                <w:b w:val="0"/>
              </w:rPr>
            </w:pPr>
            <w:r>
              <w:rPr>
                <w:rFonts w:hint="eastAsia"/>
                <w:b w:val="0"/>
                <w:sz w:val="16"/>
                <w:szCs w:val="16"/>
              </w:rPr>
              <w:t>只能说明开发活动低迷，不能单独换算为具体税种减收</w:t>
            </w:r>
          </w:p>
        </w:tc>
      </w:tr>
      <w:tr w14:paraId="052171F3">
        <w:tc>
          <w:tcPr>
            <w:shd w:val="clear" w:color="auto" w:fill="F3F7FB"/>
          </w:tcPr>
          <w:p w14:paraId="095B85FE">
            <w:pPr>
              <w:pStyle w:val="167"/>
              <w:rPr>
                <w:b w:val="0"/>
              </w:rPr>
            </w:pPr>
            <w:r>
              <w:rPr>
                <w:rFonts w:hint="eastAsia"/>
                <w:b w:val="0"/>
                <w:sz w:val="16"/>
                <w:szCs w:val="16"/>
              </w:rPr>
              <w:t>新建商品房销售面积</w:t>
            </w:r>
          </w:p>
        </w:tc>
        <w:tc>
          <w:tcPr>
            <w:shd w:val="clear" w:color="auto" w:fill="F3F7FB"/>
          </w:tcPr>
          <w:p w14:paraId="05D7435E">
            <w:pPr>
              <w:pStyle w:val="167"/>
              <w:jc w:val="right"/>
              <w:rPr>
                <w:b w:val="0"/>
              </w:rPr>
            </w:pPr>
            <w:r>
              <w:rPr>
                <w:b w:val="0"/>
                <w:sz w:val="16"/>
                <w:szCs w:val="16"/>
              </w:rPr>
              <w:t xml:space="preserve">2025 </w:t>
            </w:r>
            <w:r>
              <w:rPr>
                <w:rFonts w:hint="eastAsia"/>
                <w:b w:val="0"/>
                <w:sz w:val="16"/>
                <w:szCs w:val="16"/>
              </w:rPr>
              <w:t>年</w:t>
            </w:r>
            <w:r>
              <w:rPr>
                <w:b w:val="0"/>
                <w:sz w:val="16"/>
                <w:szCs w:val="16"/>
              </w:rPr>
              <w:t xml:space="preserve"> 88101 </w:t>
            </w:r>
            <w:r>
              <w:rPr>
                <w:rFonts w:hint="eastAsia"/>
                <w:b w:val="0"/>
                <w:sz w:val="16"/>
                <w:szCs w:val="16"/>
              </w:rPr>
              <w:t>万平方米；2026</w:t>
            </w:r>
            <w:r>
              <w:rPr>
                <w:b w:val="0"/>
                <w:sz w:val="16"/>
                <w:szCs w:val="16"/>
              </w:rPr>
              <w:t xml:space="preserve"> </w:t>
            </w:r>
            <w:r>
              <w:rPr>
                <w:rFonts w:hint="eastAsia"/>
                <w:b w:val="0"/>
                <w:sz w:val="16"/>
                <w:szCs w:val="16"/>
              </w:rPr>
              <w:t>年上半年</w:t>
            </w:r>
            <w:r>
              <w:rPr>
                <w:b w:val="0"/>
                <w:sz w:val="16"/>
                <w:szCs w:val="16"/>
              </w:rPr>
              <w:t xml:space="preserve"> 40140 </w:t>
            </w:r>
            <w:r>
              <w:rPr>
                <w:rFonts w:hint="eastAsia"/>
                <w:b w:val="0"/>
                <w:sz w:val="16"/>
                <w:szCs w:val="16"/>
              </w:rPr>
              <w:t>万平方米</w:t>
            </w:r>
          </w:p>
        </w:tc>
        <w:tc>
          <w:tcPr>
            <w:shd w:val="clear" w:color="auto" w:fill="F3F7FB"/>
          </w:tcPr>
          <w:p w14:paraId="634AC7D7">
            <w:pPr>
              <w:pStyle w:val="167"/>
              <w:rPr>
                <w:b w:val="0"/>
              </w:rPr>
            </w:pPr>
            <w:r>
              <w:rPr>
                <w:b w:val="0"/>
                <w:sz w:val="16"/>
                <w:szCs w:val="16"/>
              </w:rPr>
              <w:t xml:space="preserve">2025 </w:t>
            </w:r>
            <w:r>
              <w:rPr>
                <w:rFonts w:hint="eastAsia"/>
                <w:b w:val="0"/>
                <w:sz w:val="16"/>
                <w:szCs w:val="16"/>
              </w:rPr>
              <w:t>年同比下降</w:t>
            </w:r>
            <w:r>
              <w:rPr>
                <w:b w:val="0"/>
                <w:sz w:val="16"/>
                <w:szCs w:val="16"/>
              </w:rPr>
              <w:t xml:space="preserve"> </w:t>
            </w:r>
            <w:r>
              <w:rPr>
                <w:rFonts w:hint="eastAsia"/>
                <w:b w:val="0"/>
                <w:sz w:val="16"/>
                <w:szCs w:val="16"/>
              </w:rPr>
              <w:t>8.7%；2026</w:t>
            </w:r>
            <w:r>
              <w:rPr>
                <w:b w:val="0"/>
                <w:sz w:val="16"/>
                <w:szCs w:val="16"/>
              </w:rPr>
              <w:t xml:space="preserve"> </w:t>
            </w:r>
            <w:r>
              <w:rPr>
                <w:rFonts w:hint="eastAsia"/>
                <w:b w:val="0"/>
                <w:sz w:val="16"/>
                <w:szCs w:val="16"/>
              </w:rPr>
              <w:t>年上半年同比下降</w:t>
            </w:r>
            <w:r>
              <w:rPr>
                <w:b w:val="0"/>
                <w:sz w:val="16"/>
                <w:szCs w:val="16"/>
              </w:rPr>
              <w:t xml:space="preserve"> 11.6%</w:t>
            </w:r>
          </w:p>
        </w:tc>
        <w:tc>
          <w:tcPr>
            <w:shd w:val="clear" w:color="auto" w:fill="F3F7FB"/>
          </w:tcPr>
          <w:p w14:paraId="1D3C2023">
            <w:pPr>
              <w:pStyle w:val="167"/>
              <w:rPr>
                <w:b w:val="0"/>
              </w:rPr>
            </w:pPr>
            <w:r>
              <w:rPr>
                <w:rFonts w:hint="eastAsia"/>
                <w:b w:val="0"/>
                <w:sz w:val="16"/>
                <w:szCs w:val="16"/>
              </w:rPr>
              <w:t>直接影响房屋买卖环节契税税基</w:t>
            </w:r>
          </w:p>
        </w:tc>
        <w:tc>
          <w:tcPr>
            <w:shd w:val="clear" w:color="auto" w:fill="F3F7FB"/>
          </w:tcPr>
          <w:p w14:paraId="4B2324AB">
            <w:pPr>
              <w:pStyle w:val="167"/>
              <w:rPr>
                <w:b w:val="0"/>
              </w:rPr>
            </w:pPr>
            <w:r>
              <w:rPr>
                <w:rFonts w:hint="eastAsia"/>
                <w:b w:val="0"/>
                <w:sz w:val="16"/>
                <w:szCs w:val="16"/>
              </w:rPr>
              <w:t>契税收入还受成交价格、税率优惠和地区结构影响</w:t>
            </w:r>
          </w:p>
        </w:tc>
      </w:tr>
      <w:tr w14:paraId="060B66E7">
        <w:tc>
          <w:p w14:paraId="2CE11A0C">
            <w:pPr>
              <w:pStyle w:val="167"/>
              <w:rPr>
                <w:b w:val="0"/>
              </w:rPr>
            </w:pPr>
            <w:r>
              <w:rPr>
                <w:rFonts w:hint="eastAsia"/>
                <w:b w:val="0"/>
                <w:sz w:val="16"/>
                <w:szCs w:val="16"/>
              </w:rPr>
              <w:t>新建商品房销售额</w:t>
            </w:r>
          </w:p>
        </w:tc>
        <w:tc>
          <w:p w14:paraId="64238EA0">
            <w:pPr>
              <w:pStyle w:val="167"/>
              <w:jc w:val="right"/>
              <w:rPr>
                <w:b w:val="0"/>
              </w:rPr>
            </w:pPr>
            <w:r>
              <w:rPr>
                <w:b w:val="0"/>
                <w:sz w:val="16"/>
                <w:szCs w:val="16"/>
              </w:rPr>
              <w:t xml:space="preserve">2025 </w:t>
            </w:r>
            <w:r>
              <w:rPr>
                <w:rFonts w:hint="eastAsia"/>
                <w:b w:val="0"/>
                <w:sz w:val="16"/>
                <w:szCs w:val="16"/>
              </w:rPr>
              <w:t>年</w:t>
            </w:r>
            <w:r>
              <w:rPr>
                <w:b w:val="0"/>
                <w:sz w:val="16"/>
                <w:szCs w:val="16"/>
              </w:rPr>
              <w:t xml:space="preserve"> 83937 </w:t>
            </w:r>
            <w:r>
              <w:rPr>
                <w:rFonts w:hint="eastAsia"/>
                <w:b w:val="0"/>
                <w:sz w:val="16"/>
                <w:szCs w:val="16"/>
              </w:rPr>
              <w:t>亿元；2026</w:t>
            </w:r>
            <w:r>
              <w:rPr>
                <w:b w:val="0"/>
                <w:sz w:val="16"/>
                <w:szCs w:val="16"/>
              </w:rPr>
              <w:t xml:space="preserve"> </w:t>
            </w:r>
            <w:r>
              <w:rPr>
                <w:rFonts w:hint="eastAsia"/>
                <w:b w:val="0"/>
                <w:sz w:val="16"/>
                <w:szCs w:val="16"/>
              </w:rPr>
              <w:t>年上半年</w:t>
            </w:r>
            <w:r>
              <w:rPr>
                <w:b w:val="0"/>
                <w:sz w:val="16"/>
                <w:szCs w:val="16"/>
              </w:rPr>
              <w:t xml:space="preserve"> 37945 </w:t>
            </w:r>
            <w:r>
              <w:rPr>
                <w:rFonts w:hint="eastAsia"/>
                <w:b w:val="0"/>
                <w:sz w:val="16"/>
                <w:szCs w:val="16"/>
              </w:rPr>
              <w:t>亿元</w:t>
            </w:r>
          </w:p>
        </w:tc>
        <w:tc>
          <w:p w14:paraId="7A28B404">
            <w:pPr>
              <w:pStyle w:val="167"/>
              <w:rPr>
                <w:b w:val="0"/>
              </w:rPr>
            </w:pPr>
            <w:r>
              <w:rPr>
                <w:b w:val="0"/>
                <w:sz w:val="16"/>
                <w:szCs w:val="16"/>
              </w:rPr>
              <w:t xml:space="preserve">2025 </w:t>
            </w:r>
            <w:r>
              <w:rPr>
                <w:rFonts w:hint="eastAsia"/>
                <w:b w:val="0"/>
                <w:sz w:val="16"/>
                <w:szCs w:val="16"/>
              </w:rPr>
              <w:t>年同比下降</w:t>
            </w:r>
            <w:r>
              <w:rPr>
                <w:b w:val="0"/>
                <w:sz w:val="16"/>
                <w:szCs w:val="16"/>
              </w:rPr>
              <w:t xml:space="preserve"> </w:t>
            </w:r>
            <w:r>
              <w:rPr>
                <w:rFonts w:hint="eastAsia"/>
                <w:b w:val="0"/>
                <w:sz w:val="16"/>
                <w:szCs w:val="16"/>
              </w:rPr>
              <w:t>12.6%；2026</w:t>
            </w:r>
            <w:r>
              <w:rPr>
                <w:b w:val="0"/>
                <w:sz w:val="16"/>
                <w:szCs w:val="16"/>
              </w:rPr>
              <w:t xml:space="preserve"> </w:t>
            </w:r>
            <w:r>
              <w:rPr>
                <w:rFonts w:hint="eastAsia"/>
                <w:b w:val="0"/>
                <w:sz w:val="16"/>
                <w:szCs w:val="16"/>
              </w:rPr>
              <w:t>年上半年同比下降</w:t>
            </w:r>
            <w:r>
              <w:rPr>
                <w:b w:val="0"/>
                <w:sz w:val="16"/>
                <w:szCs w:val="16"/>
              </w:rPr>
              <w:t xml:space="preserve"> 13.6%</w:t>
            </w:r>
          </w:p>
        </w:tc>
        <w:tc>
          <w:p w14:paraId="51D0CB27">
            <w:pPr>
              <w:pStyle w:val="167"/>
              <w:rPr>
                <w:b w:val="0"/>
              </w:rPr>
            </w:pPr>
            <w:r>
              <w:rPr>
                <w:rFonts w:hint="eastAsia"/>
                <w:b w:val="0"/>
                <w:sz w:val="16"/>
                <w:szCs w:val="16"/>
              </w:rPr>
              <w:t>交易金额下降强化契税和开发销售相关税收压力</w:t>
            </w:r>
          </w:p>
        </w:tc>
        <w:tc>
          <w:p w14:paraId="2976308A">
            <w:pPr>
              <w:pStyle w:val="167"/>
              <w:rPr>
                <w:b w:val="0"/>
              </w:rPr>
            </w:pPr>
            <w:r>
              <w:rPr>
                <w:rFonts w:hint="eastAsia"/>
                <w:b w:val="0"/>
                <w:sz w:val="16"/>
                <w:szCs w:val="16"/>
              </w:rPr>
              <w:t>不能拆分为成交量、价格和政策因素各自贡献</w:t>
            </w:r>
          </w:p>
        </w:tc>
      </w:tr>
      <w:tr w14:paraId="53AB4B3A">
        <w:tc>
          <w:tcPr>
            <w:shd w:val="clear" w:color="auto" w:fill="F3F7FB"/>
          </w:tcPr>
          <w:p w14:paraId="4DDDB4AF">
            <w:pPr>
              <w:pStyle w:val="167"/>
              <w:rPr>
                <w:b w:val="0"/>
              </w:rPr>
            </w:pPr>
            <w:r>
              <w:rPr>
                <w:rFonts w:hint="eastAsia"/>
                <w:b w:val="0"/>
                <w:sz w:val="16"/>
                <w:szCs w:val="16"/>
              </w:rPr>
              <w:t>契税</w:t>
            </w:r>
          </w:p>
        </w:tc>
        <w:tc>
          <w:tcPr>
            <w:shd w:val="clear" w:color="auto" w:fill="F3F7FB"/>
          </w:tcPr>
          <w:p w14:paraId="3341843F">
            <w:pPr>
              <w:pStyle w:val="167"/>
              <w:jc w:val="right"/>
              <w:rPr>
                <w:b w:val="0"/>
              </w:rPr>
            </w:pPr>
            <w:r>
              <w:rPr>
                <w:b w:val="0"/>
                <w:sz w:val="16"/>
                <w:szCs w:val="16"/>
              </w:rPr>
              <w:t xml:space="preserve">2025 </w:t>
            </w:r>
            <w:r>
              <w:rPr>
                <w:rFonts w:hint="eastAsia"/>
                <w:b w:val="0"/>
                <w:sz w:val="16"/>
                <w:szCs w:val="16"/>
              </w:rPr>
              <w:t>年</w:t>
            </w:r>
            <w:r>
              <w:rPr>
                <w:b w:val="0"/>
                <w:sz w:val="16"/>
                <w:szCs w:val="16"/>
              </w:rPr>
              <w:t xml:space="preserve"> 4440 </w:t>
            </w:r>
            <w:r>
              <w:rPr>
                <w:rFonts w:hint="eastAsia"/>
                <w:b w:val="0"/>
                <w:sz w:val="16"/>
                <w:szCs w:val="16"/>
              </w:rPr>
              <w:t>亿元；2026</w:t>
            </w:r>
            <w:r>
              <w:rPr>
                <w:b w:val="0"/>
                <w:sz w:val="16"/>
                <w:szCs w:val="16"/>
              </w:rPr>
              <w:t xml:space="preserve"> </w:t>
            </w:r>
            <w:r>
              <w:rPr>
                <w:rFonts w:hint="eastAsia"/>
                <w:b w:val="0"/>
                <w:sz w:val="16"/>
                <w:szCs w:val="16"/>
              </w:rPr>
              <w:t>年上半年</w:t>
            </w:r>
            <w:r>
              <w:rPr>
                <w:b w:val="0"/>
                <w:sz w:val="16"/>
                <w:szCs w:val="16"/>
              </w:rPr>
              <w:t xml:space="preserve"> 2019 </w:t>
            </w:r>
            <w:r>
              <w:rPr>
                <w:rFonts w:hint="eastAsia"/>
                <w:b w:val="0"/>
                <w:sz w:val="16"/>
                <w:szCs w:val="16"/>
              </w:rPr>
              <w:t>亿元</w:t>
            </w:r>
          </w:p>
        </w:tc>
        <w:tc>
          <w:tcPr>
            <w:shd w:val="clear" w:color="auto" w:fill="F3F7FB"/>
          </w:tcPr>
          <w:p w14:paraId="4EA6FB98">
            <w:pPr>
              <w:pStyle w:val="167"/>
              <w:rPr>
                <w:b w:val="0"/>
              </w:rPr>
            </w:pPr>
            <w:r>
              <w:rPr>
                <w:b w:val="0"/>
                <w:sz w:val="16"/>
                <w:szCs w:val="16"/>
              </w:rPr>
              <w:t xml:space="preserve">2025 </w:t>
            </w:r>
            <w:r>
              <w:rPr>
                <w:rFonts w:hint="eastAsia"/>
                <w:b w:val="0"/>
                <w:sz w:val="16"/>
                <w:szCs w:val="16"/>
              </w:rPr>
              <w:t>年同比下降</w:t>
            </w:r>
            <w:r>
              <w:rPr>
                <w:b w:val="0"/>
                <w:sz w:val="16"/>
                <w:szCs w:val="16"/>
              </w:rPr>
              <w:t xml:space="preserve"> </w:t>
            </w:r>
            <w:r>
              <w:rPr>
                <w:rFonts w:hint="eastAsia"/>
                <w:b w:val="0"/>
                <w:sz w:val="16"/>
                <w:szCs w:val="16"/>
              </w:rPr>
              <w:t>14.1%；2026</w:t>
            </w:r>
            <w:r>
              <w:rPr>
                <w:b w:val="0"/>
                <w:sz w:val="16"/>
                <w:szCs w:val="16"/>
              </w:rPr>
              <w:t xml:space="preserve"> </w:t>
            </w:r>
            <w:r>
              <w:rPr>
                <w:rFonts w:hint="eastAsia"/>
                <w:b w:val="0"/>
                <w:sz w:val="16"/>
                <w:szCs w:val="16"/>
              </w:rPr>
              <w:t>年上半年同比下降</w:t>
            </w:r>
            <w:r>
              <w:rPr>
                <w:b w:val="0"/>
                <w:sz w:val="16"/>
                <w:szCs w:val="16"/>
              </w:rPr>
              <w:t xml:space="preserve"> 14.7%</w:t>
            </w:r>
          </w:p>
        </w:tc>
        <w:tc>
          <w:tcPr>
            <w:shd w:val="clear" w:color="auto" w:fill="F3F7FB"/>
          </w:tcPr>
          <w:p w14:paraId="417F4165">
            <w:pPr>
              <w:pStyle w:val="167"/>
              <w:rPr>
                <w:b w:val="0"/>
              </w:rPr>
            </w:pPr>
            <w:r>
              <w:rPr>
                <w:rFonts w:hint="eastAsia"/>
                <w:b w:val="0"/>
                <w:sz w:val="16"/>
                <w:szCs w:val="16"/>
              </w:rPr>
              <w:t>房屋买卖和土地、房屋权属转移环节的地方固定收入明显下滑</w:t>
            </w:r>
          </w:p>
        </w:tc>
        <w:tc>
          <w:tcPr>
            <w:shd w:val="clear" w:color="auto" w:fill="F3F7FB"/>
          </w:tcPr>
          <w:p w14:paraId="3A0F0919">
            <w:pPr>
              <w:pStyle w:val="167"/>
              <w:rPr>
                <w:b w:val="0"/>
              </w:rPr>
            </w:pPr>
            <w:r>
              <w:rPr>
                <w:b w:val="0"/>
                <w:sz w:val="16"/>
                <w:szCs w:val="16"/>
              </w:rPr>
              <w:t xml:space="preserve">2024 </w:t>
            </w:r>
            <w:r>
              <w:rPr>
                <w:rFonts w:hint="eastAsia"/>
                <w:b w:val="0"/>
                <w:sz w:val="16"/>
                <w:szCs w:val="16"/>
              </w:rPr>
              <w:t>年底住房契税优惠会影响收入，公开资料未披露实际减收额</w:t>
            </w:r>
          </w:p>
        </w:tc>
      </w:tr>
      <w:tr w14:paraId="50F7A0B9">
        <w:tc>
          <w:p w14:paraId="7871A1D6">
            <w:pPr>
              <w:pStyle w:val="167"/>
              <w:rPr>
                <w:b w:val="0"/>
              </w:rPr>
            </w:pPr>
            <w:r>
              <w:rPr>
                <w:rFonts w:hint="eastAsia"/>
                <w:b w:val="0"/>
                <w:sz w:val="16"/>
                <w:szCs w:val="16"/>
              </w:rPr>
              <w:t>土地增值税</w:t>
            </w:r>
          </w:p>
        </w:tc>
        <w:tc>
          <w:p w14:paraId="75AF14FA">
            <w:pPr>
              <w:pStyle w:val="167"/>
              <w:jc w:val="right"/>
              <w:rPr>
                <w:b w:val="0"/>
              </w:rPr>
            </w:pPr>
            <w:r>
              <w:rPr>
                <w:b w:val="0"/>
                <w:sz w:val="16"/>
                <w:szCs w:val="16"/>
              </w:rPr>
              <w:t xml:space="preserve">2025 </w:t>
            </w:r>
            <w:r>
              <w:rPr>
                <w:rFonts w:hint="eastAsia"/>
                <w:b w:val="0"/>
                <w:sz w:val="16"/>
                <w:szCs w:val="16"/>
              </w:rPr>
              <w:t>年</w:t>
            </w:r>
            <w:r>
              <w:rPr>
                <w:b w:val="0"/>
                <w:sz w:val="16"/>
                <w:szCs w:val="16"/>
              </w:rPr>
              <w:t xml:space="preserve"> 4102 </w:t>
            </w:r>
            <w:r>
              <w:rPr>
                <w:rFonts w:hint="eastAsia"/>
                <w:b w:val="0"/>
                <w:sz w:val="16"/>
                <w:szCs w:val="16"/>
              </w:rPr>
              <w:t>亿元；2026</w:t>
            </w:r>
            <w:r>
              <w:rPr>
                <w:b w:val="0"/>
                <w:sz w:val="16"/>
                <w:szCs w:val="16"/>
              </w:rPr>
              <w:t xml:space="preserve"> </w:t>
            </w:r>
            <w:r>
              <w:rPr>
                <w:rFonts w:hint="eastAsia"/>
                <w:b w:val="0"/>
                <w:sz w:val="16"/>
                <w:szCs w:val="16"/>
              </w:rPr>
              <w:t>年上半年</w:t>
            </w:r>
            <w:r>
              <w:rPr>
                <w:b w:val="0"/>
                <w:sz w:val="16"/>
                <w:szCs w:val="16"/>
              </w:rPr>
              <w:t xml:space="preserve"> 2146 </w:t>
            </w:r>
            <w:r>
              <w:rPr>
                <w:rFonts w:hint="eastAsia"/>
                <w:b w:val="0"/>
                <w:sz w:val="16"/>
                <w:szCs w:val="16"/>
              </w:rPr>
              <w:t>亿元</w:t>
            </w:r>
          </w:p>
        </w:tc>
        <w:tc>
          <w:p w14:paraId="50892943">
            <w:pPr>
              <w:pStyle w:val="167"/>
              <w:rPr>
                <w:b w:val="0"/>
              </w:rPr>
            </w:pPr>
            <w:r>
              <w:rPr>
                <w:b w:val="0"/>
                <w:sz w:val="16"/>
                <w:szCs w:val="16"/>
              </w:rPr>
              <w:t xml:space="preserve">2025 </w:t>
            </w:r>
            <w:r>
              <w:rPr>
                <w:rFonts w:hint="eastAsia"/>
                <w:b w:val="0"/>
                <w:sz w:val="16"/>
                <w:szCs w:val="16"/>
              </w:rPr>
              <w:t>年同比下降</w:t>
            </w:r>
            <w:r>
              <w:rPr>
                <w:b w:val="0"/>
                <w:sz w:val="16"/>
                <w:szCs w:val="16"/>
              </w:rPr>
              <w:t xml:space="preserve"> </w:t>
            </w:r>
            <w:r>
              <w:rPr>
                <w:rFonts w:hint="eastAsia"/>
                <w:b w:val="0"/>
                <w:sz w:val="16"/>
                <w:szCs w:val="16"/>
              </w:rPr>
              <w:t>15.7%；2026</w:t>
            </w:r>
            <w:r>
              <w:rPr>
                <w:b w:val="0"/>
                <w:sz w:val="16"/>
                <w:szCs w:val="16"/>
              </w:rPr>
              <w:t xml:space="preserve"> </w:t>
            </w:r>
            <w:r>
              <w:rPr>
                <w:rFonts w:hint="eastAsia"/>
                <w:b w:val="0"/>
                <w:sz w:val="16"/>
                <w:szCs w:val="16"/>
              </w:rPr>
              <w:t>年上半年同比下降</w:t>
            </w:r>
            <w:r>
              <w:rPr>
                <w:b w:val="0"/>
                <w:sz w:val="16"/>
                <w:szCs w:val="16"/>
              </w:rPr>
              <w:t xml:space="preserve"> 15.3%</w:t>
            </w:r>
          </w:p>
        </w:tc>
        <w:tc>
          <w:p w14:paraId="34B10D4F">
            <w:pPr>
              <w:pStyle w:val="167"/>
              <w:rPr>
                <w:b w:val="0"/>
              </w:rPr>
            </w:pPr>
            <w:r>
              <w:rPr>
                <w:rFonts w:hint="eastAsia"/>
                <w:b w:val="0"/>
                <w:sz w:val="16"/>
                <w:szCs w:val="16"/>
              </w:rPr>
              <w:t>开发销售或转让房地产取得增值额对应税收继续收缩</w:t>
            </w:r>
          </w:p>
        </w:tc>
        <w:tc>
          <w:p w14:paraId="440CEA89">
            <w:pPr>
              <w:pStyle w:val="167"/>
              <w:rPr>
                <w:b w:val="0"/>
              </w:rPr>
            </w:pPr>
            <w:r>
              <w:rPr>
                <w:rFonts w:hint="eastAsia"/>
                <w:b w:val="0"/>
                <w:sz w:val="16"/>
                <w:szCs w:val="16"/>
              </w:rPr>
              <w:t>受增值额、预征率和清算节奏影响，不能全部归因于销售下滑</w:t>
            </w:r>
          </w:p>
        </w:tc>
      </w:tr>
      <w:tr w14:paraId="5070EE83">
        <w:tc>
          <w:tcPr>
            <w:shd w:val="clear" w:color="auto" w:fill="F3F7FB"/>
          </w:tcPr>
          <w:p w14:paraId="291EE77F">
            <w:pPr>
              <w:pStyle w:val="167"/>
              <w:rPr>
                <w:b w:val="0"/>
              </w:rPr>
            </w:pPr>
            <w:r>
              <w:rPr>
                <w:rFonts w:hint="eastAsia"/>
                <w:b w:val="0"/>
                <w:sz w:val="16"/>
                <w:szCs w:val="16"/>
              </w:rPr>
              <w:t>房产税</w:t>
            </w:r>
          </w:p>
        </w:tc>
        <w:tc>
          <w:tcPr>
            <w:shd w:val="clear" w:color="auto" w:fill="F3F7FB"/>
          </w:tcPr>
          <w:p w14:paraId="2E75701F">
            <w:pPr>
              <w:pStyle w:val="167"/>
              <w:jc w:val="right"/>
              <w:rPr>
                <w:b w:val="0"/>
              </w:rPr>
            </w:pPr>
            <w:r>
              <w:rPr>
                <w:b w:val="0"/>
                <w:sz w:val="16"/>
                <w:szCs w:val="16"/>
              </w:rPr>
              <w:t xml:space="preserve">2025 </w:t>
            </w:r>
            <w:r>
              <w:rPr>
                <w:rFonts w:hint="eastAsia"/>
                <w:b w:val="0"/>
                <w:sz w:val="16"/>
                <w:szCs w:val="16"/>
              </w:rPr>
              <w:t>年</w:t>
            </w:r>
            <w:r>
              <w:rPr>
                <w:b w:val="0"/>
                <w:sz w:val="16"/>
                <w:szCs w:val="16"/>
              </w:rPr>
              <w:t xml:space="preserve"> 5212 </w:t>
            </w:r>
            <w:r>
              <w:rPr>
                <w:rFonts w:hint="eastAsia"/>
                <w:b w:val="0"/>
                <w:sz w:val="16"/>
                <w:szCs w:val="16"/>
              </w:rPr>
              <w:t>亿元；2026</w:t>
            </w:r>
            <w:r>
              <w:rPr>
                <w:b w:val="0"/>
                <w:sz w:val="16"/>
                <w:szCs w:val="16"/>
              </w:rPr>
              <w:t xml:space="preserve"> </w:t>
            </w:r>
            <w:r>
              <w:rPr>
                <w:rFonts w:hint="eastAsia"/>
                <w:b w:val="0"/>
                <w:sz w:val="16"/>
                <w:szCs w:val="16"/>
              </w:rPr>
              <w:t>年上半年</w:t>
            </w:r>
            <w:r>
              <w:rPr>
                <w:b w:val="0"/>
                <w:sz w:val="16"/>
                <w:szCs w:val="16"/>
              </w:rPr>
              <w:t xml:space="preserve"> 2782 </w:t>
            </w:r>
            <w:r>
              <w:rPr>
                <w:rFonts w:hint="eastAsia"/>
                <w:b w:val="0"/>
                <w:sz w:val="16"/>
                <w:szCs w:val="16"/>
              </w:rPr>
              <w:t>亿元</w:t>
            </w:r>
          </w:p>
        </w:tc>
        <w:tc>
          <w:tcPr>
            <w:shd w:val="clear" w:color="auto" w:fill="F3F7FB"/>
          </w:tcPr>
          <w:p w14:paraId="13CE4E7A">
            <w:pPr>
              <w:pStyle w:val="167"/>
              <w:rPr>
                <w:b w:val="0"/>
              </w:rPr>
            </w:pPr>
            <w:r>
              <w:rPr>
                <w:b w:val="0"/>
                <w:sz w:val="16"/>
                <w:szCs w:val="16"/>
              </w:rPr>
              <w:t xml:space="preserve">2025 </w:t>
            </w:r>
            <w:r>
              <w:rPr>
                <w:rFonts w:hint="eastAsia"/>
                <w:b w:val="0"/>
                <w:sz w:val="16"/>
                <w:szCs w:val="16"/>
              </w:rPr>
              <w:t>年同比增长</w:t>
            </w:r>
            <w:r>
              <w:rPr>
                <w:b w:val="0"/>
                <w:sz w:val="16"/>
                <w:szCs w:val="16"/>
              </w:rPr>
              <w:t xml:space="preserve"> </w:t>
            </w:r>
            <w:r>
              <w:rPr>
                <w:rFonts w:hint="eastAsia"/>
                <w:b w:val="0"/>
                <w:sz w:val="16"/>
                <w:szCs w:val="16"/>
              </w:rPr>
              <w:t>10.8%；2026</w:t>
            </w:r>
            <w:r>
              <w:rPr>
                <w:b w:val="0"/>
                <w:sz w:val="16"/>
                <w:szCs w:val="16"/>
              </w:rPr>
              <w:t xml:space="preserve"> </w:t>
            </w:r>
            <w:r>
              <w:rPr>
                <w:rFonts w:hint="eastAsia"/>
                <w:b w:val="0"/>
                <w:sz w:val="16"/>
                <w:szCs w:val="16"/>
              </w:rPr>
              <w:t>年上半年同比增长</w:t>
            </w:r>
            <w:r>
              <w:rPr>
                <w:b w:val="0"/>
                <w:sz w:val="16"/>
                <w:szCs w:val="16"/>
              </w:rPr>
              <w:t xml:space="preserve"> 6.3%</w:t>
            </w:r>
          </w:p>
        </w:tc>
        <w:tc>
          <w:tcPr>
            <w:shd w:val="clear" w:color="auto" w:fill="F3F7FB"/>
          </w:tcPr>
          <w:p w14:paraId="1AFB1CDD">
            <w:pPr>
              <w:pStyle w:val="167"/>
              <w:rPr>
                <w:b w:val="0"/>
              </w:rPr>
            </w:pPr>
            <w:r>
              <w:rPr>
                <w:rFonts w:hint="eastAsia"/>
                <w:b w:val="0"/>
                <w:sz w:val="16"/>
                <w:szCs w:val="16"/>
              </w:rPr>
              <w:t>持有或出租环节税收对交易下行不作同向同步反应</w:t>
            </w:r>
          </w:p>
        </w:tc>
        <w:tc>
          <w:tcPr>
            <w:shd w:val="clear" w:color="auto" w:fill="F3F7FB"/>
          </w:tcPr>
          <w:p w14:paraId="287FB2C7">
            <w:pPr>
              <w:pStyle w:val="167"/>
              <w:rPr>
                <w:b w:val="0"/>
              </w:rPr>
            </w:pPr>
            <w:r>
              <w:rPr>
                <w:rFonts w:hint="eastAsia"/>
                <w:b w:val="0"/>
                <w:sz w:val="16"/>
                <w:szCs w:val="16"/>
              </w:rPr>
              <w:t>增长不代表房地产景气恢复，只说明该税基与交易税基不同</w:t>
            </w:r>
          </w:p>
        </w:tc>
      </w:tr>
      <w:tr w14:paraId="3EAFD420">
        <w:tc>
          <w:p w14:paraId="789BA079">
            <w:pPr>
              <w:pStyle w:val="167"/>
              <w:rPr>
                <w:b w:val="0"/>
              </w:rPr>
            </w:pPr>
            <w:r>
              <w:rPr>
                <w:rFonts w:hint="eastAsia"/>
                <w:b w:val="0"/>
                <w:sz w:val="16"/>
                <w:szCs w:val="16"/>
              </w:rPr>
              <w:t>城镇土地使用税</w:t>
            </w:r>
          </w:p>
        </w:tc>
        <w:tc>
          <w:p w14:paraId="74989D44">
            <w:pPr>
              <w:pStyle w:val="167"/>
              <w:jc w:val="right"/>
              <w:rPr>
                <w:b w:val="0"/>
              </w:rPr>
            </w:pPr>
            <w:r>
              <w:rPr>
                <w:b w:val="0"/>
                <w:sz w:val="16"/>
                <w:szCs w:val="16"/>
              </w:rPr>
              <w:t xml:space="preserve">2025 </w:t>
            </w:r>
            <w:r>
              <w:rPr>
                <w:rFonts w:hint="eastAsia"/>
                <w:b w:val="0"/>
                <w:sz w:val="16"/>
                <w:szCs w:val="16"/>
              </w:rPr>
              <w:t>年</w:t>
            </w:r>
            <w:r>
              <w:rPr>
                <w:b w:val="0"/>
                <w:sz w:val="16"/>
                <w:szCs w:val="16"/>
              </w:rPr>
              <w:t xml:space="preserve"> 2551 </w:t>
            </w:r>
            <w:r>
              <w:rPr>
                <w:rFonts w:hint="eastAsia"/>
                <w:b w:val="0"/>
                <w:sz w:val="16"/>
                <w:szCs w:val="16"/>
              </w:rPr>
              <w:t>亿元；2026</w:t>
            </w:r>
            <w:r>
              <w:rPr>
                <w:b w:val="0"/>
                <w:sz w:val="16"/>
                <w:szCs w:val="16"/>
              </w:rPr>
              <w:t xml:space="preserve"> </w:t>
            </w:r>
            <w:r>
              <w:rPr>
                <w:rFonts w:hint="eastAsia"/>
                <w:b w:val="0"/>
                <w:sz w:val="16"/>
                <w:szCs w:val="16"/>
              </w:rPr>
              <w:t>年上半年</w:t>
            </w:r>
            <w:r>
              <w:rPr>
                <w:b w:val="0"/>
                <w:sz w:val="16"/>
                <w:szCs w:val="16"/>
              </w:rPr>
              <w:t xml:space="preserve"> 1408 </w:t>
            </w:r>
            <w:r>
              <w:rPr>
                <w:rFonts w:hint="eastAsia"/>
                <w:b w:val="0"/>
                <w:sz w:val="16"/>
                <w:szCs w:val="16"/>
              </w:rPr>
              <w:t>亿元</w:t>
            </w:r>
          </w:p>
        </w:tc>
        <w:tc>
          <w:p w14:paraId="4AE7593C">
            <w:pPr>
              <w:pStyle w:val="167"/>
              <w:rPr>
                <w:b w:val="0"/>
              </w:rPr>
            </w:pPr>
            <w:r>
              <w:rPr>
                <w:b w:val="0"/>
                <w:sz w:val="16"/>
                <w:szCs w:val="16"/>
              </w:rPr>
              <w:t xml:space="preserve">2025 </w:t>
            </w:r>
            <w:r>
              <w:rPr>
                <w:rFonts w:hint="eastAsia"/>
                <w:b w:val="0"/>
                <w:sz w:val="16"/>
                <w:szCs w:val="16"/>
              </w:rPr>
              <w:t>年同比增长</w:t>
            </w:r>
            <w:r>
              <w:rPr>
                <w:b w:val="0"/>
                <w:sz w:val="16"/>
                <w:szCs w:val="16"/>
              </w:rPr>
              <w:t xml:space="preserve"> </w:t>
            </w:r>
            <w:r>
              <w:rPr>
                <w:rFonts w:hint="eastAsia"/>
                <w:b w:val="0"/>
                <w:sz w:val="16"/>
                <w:szCs w:val="16"/>
              </w:rPr>
              <w:t>5.2%；2026</w:t>
            </w:r>
            <w:r>
              <w:rPr>
                <w:b w:val="0"/>
                <w:sz w:val="16"/>
                <w:szCs w:val="16"/>
              </w:rPr>
              <w:t xml:space="preserve"> </w:t>
            </w:r>
            <w:r>
              <w:rPr>
                <w:rFonts w:hint="eastAsia"/>
                <w:b w:val="0"/>
                <w:sz w:val="16"/>
                <w:szCs w:val="16"/>
              </w:rPr>
              <w:t>年上半年同比增长</w:t>
            </w:r>
            <w:r>
              <w:rPr>
                <w:b w:val="0"/>
                <w:sz w:val="16"/>
                <w:szCs w:val="16"/>
              </w:rPr>
              <w:t xml:space="preserve"> 2.6%</w:t>
            </w:r>
          </w:p>
        </w:tc>
        <w:tc>
          <w:p w14:paraId="0C8C68FB">
            <w:pPr>
              <w:pStyle w:val="167"/>
              <w:rPr>
                <w:b w:val="0"/>
              </w:rPr>
            </w:pPr>
            <w:r>
              <w:rPr>
                <w:rFonts w:hint="eastAsia"/>
                <w:b w:val="0"/>
                <w:sz w:val="16"/>
                <w:szCs w:val="16"/>
              </w:rPr>
              <w:t>土地占用类地方固定收入仍有支撑</w:t>
            </w:r>
          </w:p>
        </w:tc>
        <w:tc>
          <w:p w14:paraId="69A60CD0">
            <w:pPr>
              <w:pStyle w:val="167"/>
              <w:rPr>
                <w:b w:val="0"/>
              </w:rPr>
            </w:pPr>
            <w:r>
              <w:rPr>
                <w:rFonts w:hint="eastAsia"/>
                <w:b w:val="0"/>
                <w:sz w:val="16"/>
                <w:szCs w:val="16"/>
              </w:rPr>
              <w:t>与商品房成交低迷的传导链较间接</w:t>
            </w:r>
          </w:p>
        </w:tc>
      </w:tr>
      <w:tr w14:paraId="5540DACA">
        <w:tc>
          <w:tcPr>
            <w:shd w:val="clear" w:color="auto" w:fill="F3F7FB"/>
          </w:tcPr>
          <w:p w14:paraId="29FAE67C">
            <w:pPr>
              <w:pStyle w:val="167"/>
              <w:rPr>
                <w:b w:val="0"/>
              </w:rPr>
            </w:pPr>
            <w:r>
              <w:rPr>
                <w:rFonts w:hint="eastAsia"/>
                <w:b w:val="0"/>
                <w:sz w:val="16"/>
                <w:szCs w:val="16"/>
              </w:rPr>
              <w:t>耕地占用税</w:t>
            </w:r>
          </w:p>
        </w:tc>
        <w:tc>
          <w:tcPr>
            <w:shd w:val="clear" w:color="auto" w:fill="F3F7FB"/>
          </w:tcPr>
          <w:p w14:paraId="6AB2DD92">
            <w:pPr>
              <w:pStyle w:val="167"/>
              <w:jc w:val="right"/>
              <w:rPr>
                <w:b w:val="0"/>
              </w:rPr>
            </w:pPr>
            <w:r>
              <w:rPr>
                <w:b w:val="0"/>
                <w:sz w:val="16"/>
                <w:szCs w:val="16"/>
              </w:rPr>
              <w:t xml:space="preserve">2025 </w:t>
            </w:r>
            <w:r>
              <w:rPr>
                <w:rFonts w:hint="eastAsia"/>
                <w:b w:val="0"/>
                <w:sz w:val="16"/>
                <w:szCs w:val="16"/>
              </w:rPr>
              <w:t>年</w:t>
            </w:r>
            <w:r>
              <w:rPr>
                <w:b w:val="0"/>
                <w:sz w:val="16"/>
                <w:szCs w:val="16"/>
              </w:rPr>
              <w:t xml:space="preserve"> 1421 </w:t>
            </w:r>
            <w:r>
              <w:rPr>
                <w:rFonts w:hint="eastAsia"/>
                <w:b w:val="0"/>
                <w:sz w:val="16"/>
                <w:szCs w:val="16"/>
              </w:rPr>
              <w:t>亿元；2026</w:t>
            </w:r>
            <w:r>
              <w:rPr>
                <w:b w:val="0"/>
                <w:sz w:val="16"/>
                <w:szCs w:val="16"/>
              </w:rPr>
              <w:t xml:space="preserve"> </w:t>
            </w:r>
            <w:r>
              <w:rPr>
                <w:rFonts w:hint="eastAsia"/>
                <w:b w:val="0"/>
                <w:sz w:val="16"/>
                <w:szCs w:val="16"/>
              </w:rPr>
              <w:t>年上半年</w:t>
            </w:r>
            <w:r>
              <w:rPr>
                <w:b w:val="0"/>
                <w:sz w:val="16"/>
                <w:szCs w:val="16"/>
              </w:rPr>
              <w:t xml:space="preserve"> 830 </w:t>
            </w:r>
            <w:r>
              <w:rPr>
                <w:rFonts w:hint="eastAsia"/>
                <w:b w:val="0"/>
                <w:sz w:val="16"/>
                <w:szCs w:val="16"/>
              </w:rPr>
              <w:t>亿元</w:t>
            </w:r>
          </w:p>
        </w:tc>
        <w:tc>
          <w:tcPr>
            <w:shd w:val="clear" w:color="auto" w:fill="F3F7FB"/>
          </w:tcPr>
          <w:p w14:paraId="254C19B2">
            <w:pPr>
              <w:pStyle w:val="167"/>
              <w:rPr>
                <w:b w:val="0"/>
              </w:rPr>
            </w:pPr>
            <w:r>
              <w:rPr>
                <w:b w:val="0"/>
                <w:sz w:val="16"/>
                <w:szCs w:val="16"/>
              </w:rPr>
              <w:t xml:space="preserve">2025 </w:t>
            </w:r>
            <w:r>
              <w:rPr>
                <w:rFonts w:hint="eastAsia"/>
                <w:b w:val="0"/>
                <w:sz w:val="16"/>
                <w:szCs w:val="16"/>
              </w:rPr>
              <w:t>年同比增长</w:t>
            </w:r>
            <w:r>
              <w:rPr>
                <w:b w:val="0"/>
                <w:sz w:val="16"/>
                <w:szCs w:val="16"/>
              </w:rPr>
              <w:t xml:space="preserve"> </w:t>
            </w:r>
            <w:r>
              <w:rPr>
                <w:rFonts w:hint="eastAsia"/>
                <w:b w:val="0"/>
                <w:sz w:val="16"/>
                <w:szCs w:val="16"/>
              </w:rPr>
              <w:t>3.9%；2026</w:t>
            </w:r>
            <w:r>
              <w:rPr>
                <w:b w:val="0"/>
                <w:sz w:val="16"/>
                <w:szCs w:val="16"/>
              </w:rPr>
              <w:t xml:space="preserve"> </w:t>
            </w:r>
            <w:r>
              <w:rPr>
                <w:rFonts w:hint="eastAsia"/>
                <w:b w:val="0"/>
                <w:sz w:val="16"/>
                <w:szCs w:val="16"/>
              </w:rPr>
              <w:t>年上半年同比下降</w:t>
            </w:r>
            <w:r>
              <w:rPr>
                <w:b w:val="0"/>
                <w:sz w:val="16"/>
                <w:szCs w:val="16"/>
              </w:rPr>
              <w:t xml:space="preserve"> 3.5%</w:t>
            </w:r>
          </w:p>
        </w:tc>
        <w:tc>
          <w:tcPr>
            <w:shd w:val="clear" w:color="auto" w:fill="F3F7FB"/>
          </w:tcPr>
          <w:p w14:paraId="547CF6C4">
            <w:pPr>
              <w:pStyle w:val="167"/>
              <w:rPr>
                <w:b w:val="0"/>
              </w:rPr>
            </w:pPr>
            <w:r>
              <w:rPr>
                <w:rFonts w:hint="eastAsia"/>
                <w:b w:val="0"/>
                <w:sz w:val="16"/>
                <w:szCs w:val="16"/>
              </w:rPr>
              <w:t>一次性占用耕地税种对新增建设活动有边际信号</w:t>
            </w:r>
          </w:p>
        </w:tc>
        <w:tc>
          <w:tcPr>
            <w:shd w:val="clear" w:color="auto" w:fill="F3F7FB"/>
          </w:tcPr>
          <w:p w14:paraId="0A0175C0">
            <w:pPr>
              <w:pStyle w:val="167"/>
              <w:rPr>
                <w:b w:val="0"/>
              </w:rPr>
            </w:pPr>
            <w:r>
              <w:rPr>
                <w:rFonts w:hint="eastAsia"/>
                <w:b w:val="0"/>
                <w:sz w:val="16"/>
                <w:szCs w:val="16"/>
              </w:rPr>
              <w:t>波动受占用耕地项目节奏影响，不能等同于住宅市场税收</w:t>
            </w:r>
          </w:p>
        </w:tc>
      </w:tr>
      <w:tr w14:paraId="2F683905">
        <w:tc>
          <w:p w14:paraId="3F57A3E9">
            <w:pPr>
              <w:pStyle w:val="167"/>
              <w:rPr>
                <w:b w:val="0"/>
              </w:rPr>
            </w:pPr>
            <w:r>
              <w:rPr>
                <w:rFonts w:hint="eastAsia"/>
                <w:b w:val="0"/>
                <w:sz w:val="16"/>
                <w:szCs w:val="16"/>
              </w:rPr>
              <w:t>五项土地和房地产相关税合计</w:t>
            </w:r>
          </w:p>
        </w:tc>
        <w:tc>
          <w:p w14:paraId="2FD95B43">
            <w:pPr>
              <w:pStyle w:val="167"/>
              <w:jc w:val="right"/>
              <w:rPr>
                <w:b w:val="0"/>
              </w:rPr>
            </w:pPr>
            <w:r>
              <w:rPr>
                <w:b w:val="0"/>
                <w:sz w:val="16"/>
                <w:szCs w:val="16"/>
              </w:rPr>
              <w:t xml:space="preserve">2025 </w:t>
            </w:r>
            <w:r>
              <w:rPr>
                <w:rFonts w:hint="eastAsia"/>
                <w:b w:val="0"/>
                <w:sz w:val="16"/>
                <w:szCs w:val="16"/>
              </w:rPr>
              <w:t>年约</w:t>
            </w:r>
            <w:r>
              <w:rPr>
                <w:b w:val="0"/>
                <w:sz w:val="16"/>
                <w:szCs w:val="16"/>
              </w:rPr>
              <w:t xml:space="preserve"> 17726 </w:t>
            </w:r>
            <w:r>
              <w:rPr>
                <w:rFonts w:hint="eastAsia"/>
                <w:b w:val="0"/>
                <w:sz w:val="16"/>
                <w:szCs w:val="16"/>
              </w:rPr>
              <w:t>亿元；2026</w:t>
            </w:r>
            <w:r>
              <w:rPr>
                <w:b w:val="0"/>
                <w:sz w:val="16"/>
                <w:szCs w:val="16"/>
              </w:rPr>
              <w:t xml:space="preserve"> </w:t>
            </w:r>
            <w:r>
              <w:rPr>
                <w:rFonts w:hint="eastAsia"/>
                <w:b w:val="0"/>
                <w:sz w:val="16"/>
                <w:szCs w:val="16"/>
              </w:rPr>
              <w:t>年上半年</w:t>
            </w:r>
            <w:r>
              <w:rPr>
                <w:b w:val="0"/>
                <w:sz w:val="16"/>
                <w:szCs w:val="16"/>
              </w:rPr>
              <w:t xml:space="preserve"> 9185 </w:t>
            </w:r>
            <w:r>
              <w:rPr>
                <w:rFonts w:hint="eastAsia"/>
                <w:b w:val="0"/>
                <w:sz w:val="16"/>
                <w:szCs w:val="16"/>
              </w:rPr>
              <w:t>亿元</w:t>
            </w:r>
          </w:p>
        </w:tc>
        <w:tc>
          <w:p w14:paraId="22D85B84">
            <w:pPr>
              <w:pStyle w:val="167"/>
              <w:rPr>
                <w:b w:val="0"/>
              </w:rPr>
            </w:pPr>
            <w:r>
              <w:rPr>
                <w:b w:val="0"/>
                <w:sz w:val="16"/>
                <w:szCs w:val="16"/>
              </w:rPr>
              <w:t xml:space="preserve">2025 </w:t>
            </w:r>
            <w:r>
              <w:rPr>
                <w:rFonts w:hint="eastAsia"/>
                <w:b w:val="0"/>
                <w:sz w:val="16"/>
                <w:szCs w:val="16"/>
              </w:rPr>
              <w:t>年较</w:t>
            </w:r>
            <w:r>
              <w:rPr>
                <w:b w:val="0"/>
                <w:sz w:val="16"/>
                <w:szCs w:val="16"/>
              </w:rPr>
              <w:t xml:space="preserve"> 2021 </w:t>
            </w:r>
            <w:r>
              <w:rPr>
                <w:rFonts w:hint="eastAsia"/>
                <w:b w:val="0"/>
                <w:sz w:val="16"/>
                <w:szCs w:val="16"/>
              </w:rPr>
              <w:t>年少约</w:t>
            </w:r>
            <w:r>
              <w:rPr>
                <w:b w:val="0"/>
                <w:sz w:val="16"/>
                <w:szCs w:val="16"/>
              </w:rPr>
              <w:t xml:space="preserve"> 3067 </w:t>
            </w:r>
            <w:r>
              <w:rPr>
                <w:rFonts w:hint="eastAsia"/>
                <w:b w:val="0"/>
                <w:sz w:val="16"/>
                <w:szCs w:val="16"/>
              </w:rPr>
              <w:t>亿元；2026</w:t>
            </w:r>
            <w:r>
              <w:rPr>
                <w:b w:val="0"/>
                <w:sz w:val="16"/>
                <w:szCs w:val="16"/>
              </w:rPr>
              <w:t xml:space="preserve"> </w:t>
            </w:r>
            <w:r>
              <w:rPr>
                <w:rFonts w:hint="eastAsia"/>
                <w:b w:val="0"/>
                <w:sz w:val="16"/>
                <w:szCs w:val="16"/>
              </w:rPr>
              <w:t>年上半年约为同期地方一般公共预算本级收入的</w:t>
            </w:r>
            <w:r>
              <w:rPr>
                <w:b w:val="0"/>
                <w:sz w:val="16"/>
                <w:szCs w:val="16"/>
              </w:rPr>
              <w:t xml:space="preserve"> 13.35%</w:t>
            </w:r>
          </w:p>
        </w:tc>
        <w:tc>
          <w:p w14:paraId="723CEEB2">
            <w:pPr>
              <w:pStyle w:val="167"/>
              <w:rPr>
                <w:b w:val="0"/>
              </w:rPr>
            </w:pPr>
            <w:r>
              <w:rPr>
                <w:rFonts w:hint="eastAsia"/>
                <w:b w:val="0"/>
                <w:sz w:val="16"/>
                <w:szCs w:val="16"/>
              </w:rPr>
              <w:t>狭义涉房税收对地方财政的直接可量化影响为数千亿元级，且仍是地方一般公共预算本级收入的重要参考规模</w:t>
            </w:r>
          </w:p>
        </w:tc>
        <w:tc>
          <w:p w14:paraId="3BD8FA71">
            <w:pPr>
              <w:pStyle w:val="167"/>
              <w:rPr>
                <w:b w:val="0"/>
              </w:rPr>
            </w:pPr>
            <w:r>
              <w:rPr>
                <w:rFonts w:hint="eastAsia"/>
                <w:b w:val="0"/>
                <w:sz w:val="16"/>
                <w:szCs w:val="16"/>
              </w:rPr>
              <w:t>合计和占比为基于财政部公开分项的加总或相除，不是财政部原文直接发布的“影响率”</w:t>
            </w:r>
          </w:p>
        </w:tc>
      </w:tr>
    </w:tbl>
    <w:p w14:paraId="0B95B8AB">
      <w:pPr>
        <w:pStyle w:val="4"/>
      </w:pPr>
      <w:bookmarkStart w:id="10" w:name="_Toc236845822"/>
      <w:bookmarkStart w:id="11" w:name="房地产低迷仍在交易开发和资金端延续"/>
      <w:r>
        <w:rPr>
          <w:rFonts w:hint="eastAsia"/>
        </w:rPr>
        <w:t>房地产低迷仍在交易、开发和资金端延续</w:t>
      </w:r>
      <w:bookmarkEnd w:id="10"/>
    </w:p>
    <w:p w14:paraId="58634790">
      <w:pPr>
        <w:pStyle w:val="168"/>
      </w:pPr>
      <w:r>
        <w:rPr>
          <w:rFonts w:hint="eastAsia"/>
        </w:rPr>
        <w:t>房地产市场下行已经从高基准年份延续到最新执行窗口，交易、开发和资金端共同构成涉房税收承压的事实前提。2021</w:t>
      </w:r>
      <w:r>
        <w:t xml:space="preserve"> </w:t>
      </w:r>
      <w:r>
        <w:rPr>
          <w:rFonts w:hint="eastAsia"/>
        </w:rPr>
        <w:t>年，全国房地产开发投资为</w:t>
      </w:r>
      <w:r>
        <w:t xml:space="preserve"> 147602 </w:t>
      </w:r>
      <w:r>
        <w:rPr>
          <w:rFonts w:hint="eastAsia"/>
        </w:rPr>
        <w:t>亿元，商品房销售面积</w:t>
      </w:r>
      <w:r>
        <w:t xml:space="preserve"> 179433 </w:t>
      </w:r>
      <w:r>
        <w:rPr>
          <w:rFonts w:hint="eastAsia"/>
        </w:rPr>
        <w:t>万平方米，商品房销售额</w:t>
      </w:r>
      <w:r>
        <w:t xml:space="preserve"> 181930 </w:t>
      </w:r>
      <w:r>
        <w:rPr>
          <w:rFonts w:hint="eastAsia"/>
        </w:rPr>
        <w:t>亿元，房地产开发企业到位资金</w:t>
      </w:r>
      <w:r>
        <w:t xml:space="preserve"> 201132 </w:t>
      </w:r>
      <w:r>
        <w:rPr>
          <w:rFonts w:hint="eastAsia"/>
        </w:rPr>
        <w:t>亿元；这些指标在随后几年显著回落，使</w:t>
      </w:r>
      <w:r>
        <w:t xml:space="preserve"> 2021 </w:t>
      </w:r>
      <w:r>
        <w:rPr>
          <w:rFonts w:hint="eastAsia"/>
        </w:rPr>
        <w:t>年成为衡量本轮下行影响的可用高基准。[16]</w:t>
      </w:r>
    </w:p>
    <w:p w14:paraId="67DED5D0">
      <w:pPr>
        <w:pStyle w:val="19"/>
      </w:pPr>
      <w:r>
        <w:t xml:space="preserve">2024 </w:t>
      </w:r>
      <w:r>
        <w:rPr>
          <w:rFonts w:hint="eastAsia"/>
        </w:rPr>
        <w:t>年房地产市场继续下台阶，说明税基压力不是单一年度波动。该年全国房地产开发投资降至</w:t>
      </w:r>
      <w:r>
        <w:t xml:space="preserve"> 100280 </w:t>
      </w:r>
      <w:r>
        <w:rPr>
          <w:rFonts w:hint="eastAsia"/>
        </w:rPr>
        <w:t>亿元，同比下降</w:t>
      </w:r>
      <w:r>
        <w:t xml:space="preserve"> </w:t>
      </w:r>
      <w:r>
        <w:rPr>
          <w:rFonts w:hint="eastAsia"/>
        </w:rPr>
        <w:t>10.6%；房屋新开工面积下降</w:t>
      </w:r>
      <w:r>
        <w:t xml:space="preserve"> </w:t>
      </w:r>
      <w:r>
        <w:rPr>
          <w:rFonts w:hint="eastAsia"/>
        </w:rPr>
        <w:t>23.0%，竣工面积下降</w:t>
      </w:r>
      <w:r>
        <w:t xml:space="preserve"> </w:t>
      </w:r>
      <w:r>
        <w:rPr>
          <w:rFonts w:hint="eastAsia"/>
        </w:rPr>
        <w:t>27.7%；新建商品房销售面积和销售额分别下降</w:t>
      </w:r>
      <w:r>
        <w:t xml:space="preserve"> 12.9% </w:t>
      </w:r>
      <w:r>
        <w:rPr>
          <w:rFonts w:hint="eastAsia"/>
        </w:rPr>
        <w:t>和</w:t>
      </w:r>
      <w:r>
        <w:t xml:space="preserve"> </w:t>
      </w:r>
      <w:r>
        <w:rPr>
          <w:rFonts w:hint="eastAsia"/>
        </w:rPr>
        <w:t>17.1%；房地产开发企业到位资金也下降</w:t>
      </w:r>
      <w:r>
        <w:t xml:space="preserve"> 17.0%。[17] </w:t>
      </w:r>
      <w:r>
        <w:rPr>
          <w:rFonts w:hint="eastAsia"/>
        </w:rPr>
        <w:t>这些指标分别对应开发投入、开工施工、销售成交和资金回笼，覆盖了房地产税收传导链上最主要的市场环节。</w:t>
      </w:r>
    </w:p>
    <w:p w14:paraId="7CC904C4">
      <w:pPr>
        <w:pStyle w:val="19"/>
      </w:pPr>
      <w:r>
        <w:t xml:space="preserve">2025 </w:t>
      </w:r>
      <w:r>
        <w:rPr>
          <w:rFonts w:hint="eastAsia"/>
        </w:rPr>
        <w:t>年的降幅延续了这种压力。全国房地产开发投资进一步降至</w:t>
      </w:r>
      <w:r>
        <w:t xml:space="preserve"> 82788 </w:t>
      </w:r>
      <w:r>
        <w:rPr>
          <w:rFonts w:hint="eastAsia"/>
        </w:rPr>
        <w:t>亿元，同比下降</w:t>
      </w:r>
      <w:r>
        <w:t xml:space="preserve"> </w:t>
      </w:r>
      <w:r>
        <w:rPr>
          <w:rFonts w:hint="eastAsia"/>
        </w:rPr>
        <w:t>17.2%；新建商品房销售面积</w:t>
      </w:r>
      <w:r>
        <w:t xml:space="preserve"> 88101 </w:t>
      </w:r>
      <w:r>
        <w:rPr>
          <w:rFonts w:hint="eastAsia"/>
        </w:rPr>
        <w:t>万平方米、下降</w:t>
      </w:r>
      <w:r>
        <w:t xml:space="preserve"> </w:t>
      </w:r>
      <w:r>
        <w:rPr>
          <w:rFonts w:hint="eastAsia"/>
        </w:rPr>
        <w:t>8.7%，销售额</w:t>
      </w:r>
      <w:r>
        <w:t xml:space="preserve"> 83937 </w:t>
      </w:r>
      <w:r>
        <w:rPr>
          <w:rFonts w:hint="eastAsia"/>
        </w:rPr>
        <w:t>亿元、下降</w:t>
      </w:r>
      <w:r>
        <w:t xml:space="preserve"> </w:t>
      </w:r>
      <w:r>
        <w:rPr>
          <w:rFonts w:hint="eastAsia"/>
        </w:rPr>
        <w:t>12.6%；房地产开发企业到位资金</w:t>
      </w:r>
      <w:r>
        <w:t xml:space="preserve"> 93117 </w:t>
      </w:r>
      <w:r>
        <w:rPr>
          <w:rFonts w:hint="eastAsia"/>
        </w:rPr>
        <w:t>亿元、下降</w:t>
      </w:r>
      <w:r>
        <w:t xml:space="preserve"> 13.4%。[18] </w:t>
      </w:r>
      <w:r>
        <w:rPr>
          <w:rFonts w:hint="eastAsia"/>
        </w:rPr>
        <w:t>年末商品房待售面积仍达</w:t>
      </w:r>
      <w:r>
        <w:t xml:space="preserve"> 76632 </w:t>
      </w:r>
      <w:r>
        <w:rPr>
          <w:rFonts w:hint="eastAsia"/>
        </w:rPr>
        <w:t>万平方米并较上年末增长</w:t>
      </w:r>
      <w:r>
        <w:t xml:space="preserve"> </w:t>
      </w:r>
      <w:r>
        <w:rPr>
          <w:rFonts w:hint="eastAsia"/>
        </w:rPr>
        <w:t>1.6%，意味着销售端低迷与库存压力并存，交易相关税基难以仅靠单一环节改善而恢复。</w:t>
      </w:r>
    </w:p>
    <w:p w14:paraId="4C19C909">
      <w:pPr>
        <w:pStyle w:val="19"/>
      </w:pPr>
      <w:r>
        <w:rPr>
          <w:rFonts w:hint="eastAsia"/>
        </w:rPr>
        <w:t>最新半年度数据也没有显示房地产税基已经企稳。2026</w:t>
      </w:r>
      <w:r>
        <w:t xml:space="preserve"> </w:t>
      </w:r>
      <w:r>
        <w:rPr>
          <w:rFonts w:hint="eastAsia"/>
        </w:rPr>
        <w:t>年上半年，全国房地产开发投资</w:t>
      </w:r>
      <w:r>
        <w:t xml:space="preserve"> 38074 </w:t>
      </w:r>
      <w:r>
        <w:rPr>
          <w:rFonts w:hint="eastAsia"/>
        </w:rPr>
        <w:t>亿元，同比下降</w:t>
      </w:r>
      <w:r>
        <w:t xml:space="preserve"> </w:t>
      </w:r>
      <w:r>
        <w:rPr>
          <w:rFonts w:hint="eastAsia"/>
        </w:rPr>
        <w:t>18.0%；房屋施工面积、新开工面积和竣工面积分别下降</w:t>
      </w:r>
      <w:r>
        <w:t xml:space="preserve"> 12.5%、23.4% </w:t>
      </w:r>
      <w:r>
        <w:rPr>
          <w:rFonts w:hint="eastAsia"/>
        </w:rPr>
        <w:t>和</w:t>
      </w:r>
      <w:r>
        <w:t xml:space="preserve"> 23.7%。[19] </w:t>
      </w:r>
      <w:r>
        <w:rPr>
          <w:rFonts w:hint="eastAsia"/>
        </w:rPr>
        <w:t>同期新建商品房销售面积</w:t>
      </w:r>
      <w:r>
        <w:t xml:space="preserve"> 40140 </w:t>
      </w:r>
      <w:r>
        <w:rPr>
          <w:rFonts w:hint="eastAsia"/>
        </w:rPr>
        <w:t>万平方米、下降</w:t>
      </w:r>
      <w:r>
        <w:t xml:space="preserve"> </w:t>
      </w:r>
      <w:r>
        <w:rPr>
          <w:rFonts w:hint="eastAsia"/>
        </w:rPr>
        <w:t>11.6%，销售额</w:t>
      </w:r>
      <w:r>
        <w:t xml:space="preserve"> 37945 </w:t>
      </w:r>
      <w:r>
        <w:rPr>
          <w:rFonts w:hint="eastAsia"/>
        </w:rPr>
        <w:t>亿元、下降</w:t>
      </w:r>
      <w:r>
        <w:t xml:space="preserve"> </w:t>
      </w:r>
      <w:r>
        <w:rPr>
          <w:rFonts w:hint="eastAsia"/>
        </w:rPr>
        <w:t>13.6%；房企到位资金</w:t>
      </w:r>
      <w:r>
        <w:t xml:space="preserve"> 40233 </w:t>
      </w:r>
      <w:r>
        <w:rPr>
          <w:rFonts w:hint="eastAsia"/>
        </w:rPr>
        <w:t>亿元、下降</w:t>
      </w:r>
      <w:r>
        <w:t xml:space="preserve"> </w:t>
      </w:r>
      <w:r>
        <w:rPr>
          <w:rFonts w:hint="eastAsia"/>
        </w:rPr>
        <w:t>20.2%，其中定金及预收款和个人按揭贷款分别下降</w:t>
      </w:r>
      <w:r>
        <w:t xml:space="preserve"> 15.8% </w:t>
      </w:r>
      <w:r>
        <w:rPr>
          <w:rFonts w:hint="eastAsia"/>
        </w:rPr>
        <w:t>和</w:t>
      </w:r>
      <w:r>
        <w:t xml:space="preserve"> 24.9%。[19] </w:t>
      </w:r>
      <w:r>
        <w:rPr>
          <w:rFonts w:hint="eastAsia"/>
        </w:rPr>
        <w:t>因此，税收端的核心判断不是房地产低迷是否存在，而是低迷能够通过哪些税种被公开量化，以及哪些税基仍无法拆开测算。</w:t>
      </w:r>
    </w:p>
    <w:bookmarkEnd w:id="11"/>
    <w:p w14:paraId="0B651A8A">
      <w:pPr>
        <w:pStyle w:val="4"/>
      </w:pPr>
      <w:bookmarkStart w:id="12" w:name="_Toc1380532463"/>
      <w:bookmarkStart w:id="13" w:name="官方可量化的涉房税收主要是五项土地和房地产相关税"/>
      <w:r>
        <w:rPr>
          <w:rFonts w:hint="eastAsia"/>
        </w:rPr>
        <w:t>官方可量化的涉房税收主要是五项土地和房地产相关税</w:t>
      </w:r>
      <w:bookmarkEnd w:id="12"/>
    </w:p>
    <w:p w14:paraId="0D62ADDE">
      <w:pPr>
        <w:pStyle w:val="168"/>
      </w:pPr>
      <w:r>
        <w:rPr>
          <w:rFonts w:hint="eastAsia"/>
        </w:rPr>
        <w:t>公开财政收支资料中，能够被全国统一分项追踪的涉房税收主要是契税、房产税、城镇土地使用税、土地增值税和耕地占用税。财政部在年度和半年度财政收支资料中把这些税种列为“土地和房地产相关税收”，并分别披露金额和同比变化。[9][10]</w:t>
      </w:r>
      <w:r>
        <w:t xml:space="preserve"> </w:t>
      </w:r>
      <w:r>
        <w:rPr>
          <w:rFonts w:hint="eastAsia"/>
        </w:rPr>
        <w:t>这使五项土地和房地产相关税收成为衡量房地产低迷对地方税收收入影响的官方可得口径，但也限定了测算范围：它反映的是按税种列示的涉房税收，不是房地产行业全部税收贡献。</w:t>
      </w:r>
    </w:p>
    <w:p w14:paraId="09A72B4E">
      <w:pPr>
        <w:pStyle w:val="19"/>
      </w:pPr>
      <w:r>
        <w:rPr>
          <w:rFonts w:hint="eastAsia"/>
        </w:rPr>
        <w:t>契税与房地产交易和土地、房屋权属转移直接相连，因此最能反映成交低迷对税收的即时影响。契税法规定，在中国境内转移土地、房屋权属，承受单位和个人为纳税人；转移行为包括土地使用权出让、土地使用权转让、房屋买卖、赠与和互换；土地使用权出让、出售以及房屋买卖的计税依据为成交价格，税率为</w:t>
      </w:r>
      <w:r>
        <w:t xml:space="preserve"> 3% </w:t>
      </w:r>
      <w:r>
        <w:rPr>
          <w:rFonts w:hint="eastAsia"/>
        </w:rPr>
        <w:t>至</w:t>
      </w:r>
      <w:r>
        <w:t xml:space="preserve"> 5%。[20] </w:t>
      </w:r>
      <w:r>
        <w:rPr>
          <w:rFonts w:hint="eastAsia"/>
        </w:rPr>
        <w:t>当销售面积和销售额下降时，契税税基会随成交价格和交易规模收缩，这是房地产低迷传导到地方固定收入的最直接通道之一。</w:t>
      </w:r>
    </w:p>
    <w:p w14:paraId="6F6B4BD3">
      <w:pPr>
        <w:pStyle w:val="19"/>
      </w:pPr>
      <w:r>
        <w:rPr>
          <w:rFonts w:hint="eastAsia"/>
        </w:rPr>
        <w:t>土地增值税对应的是开发销售或房地产转让取得增值额，而不是简单的成交总额。土地增值税暂行条例规定，转让国有土地使用权、地上建筑物及其附着物并取得收入的单位和个人为纳税义务人，税额按照转让房地产所取得的增值额和规定税率计算征收。[21]</w:t>
      </w:r>
      <w:r>
        <w:t xml:space="preserve"> </w:t>
      </w:r>
      <w:r>
        <w:rPr>
          <w:rFonts w:hint="eastAsia"/>
        </w:rPr>
        <w:t>因此，开发投资、新开工、销售回款和房企资金状况都会影响这一税种的潜在税基，但收入变化还取决于增值额、预征、清算和利润状况，不能只用销售额降幅一比一推算。</w:t>
      </w:r>
    </w:p>
    <w:p w14:paraId="4F35EC25">
      <w:pPr>
        <w:pStyle w:val="19"/>
      </w:pPr>
      <w:r>
        <w:rPr>
          <w:rFonts w:hint="eastAsia"/>
        </w:rPr>
        <w:t>房产税、城镇土地使用税和耕地占用税与交易低迷的关系更间接。房产税在城市、县城、建制镇和工矿区征收，按房产余值或租金收入计税，税率分别为</w:t>
      </w:r>
      <w:r>
        <w:t xml:space="preserve"> 1.2% </w:t>
      </w:r>
      <w:r>
        <w:rPr>
          <w:rFonts w:hint="eastAsia"/>
        </w:rPr>
        <w:t>和</w:t>
      </w:r>
      <w:r>
        <w:t xml:space="preserve"> </w:t>
      </w:r>
      <w:r>
        <w:rPr>
          <w:rFonts w:hint="eastAsia"/>
        </w:rPr>
        <w:t>12%；城镇土地使用税按实际占用土地面积和规定年税额征收；耕地占用税则对占用耕地建设建筑物、构筑物或从事非农业建设的单位和个人一次性征收。[22][23][24]</w:t>
      </w:r>
      <w:r>
        <w:t xml:space="preserve"> </w:t>
      </w:r>
      <w:r>
        <w:rPr>
          <w:rFonts w:hint="eastAsia"/>
        </w:rPr>
        <w:t>这些税种更多体现持有、占用或新增建设用地环节，因而可能在交易税下滑时仍保持增长或出现不同步波动。</w:t>
      </w:r>
    </w:p>
    <w:p w14:paraId="3AD5A76A">
      <w:pPr>
        <w:pStyle w:val="19"/>
      </w:pPr>
      <w:r>
        <w:rPr>
          <w:rFonts w:hint="eastAsia"/>
        </w:rPr>
        <w:t>五项土地和房地产相关税收原则上可以作为地方税收收入的分项观察。1993</w:t>
      </w:r>
      <w:r>
        <w:t xml:space="preserve"> </w:t>
      </w:r>
      <w:r>
        <w:rPr>
          <w:rFonts w:hint="eastAsia"/>
        </w:rPr>
        <w:t>年分税制文件把契税、土地增值税、房产税、城镇土地使用税和耕地占用税列为地方固定收入；同一制度体系下，增值税属于中央与地方共享收入，营改增后所有行业企业缴纳的增值税纳入共享范围，中央分享</w:t>
      </w:r>
      <w:r>
        <w:t xml:space="preserve"> </w:t>
      </w:r>
      <w:r>
        <w:rPr>
          <w:rFonts w:hint="eastAsia"/>
        </w:rPr>
        <w:t>50%、地方按税收缴纳地分享</w:t>
      </w:r>
      <w:r>
        <w:t xml:space="preserve"> 50%。[25][26] </w:t>
      </w:r>
      <w:r>
        <w:rPr>
          <w:rFonts w:hint="eastAsia"/>
        </w:rPr>
        <w:t>所得税也不能直接按全国总额视为地方涉房税收：除少数特殊行业或企业外，企业所得税和个人所得税由中央与地方分享，2004</w:t>
      </w:r>
      <w:r>
        <w:t xml:space="preserve"> </w:t>
      </w:r>
      <w:r>
        <w:rPr>
          <w:rFonts w:hint="eastAsia"/>
        </w:rPr>
        <w:t>年起分享比例继续按中央</w:t>
      </w:r>
      <w:r>
        <w:t xml:space="preserve"> </w:t>
      </w:r>
      <w:r>
        <w:rPr>
          <w:rFonts w:hint="eastAsia"/>
        </w:rPr>
        <w:t>60%、地方</w:t>
      </w:r>
      <w:r>
        <w:t xml:space="preserve"> 40% </w:t>
      </w:r>
      <w:r>
        <w:rPr>
          <w:rFonts w:hint="eastAsia"/>
        </w:rPr>
        <w:t>执行。[27][28]</w:t>
      </w:r>
      <w:r>
        <w:t xml:space="preserve"> </w:t>
      </w:r>
      <w:r>
        <w:rPr>
          <w:rFonts w:hint="eastAsia"/>
        </w:rPr>
        <w:t>这一区分决定了五项土地和房地产相关税收可用于狭义地方税收测算，而房地产行业增值税、企业所得税和个人所得税只能作为缺口和边界处理。</w:t>
      </w:r>
    </w:p>
    <w:bookmarkEnd w:id="13"/>
    <w:p w14:paraId="0FA87C3E">
      <w:pPr>
        <w:pStyle w:val="4"/>
      </w:pPr>
      <w:bookmarkStart w:id="14" w:name="_Toc1195783453"/>
      <w:bookmarkStart w:id="15" w:name="X435beec85f9933040c442459f4a22ac19656e3f"/>
      <w:r>
        <w:rPr>
          <w:rFonts w:hint="eastAsia"/>
        </w:rPr>
        <w:t>税收端的直接量级：五税较</w:t>
      </w:r>
      <w:r>
        <w:t xml:space="preserve"> 2021 </w:t>
      </w:r>
      <w:r>
        <w:rPr>
          <w:rFonts w:hint="eastAsia"/>
        </w:rPr>
        <w:t>年少约</w:t>
      </w:r>
      <w:r>
        <w:t xml:space="preserve"> 3067 </w:t>
      </w:r>
      <w:r>
        <w:rPr>
          <w:rFonts w:hint="eastAsia"/>
        </w:rPr>
        <w:t>亿元，2026</w:t>
      </w:r>
      <w:r>
        <w:t xml:space="preserve"> </w:t>
      </w:r>
      <w:r>
        <w:rPr>
          <w:rFonts w:hint="eastAsia"/>
        </w:rPr>
        <w:t>年上半年约占地方一般公共预算本级收入</w:t>
      </w:r>
      <w:r>
        <w:t xml:space="preserve"> 13.35%</w:t>
      </w:r>
      <w:bookmarkEnd w:id="14"/>
    </w:p>
    <w:p w14:paraId="0B8CA0B0">
      <w:pPr>
        <w:pStyle w:val="168"/>
      </w:pPr>
      <w:r>
        <w:rPr>
          <w:rFonts w:hint="eastAsia"/>
        </w:rPr>
        <w:t>狭义税收渠道的全国可量化拖累是数千亿元级。按财政部</w:t>
      </w:r>
      <w:r>
        <w:t xml:space="preserve"> 2021 </w:t>
      </w:r>
      <w:r>
        <w:rPr>
          <w:rFonts w:hint="eastAsia"/>
        </w:rPr>
        <w:t>年和</w:t>
      </w:r>
      <w:r>
        <w:t xml:space="preserve"> 2025 </w:t>
      </w:r>
      <w:r>
        <w:rPr>
          <w:rFonts w:hint="eastAsia"/>
        </w:rPr>
        <w:t>年公开的五项土地和房地产相关税收分项加总，2021</w:t>
      </w:r>
      <w:r>
        <w:t xml:space="preserve"> </w:t>
      </w:r>
      <w:r>
        <w:rPr>
          <w:rFonts w:hint="eastAsia"/>
        </w:rPr>
        <w:t>年五税合计为</w:t>
      </w:r>
      <w:r>
        <w:t xml:space="preserve"> 20793 </w:t>
      </w:r>
      <w:r>
        <w:rPr>
          <w:rFonts w:hint="eastAsia"/>
        </w:rPr>
        <w:t>亿元，其中契税</w:t>
      </w:r>
      <w:r>
        <w:t xml:space="preserve"> 7428 </w:t>
      </w:r>
      <w:r>
        <w:rPr>
          <w:rFonts w:hint="eastAsia"/>
        </w:rPr>
        <w:t>亿元、土地增值税</w:t>
      </w:r>
      <w:r>
        <w:t xml:space="preserve"> 6896 </w:t>
      </w:r>
      <w:r>
        <w:rPr>
          <w:rFonts w:hint="eastAsia"/>
        </w:rPr>
        <w:t>亿元、房产税</w:t>
      </w:r>
      <w:r>
        <w:t xml:space="preserve"> 3278 </w:t>
      </w:r>
      <w:r>
        <w:rPr>
          <w:rFonts w:hint="eastAsia"/>
        </w:rPr>
        <w:t>亿元、城镇土地使用税</w:t>
      </w:r>
      <w:r>
        <w:t xml:space="preserve"> 2126 </w:t>
      </w:r>
      <w:r>
        <w:rPr>
          <w:rFonts w:hint="eastAsia"/>
        </w:rPr>
        <w:t>亿元、耕地占用税</w:t>
      </w:r>
      <w:r>
        <w:t xml:space="preserve"> 1065 </w:t>
      </w:r>
      <w:r>
        <w:rPr>
          <w:rFonts w:hint="eastAsia"/>
        </w:rPr>
        <w:t>亿元；2025</w:t>
      </w:r>
      <w:r>
        <w:t xml:space="preserve"> </w:t>
      </w:r>
      <w:r>
        <w:rPr>
          <w:rFonts w:hint="eastAsia"/>
        </w:rPr>
        <w:t>年五税合计约</w:t>
      </w:r>
      <w:r>
        <w:t xml:space="preserve"> 17726 </w:t>
      </w:r>
      <w:r>
        <w:rPr>
          <w:rFonts w:hint="eastAsia"/>
        </w:rPr>
        <w:t>亿元，较</w:t>
      </w:r>
      <w:r>
        <w:t xml:space="preserve"> 2021 </w:t>
      </w:r>
      <w:r>
        <w:rPr>
          <w:rFonts w:hint="eastAsia"/>
        </w:rPr>
        <w:t>年减少</w:t>
      </w:r>
      <w:r>
        <w:t xml:space="preserve"> 3067 </w:t>
      </w:r>
      <w:r>
        <w:rPr>
          <w:rFonts w:hint="eastAsia"/>
        </w:rPr>
        <w:t>亿元，降幅约</w:t>
      </w:r>
      <w:r>
        <w:t xml:space="preserve"> 14.8%。[6][5] </w:t>
      </w:r>
      <w:r>
        <w:rPr>
          <w:rFonts w:hint="eastAsia"/>
        </w:rPr>
        <w:t>这个差额是回答“税收减少对地方财政收入影响多大”的最直接公开量化结果，但它只覆盖财政部列示的五个税种。</w:t>
      </w:r>
    </w:p>
    <w:p w14:paraId="09FF234D">
      <w:pPr>
        <w:pStyle w:val="19"/>
      </w:pPr>
      <w:r>
        <w:rPr>
          <w:rFonts w:hint="eastAsia"/>
        </w:rPr>
        <w:t>减少额主要来自交易和开发相关税种，而不是五项税种同步下滑。2025</w:t>
      </w:r>
      <w:r>
        <w:t xml:space="preserve"> </w:t>
      </w:r>
      <w:r>
        <w:rPr>
          <w:rFonts w:hint="eastAsia"/>
        </w:rPr>
        <w:t>年契税为</w:t>
      </w:r>
      <w:r>
        <w:t xml:space="preserve"> 4440 </w:t>
      </w:r>
      <w:r>
        <w:rPr>
          <w:rFonts w:hint="eastAsia"/>
        </w:rPr>
        <w:t>亿元，较</w:t>
      </w:r>
      <w:r>
        <w:t xml:space="preserve"> 2021 </w:t>
      </w:r>
      <w:r>
        <w:rPr>
          <w:rFonts w:hint="eastAsia"/>
        </w:rPr>
        <w:t>年的</w:t>
      </w:r>
      <w:r>
        <w:t xml:space="preserve"> 7428 </w:t>
      </w:r>
      <w:r>
        <w:rPr>
          <w:rFonts w:hint="eastAsia"/>
        </w:rPr>
        <w:t>亿元减少</w:t>
      </w:r>
      <w:r>
        <w:t xml:space="preserve"> 2988 </w:t>
      </w:r>
      <w:r>
        <w:rPr>
          <w:rFonts w:hint="eastAsia"/>
        </w:rPr>
        <w:t>亿元；土地增值税为</w:t>
      </w:r>
      <w:r>
        <w:t xml:space="preserve"> 4102 </w:t>
      </w:r>
      <w:r>
        <w:rPr>
          <w:rFonts w:hint="eastAsia"/>
        </w:rPr>
        <w:t>亿元，较</w:t>
      </w:r>
      <w:r>
        <w:t xml:space="preserve"> 2021 </w:t>
      </w:r>
      <w:r>
        <w:rPr>
          <w:rFonts w:hint="eastAsia"/>
        </w:rPr>
        <w:t>年的</w:t>
      </w:r>
      <w:r>
        <w:t xml:space="preserve"> 6896 </w:t>
      </w:r>
      <w:r>
        <w:rPr>
          <w:rFonts w:hint="eastAsia"/>
        </w:rPr>
        <w:t>亿元减少</w:t>
      </w:r>
      <w:r>
        <w:t xml:space="preserve"> 2794 </w:t>
      </w:r>
      <w:r>
        <w:rPr>
          <w:rFonts w:hint="eastAsia"/>
        </w:rPr>
        <w:t>亿元。[6][5]</w:t>
      </w:r>
      <w:r>
        <w:t xml:space="preserve"> </w:t>
      </w:r>
      <w:r>
        <w:rPr>
          <w:rFonts w:hint="eastAsia"/>
        </w:rPr>
        <w:t>两项合计减少超过五税总减少额，说明房产税、城镇土地使用税和耕地占用税的增长或较小波动抵消了部分交易、开发税种下降。由此可见，房地产低迷对地方税收的影响并非均匀落在所有涉房税种上，而是集中压低与成交和开发增值更密切的税基。</w:t>
      </w:r>
    </w:p>
    <w:p w14:paraId="52FB9274">
      <w:pPr>
        <w:pStyle w:val="19"/>
      </w:pPr>
      <w:r>
        <w:t xml:space="preserve">2024 </w:t>
      </w:r>
      <w:r>
        <w:rPr>
          <w:rFonts w:hint="eastAsia"/>
        </w:rPr>
        <w:t>年和</w:t>
      </w:r>
      <w:r>
        <w:t xml:space="preserve"> 2025 </w:t>
      </w:r>
      <w:r>
        <w:rPr>
          <w:rFonts w:hint="eastAsia"/>
        </w:rPr>
        <w:t>年的同比结构进一步证明了这种分化。2024</w:t>
      </w:r>
      <w:r>
        <w:t xml:space="preserve"> </w:t>
      </w:r>
      <w:r>
        <w:rPr>
          <w:rFonts w:hint="eastAsia"/>
        </w:rPr>
        <w:t>年，全国税收收入</w:t>
      </w:r>
      <w:r>
        <w:t xml:space="preserve"> 174972 </w:t>
      </w:r>
      <w:r>
        <w:rPr>
          <w:rFonts w:hint="eastAsia"/>
        </w:rPr>
        <w:t>亿元、同比下降</w:t>
      </w:r>
      <w:r>
        <w:t xml:space="preserve"> </w:t>
      </w:r>
      <w:r>
        <w:rPr>
          <w:rFonts w:hint="eastAsia"/>
        </w:rPr>
        <w:t>3.4%，但地方一般公共预算本级收入</w:t>
      </w:r>
      <w:r>
        <w:t xml:space="preserve"> 119266 </w:t>
      </w:r>
      <w:r>
        <w:rPr>
          <w:rFonts w:hint="eastAsia"/>
        </w:rPr>
        <w:t>亿元、同比增长</w:t>
      </w:r>
      <w:r>
        <w:t xml:space="preserve"> </w:t>
      </w:r>
      <w:r>
        <w:rPr>
          <w:rFonts w:hint="eastAsia"/>
        </w:rPr>
        <w:t>1.7%；同年契税</w:t>
      </w:r>
      <w:r>
        <w:t xml:space="preserve"> 5170 </w:t>
      </w:r>
      <w:r>
        <w:rPr>
          <w:rFonts w:hint="eastAsia"/>
        </w:rPr>
        <w:t>亿元、下降</w:t>
      </w:r>
      <w:r>
        <w:t xml:space="preserve"> </w:t>
      </w:r>
      <w:r>
        <w:rPr>
          <w:rFonts w:hint="eastAsia"/>
        </w:rPr>
        <w:t>12.5%，土地增值税</w:t>
      </w:r>
      <w:r>
        <w:t xml:space="preserve"> 4869 </w:t>
      </w:r>
      <w:r>
        <w:rPr>
          <w:rFonts w:hint="eastAsia"/>
        </w:rPr>
        <w:t>亿元、下降</w:t>
      </w:r>
      <w:r>
        <w:t xml:space="preserve"> </w:t>
      </w:r>
      <w:r>
        <w:rPr>
          <w:rFonts w:hint="eastAsia"/>
        </w:rPr>
        <w:t>8%，而房产税、城镇土地使用税和耕地占用税分别增长</w:t>
      </w:r>
      <w:r>
        <w:t xml:space="preserve"> 17.8%、9.6% </w:t>
      </w:r>
      <w:r>
        <w:rPr>
          <w:rFonts w:hint="eastAsia"/>
        </w:rPr>
        <w:t>和</w:t>
      </w:r>
      <w:r>
        <w:t xml:space="preserve"> 21.5%。[9] </w:t>
      </w:r>
      <w:r>
        <w:rPr>
          <w:rFonts w:hint="eastAsia"/>
        </w:rPr>
        <w:t>到</w:t>
      </w:r>
      <w:r>
        <w:t xml:space="preserve"> 2025 </w:t>
      </w:r>
      <w:r>
        <w:rPr>
          <w:rFonts w:hint="eastAsia"/>
        </w:rPr>
        <w:t>年，契税和土地增值税继续分别下降</w:t>
      </w:r>
      <w:r>
        <w:t xml:space="preserve"> 14.1% </w:t>
      </w:r>
      <w:r>
        <w:rPr>
          <w:rFonts w:hint="eastAsia"/>
        </w:rPr>
        <w:t>和</w:t>
      </w:r>
      <w:r>
        <w:t xml:space="preserve"> </w:t>
      </w:r>
      <w:r>
        <w:rPr>
          <w:rFonts w:hint="eastAsia"/>
        </w:rPr>
        <w:t>15.7%，房产税、城镇土地使用税和耕地占用税仍分别增长</w:t>
      </w:r>
      <w:r>
        <w:t xml:space="preserve"> 10.8%、5.2% </w:t>
      </w:r>
      <w:r>
        <w:rPr>
          <w:rFonts w:hint="eastAsia"/>
        </w:rPr>
        <w:t>和</w:t>
      </w:r>
      <w:r>
        <w:t xml:space="preserve"> 3.9%。[5] </w:t>
      </w:r>
      <w:r>
        <w:rPr>
          <w:rFonts w:hint="eastAsia"/>
        </w:rPr>
        <w:t>因此，税收端压力明确存在，但地方一般公共预算本级收入没有等比例下滑，原因之一正是涉房税种内部有不同方向的抵消。</w:t>
      </w:r>
    </w:p>
    <w:p w14:paraId="7C6F8D1F">
      <w:pPr>
        <w:pStyle w:val="19"/>
      </w:pPr>
      <w:r>
        <w:t xml:space="preserve">2026 </w:t>
      </w:r>
      <w:r>
        <w:rPr>
          <w:rFonts w:hint="eastAsia"/>
        </w:rPr>
        <w:t>年上半年的参考占比显示，五项土地和房地产相关税收即使在低迷期仍是地方一般公共预算本级收入中的重要规模。按财政部披露的上半年分项金额加总，契税</w:t>
      </w:r>
      <w:r>
        <w:t xml:space="preserve"> 2019 </w:t>
      </w:r>
      <w:r>
        <w:rPr>
          <w:rFonts w:hint="eastAsia"/>
        </w:rPr>
        <w:t>亿元、房产税</w:t>
      </w:r>
      <w:r>
        <w:t xml:space="preserve"> 2782 </w:t>
      </w:r>
      <w:r>
        <w:rPr>
          <w:rFonts w:hint="eastAsia"/>
        </w:rPr>
        <w:t>亿元、城镇土地使用税</w:t>
      </w:r>
      <w:r>
        <w:t xml:space="preserve"> 1408 </w:t>
      </w:r>
      <w:r>
        <w:rPr>
          <w:rFonts w:hint="eastAsia"/>
        </w:rPr>
        <w:t>亿元、土地增值税</w:t>
      </w:r>
      <w:r>
        <w:t xml:space="preserve"> 2146 </w:t>
      </w:r>
      <w:r>
        <w:rPr>
          <w:rFonts w:hint="eastAsia"/>
        </w:rPr>
        <w:t>亿元、耕地占用税</w:t>
      </w:r>
      <w:r>
        <w:t xml:space="preserve"> 830 </w:t>
      </w:r>
      <w:r>
        <w:rPr>
          <w:rFonts w:hint="eastAsia"/>
        </w:rPr>
        <w:t>亿元，五税合计</w:t>
      </w:r>
      <w:r>
        <w:t xml:space="preserve"> 9185 </w:t>
      </w:r>
      <w:r>
        <w:rPr>
          <w:rFonts w:hint="eastAsia"/>
        </w:rPr>
        <w:t>亿元；与同期地方一般公共预算本级收入</w:t>
      </w:r>
      <w:r>
        <w:t xml:space="preserve"> 68807 </w:t>
      </w:r>
      <w:r>
        <w:rPr>
          <w:rFonts w:hint="eastAsia"/>
        </w:rPr>
        <w:t>亿元相比，约为</w:t>
      </w:r>
      <w:r>
        <w:t xml:space="preserve"> 13.35%。[10] </w:t>
      </w:r>
      <w:r>
        <w:rPr>
          <w:rFonts w:hint="eastAsia"/>
        </w:rPr>
        <w:t>这一占比是基于官方税种分项加总并与地方一般公共预算本级收入相除得到的参考值，不是财政部原文直接发布的影响率，也未扣除税收返还、跨区缴库或地方执行差异。</w:t>
      </w:r>
    </w:p>
    <w:p w14:paraId="4AFAEF4F">
      <w:pPr>
        <w:pStyle w:val="19"/>
      </w:pPr>
      <w:r>
        <w:rPr>
          <w:rFonts w:hint="eastAsia"/>
        </w:rPr>
        <w:t>最新数据同样显示税收压力主要来自交易和开发环节。2026</w:t>
      </w:r>
      <w:r>
        <w:t xml:space="preserve"> </w:t>
      </w:r>
      <w:r>
        <w:rPr>
          <w:rFonts w:hint="eastAsia"/>
        </w:rPr>
        <w:t>年上半年，契税同比下降</w:t>
      </w:r>
      <w:r>
        <w:t xml:space="preserve"> </w:t>
      </w:r>
      <w:r>
        <w:rPr>
          <w:rFonts w:hint="eastAsia"/>
        </w:rPr>
        <w:t>14.7%，土地增值税下降</w:t>
      </w:r>
      <w:r>
        <w:t xml:space="preserve"> </w:t>
      </w:r>
      <w:r>
        <w:rPr>
          <w:rFonts w:hint="eastAsia"/>
        </w:rPr>
        <w:t>15.3%，耕地占用税下降</w:t>
      </w:r>
      <w:r>
        <w:t xml:space="preserve"> </w:t>
      </w:r>
      <w:r>
        <w:rPr>
          <w:rFonts w:hint="eastAsia"/>
        </w:rPr>
        <w:t>3.5%；同期房产税和城镇土地使用税分别增长</w:t>
      </w:r>
      <w:r>
        <w:t xml:space="preserve"> 6.3% </w:t>
      </w:r>
      <w:r>
        <w:rPr>
          <w:rFonts w:hint="eastAsia"/>
        </w:rPr>
        <w:t>和</w:t>
      </w:r>
      <w:r>
        <w:t xml:space="preserve"> 2.6%。[10] </w:t>
      </w:r>
      <w:r>
        <w:rPr>
          <w:rFonts w:hint="eastAsia"/>
        </w:rPr>
        <w:t>对地方财政收入的含义是：房地产低迷并没有使全部涉房税收同步塌缩，但它持续削弱了最贴近成交和开发利润的税种；五税总规模占地方一般公共预算本级收入约一成多，因而其下行足以构成地方税收端的重要拖累。</w:t>
      </w:r>
    </w:p>
    <w:bookmarkEnd w:id="15"/>
    <w:p w14:paraId="40274206">
      <w:pPr>
        <w:pStyle w:val="4"/>
      </w:pPr>
      <w:bookmarkStart w:id="16" w:name="_Toc1380525945"/>
      <w:bookmarkStart w:id="17" w:name="归因边界市场低迷税收政策和未公开共享税种不能硬拆成一个百分比"/>
      <w:r>
        <w:rPr>
          <w:rFonts w:hint="eastAsia"/>
        </w:rPr>
        <w:t>归因边界：市场低迷、税收政策和未公开共享税种不能硬拆成一个百分比</w:t>
      </w:r>
      <w:bookmarkEnd w:id="16"/>
    </w:p>
    <w:p w14:paraId="3B788FF9">
      <w:pPr>
        <w:pStyle w:val="168"/>
      </w:pPr>
      <w:r>
        <w:rPr>
          <w:rFonts w:hint="eastAsia"/>
        </w:rPr>
        <w:t>房地产低迷对契税和土地增值税的方向性影响清楚，但公开数据不能把减收完全拆成一个由市场低迷单独造成的百分比。销售面积和销售额下降会压低房屋买卖环节契税的计税基础，房地产开发投资、新开工和销售回款下降会压低房企开发销售或转让房地产取得收入及增值额，从而影响土地增值税。[18][20][21]</w:t>
      </w:r>
      <w:r>
        <w:t xml:space="preserve"> </w:t>
      </w:r>
      <w:r>
        <w:rPr>
          <w:rFonts w:hint="eastAsia"/>
        </w:rPr>
        <w:t>但全国财政收支数据没有把契税和土地增值税的下降进一步拆分为成交量下降、价格变化、政策减税、企业利润变化或清算节奏变化。</w:t>
      </w:r>
    </w:p>
    <w:p w14:paraId="75ED5674">
      <w:pPr>
        <w:pStyle w:val="19"/>
      </w:pPr>
      <w:r>
        <w:t xml:space="preserve">2024 </w:t>
      </w:r>
      <w:r>
        <w:rPr>
          <w:rFonts w:hint="eastAsia"/>
        </w:rPr>
        <w:t>年底实施的房地产相关税收政策会改变收入归因。自</w:t>
      </w:r>
      <w:r>
        <w:t xml:space="preserve"> 2024 </w:t>
      </w:r>
      <w:r>
        <w:rPr>
          <w:rFonts w:hint="eastAsia"/>
        </w:rPr>
        <w:t>年</w:t>
      </w:r>
      <w:r>
        <w:t xml:space="preserve"> 12 </w:t>
      </w:r>
      <w:r>
        <w:rPr>
          <w:rFonts w:hint="eastAsia"/>
        </w:rPr>
        <w:t>月</w:t>
      </w:r>
      <w:r>
        <w:t xml:space="preserve"> 1 </w:t>
      </w:r>
      <w:r>
        <w:rPr>
          <w:rFonts w:hint="eastAsia"/>
        </w:rPr>
        <w:t>日起，个人购买家庭唯一住房和第二套住房在</w:t>
      </w:r>
      <w:r>
        <w:t xml:space="preserve"> 140 </w:t>
      </w:r>
      <w:r>
        <w:rPr>
          <w:rFonts w:hint="eastAsia"/>
        </w:rPr>
        <w:t>平方米及以下均减按</w:t>
      </w:r>
      <w:r>
        <w:t xml:space="preserve"> 1% </w:t>
      </w:r>
      <w:r>
        <w:rPr>
          <w:rFonts w:hint="eastAsia"/>
        </w:rPr>
        <w:t>契税税率征收，较大面积住房适用差异化优惠；取消普通住宅和非普通住宅标准的城市，对增值额未超过扣除项目金额</w:t>
      </w:r>
      <w:r>
        <w:t xml:space="preserve"> 20% </w:t>
      </w:r>
      <w:r>
        <w:rPr>
          <w:rFonts w:hint="eastAsia"/>
        </w:rPr>
        <w:t>的普通标准住宅继续免征土地增值税，并对个人将购买</w:t>
      </w:r>
      <w:r>
        <w:t xml:space="preserve"> 2 </w:t>
      </w:r>
      <w:r>
        <w:rPr>
          <w:rFonts w:hint="eastAsia"/>
        </w:rPr>
        <w:t>年以上住房对外销售免征增值税。[29]</w:t>
      </w:r>
      <w:r>
        <w:t xml:space="preserve"> </w:t>
      </w:r>
      <w:r>
        <w:rPr>
          <w:rFonts w:hint="eastAsia"/>
        </w:rPr>
        <w:t>同期，土地增值税预征率下限统一降低</w:t>
      </w:r>
      <w:r>
        <w:t xml:space="preserve"> 0.5 </w:t>
      </w:r>
      <w:r>
        <w:rPr>
          <w:rFonts w:hint="eastAsia"/>
        </w:rPr>
        <w:t>个百分点，东部、中部和东北、西部地区省份的预征率下限分别调整为</w:t>
      </w:r>
      <w:r>
        <w:t xml:space="preserve"> 1.5%、1% </w:t>
      </w:r>
      <w:r>
        <w:rPr>
          <w:rFonts w:hint="eastAsia"/>
        </w:rPr>
        <w:t>和</w:t>
      </w:r>
      <w:r>
        <w:t xml:space="preserve"> </w:t>
      </w:r>
      <w:r>
        <w:rPr>
          <w:rFonts w:hint="eastAsia"/>
        </w:rPr>
        <w:t>0.5%，各地还可结合本地情况确定实际执行预征率。[30]</w:t>
      </w:r>
      <w:r>
        <w:t xml:space="preserve"> </w:t>
      </w:r>
      <w:r>
        <w:rPr>
          <w:rFonts w:hint="eastAsia"/>
        </w:rPr>
        <w:t>这些政策有助于稳定交易和降低成本，但也意味着</w:t>
      </w:r>
      <w:r>
        <w:t xml:space="preserve"> 2025 </w:t>
      </w:r>
      <w:r>
        <w:rPr>
          <w:rFonts w:hint="eastAsia"/>
        </w:rPr>
        <w:t>年及之后部分税收变化不能简单视为市场成交低迷的纯粹结果。</w:t>
      </w:r>
    </w:p>
    <w:p w14:paraId="4D4540B5">
      <w:pPr>
        <w:pStyle w:val="19"/>
      </w:pPr>
      <w:r>
        <w:rPr>
          <w:rFonts w:hint="eastAsia"/>
        </w:rPr>
        <w:t>共享税种缺口进一步限制了“地方税收减少”的完整测算。房地产行业在增值税、企业所得税等中央与地方共享大税种中有贡献，但公开财政收支资料按税种列示全国金额，没有提供房地产行业增值税、企业所得税、个人所得税的全国行业口径，也没有披露这些共享税种中对应地方分成的金额。第一财经基于财政部数据的同类分析也把地方财政中与土地和房地产相关的税收主要限定为五个税种，并说明因最新细分数据未公开，暂不考虑增值税、企业所得税等行业共享税种。[31][10]</w:t>
      </w:r>
      <w:r>
        <w:t xml:space="preserve"> </w:t>
      </w:r>
      <w:r>
        <w:rPr>
          <w:rFonts w:hint="eastAsia"/>
        </w:rPr>
        <w:t>因此，3067</w:t>
      </w:r>
      <w:r>
        <w:t xml:space="preserve"> </w:t>
      </w:r>
      <w:r>
        <w:rPr>
          <w:rFonts w:hint="eastAsia"/>
        </w:rPr>
        <w:t>亿元和</w:t>
      </w:r>
      <w:r>
        <w:t xml:space="preserve"> 13.35% </w:t>
      </w:r>
      <w:r>
        <w:rPr>
          <w:rFonts w:hint="eastAsia"/>
        </w:rPr>
        <w:t>是狭义、可核验的五项土地和房地产相关税收口径，不是房地产行业全部税收拖累的上限或完整账本。</w:t>
      </w:r>
    </w:p>
    <w:p w14:paraId="4F4887BD">
      <w:pPr>
        <w:pStyle w:val="19"/>
      </w:pPr>
      <w:r>
        <w:rPr>
          <w:rFonts w:hint="eastAsia"/>
        </w:rPr>
        <w:t>税收渠道的稳妥结论应分成两层。第一层是可量化结论：在官方可直接追踪的五项土地和房地产相关税中，2025</w:t>
      </w:r>
      <w:r>
        <w:t xml:space="preserve"> </w:t>
      </w:r>
      <w:r>
        <w:rPr>
          <w:rFonts w:hint="eastAsia"/>
        </w:rPr>
        <w:t>年相对</w:t>
      </w:r>
      <w:r>
        <w:t xml:space="preserve"> 2021 </w:t>
      </w:r>
      <w:r>
        <w:rPr>
          <w:rFonts w:hint="eastAsia"/>
        </w:rPr>
        <w:t>年减少约</w:t>
      </w:r>
      <w:r>
        <w:t xml:space="preserve"> 3067 </w:t>
      </w:r>
      <w:r>
        <w:rPr>
          <w:rFonts w:hint="eastAsia"/>
        </w:rPr>
        <w:t>亿元，2026</w:t>
      </w:r>
      <w:r>
        <w:t xml:space="preserve"> </w:t>
      </w:r>
      <w:r>
        <w:rPr>
          <w:rFonts w:hint="eastAsia"/>
        </w:rPr>
        <w:t>年上半年规模约相当于地方一般公共预算本级收入的</w:t>
      </w:r>
      <w:r>
        <w:t xml:space="preserve"> </w:t>
      </w:r>
      <w:r>
        <w:rPr>
          <w:rFonts w:hint="eastAsia"/>
        </w:rPr>
        <w:t>13.35%，其中契税和土地增值税仍在两位数下滑。第二层是归因边界：市场低迷通过交易和开发税基压低税收的方向成立，但政策优惠、预征率调整、价格和利润变化以及未公开的房地产行业共享税种，使公开证据无法把地方财政收入受影响程度压缩为一个单一、完全归因于房地产低迷的百分比。</w:t>
      </w:r>
    </w:p>
    <w:bookmarkEnd w:id="9"/>
    <w:bookmarkEnd w:id="17"/>
    <w:p w14:paraId="60D4BD40">
      <w:pPr>
        <w:pStyle w:val="3"/>
      </w:pPr>
      <w:bookmarkStart w:id="18" w:name="_Toc1086235427"/>
      <w:bookmarkStart w:id="19" w:name="土地与政府性基金渠道广义财力冲击大于狭义税收冲击"/>
      <w:r>
        <w:rPr>
          <w:rFonts w:hint="eastAsia"/>
        </w:rPr>
        <w:t>土地与政府性基金渠道：广义财力冲击大于狭义税收冲击</w:t>
      </w:r>
      <w:bookmarkEnd w:id="18"/>
    </w:p>
    <w:p w14:paraId="78046339">
      <w:pPr>
        <w:pStyle w:val="168"/>
      </w:pPr>
      <w:r>
        <w:rPr>
          <w:rFonts w:hint="eastAsia"/>
        </w:rPr>
        <w:t>如果只看税收，会低估房地产低迷对地方财力的压力；但如果把国有土地使用权出让收入直接当作税收，又会高估狭义税收冲击。国有土地使用权出让收入属于地方政府性基金预算，是房地产调整向地方财政传导的最大单项收入渠道之一；它对地方一般公共预算的影响，需要经过政府性基金预算、成本性支出和调入安排三道口径过滤。</w:t>
      </w:r>
    </w:p>
    <w:tbl>
      <w:tblPr>
        <w:tblStyle w:val="169"/>
        <w:tblW w:w="0" w:type="auto"/>
        <w:tblInd w:w="0" w:type="dxa"/>
        <w:tblBorders>
          <w:top w:val="single" w:color="D8E0E8" w:sz="4" w:space="0"/>
          <w:left w:val="single" w:color="D8E0E8" w:sz="4" w:space="0"/>
          <w:bottom w:val="single" w:color="D8E0E8" w:sz="4" w:space="0"/>
          <w:right w:val="single" w:color="D8E0E8" w:sz="4" w:space="0"/>
          <w:insideH w:val="single" w:color="D8E0E8" w:sz="4" w:space="0"/>
          <w:insideV w:val="single" w:color="D8E0E8" w:sz="4" w:space="0"/>
        </w:tblBorders>
        <w:tblLayout w:type="autofit"/>
        <w:tblCellMar>
          <w:top w:w="80" w:type="dxa"/>
          <w:left w:w="90" w:type="dxa"/>
          <w:bottom w:w="80" w:type="dxa"/>
          <w:right w:w="90" w:type="dxa"/>
        </w:tblCellMar>
      </w:tblPr>
      <w:tblGrid>
        <w:gridCol w:w="1064"/>
        <w:gridCol w:w="835"/>
        <w:gridCol w:w="3369"/>
        <w:gridCol w:w="1897"/>
        <w:gridCol w:w="2881"/>
      </w:tblGrid>
      <w:tr w14:paraId="016BFE62">
        <w:trPr>
          <w:tblHeader/>
        </w:trPr>
        <w:tc>
          <w:tcPr>
            <w:shd w:val="clear" w:color="auto" w:fill="17324D"/>
          </w:tcPr>
          <w:p w14:paraId="3C3813C9">
            <w:pPr>
              <w:pStyle w:val="167"/>
              <w:rPr>
                <w:b w:val="0"/>
              </w:rPr>
            </w:pPr>
            <w:r>
              <w:rPr>
                <w:rFonts w:hint="eastAsia"/>
                <w:b/>
                <w:color w:val="FFFFFF"/>
                <w:sz w:val="16"/>
                <w:szCs w:val="16"/>
              </w:rPr>
              <w:t>渠道</w:t>
            </w:r>
          </w:p>
        </w:tc>
        <w:tc>
          <w:tcPr>
            <w:shd w:val="clear" w:color="auto" w:fill="17324D"/>
          </w:tcPr>
          <w:p w14:paraId="6BC40F12">
            <w:pPr>
              <w:pStyle w:val="167"/>
              <w:rPr>
                <w:b w:val="0"/>
              </w:rPr>
            </w:pPr>
            <w:r>
              <w:rPr>
                <w:rFonts w:hint="eastAsia"/>
                <w:b/>
                <w:color w:val="FFFFFF"/>
                <w:sz w:val="16"/>
                <w:szCs w:val="16"/>
              </w:rPr>
              <w:t>所属预算</w:t>
            </w:r>
          </w:p>
        </w:tc>
        <w:tc>
          <w:tcPr>
            <w:shd w:val="clear" w:color="auto" w:fill="17324D"/>
          </w:tcPr>
          <w:p w14:paraId="29FA747D">
            <w:pPr>
              <w:pStyle w:val="167"/>
              <w:rPr>
                <w:b w:val="0"/>
              </w:rPr>
            </w:pPr>
            <w:r>
              <w:rPr>
                <w:rFonts w:hint="eastAsia"/>
                <w:b/>
                <w:color w:val="FFFFFF"/>
                <w:sz w:val="16"/>
                <w:szCs w:val="16"/>
              </w:rPr>
              <w:t>2021—2025变化</w:t>
            </w:r>
          </w:p>
        </w:tc>
        <w:tc>
          <w:tcPr>
            <w:shd w:val="clear" w:color="auto" w:fill="17324D"/>
          </w:tcPr>
          <w:p w14:paraId="18EEA9BD">
            <w:pPr>
              <w:pStyle w:val="167"/>
              <w:rPr>
                <w:b w:val="0"/>
              </w:rPr>
            </w:pPr>
            <w:r>
              <w:rPr>
                <w:rFonts w:hint="eastAsia"/>
                <w:b/>
                <w:color w:val="FFFFFF"/>
                <w:sz w:val="16"/>
                <w:szCs w:val="16"/>
              </w:rPr>
              <w:t>2026上半年变化</w:t>
            </w:r>
          </w:p>
        </w:tc>
        <w:tc>
          <w:tcPr>
            <w:shd w:val="clear" w:color="auto" w:fill="17324D"/>
          </w:tcPr>
          <w:p w14:paraId="197BEDE2">
            <w:pPr>
              <w:pStyle w:val="167"/>
              <w:rPr>
                <w:b w:val="0"/>
              </w:rPr>
            </w:pPr>
            <w:r>
              <w:rPr>
                <w:rFonts w:hint="eastAsia"/>
                <w:b/>
                <w:color w:val="FFFFFF"/>
                <w:sz w:val="16"/>
                <w:szCs w:val="16"/>
              </w:rPr>
              <w:t>对一般公共预算的边界</w:t>
            </w:r>
          </w:p>
        </w:tc>
      </w:tr>
      <w:tr w14:paraId="508D0A97">
        <w:tc>
          <w:p w14:paraId="036F57A5">
            <w:pPr>
              <w:pStyle w:val="167"/>
              <w:rPr>
                <w:b w:val="0"/>
              </w:rPr>
            </w:pPr>
            <w:r>
              <w:rPr>
                <w:rFonts w:hint="eastAsia"/>
                <w:b w:val="0"/>
                <w:sz w:val="16"/>
                <w:szCs w:val="16"/>
              </w:rPr>
              <w:t>国有土地使用权出让收入</w:t>
            </w:r>
          </w:p>
        </w:tc>
        <w:tc>
          <w:p w14:paraId="430D41F9">
            <w:pPr>
              <w:pStyle w:val="167"/>
              <w:rPr>
                <w:b w:val="0"/>
              </w:rPr>
            </w:pPr>
            <w:r>
              <w:rPr>
                <w:rFonts w:hint="eastAsia"/>
                <w:b w:val="0"/>
                <w:sz w:val="16"/>
                <w:szCs w:val="16"/>
              </w:rPr>
              <w:t>地方政府性基金预算</w:t>
            </w:r>
          </w:p>
        </w:tc>
        <w:tc>
          <w:p w14:paraId="57B83EFE">
            <w:pPr>
              <w:pStyle w:val="167"/>
              <w:rPr>
                <w:b w:val="0"/>
              </w:rPr>
            </w:pPr>
            <w:r>
              <w:rPr>
                <w:rFonts w:hint="eastAsia"/>
                <w:b w:val="0"/>
                <w:sz w:val="16"/>
                <w:szCs w:val="16"/>
              </w:rPr>
              <w:t>从</w:t>
            </w:r>
            <w:r>
              <w:rPr>
                <w:b w:val="0"/>
                <w:sz w:val="16"/>
                <w:szCs w:val="16"/>
              </w:rPr>
              <w:t xml:space="preserve"> 87051 </w:t>
            </w:r>
            <w:r>
              <w:rPr>
                <w:rFonts w:hint="eastAsia"/>
                <w:b w:val="0"/>
                <w:sz w:val="16"/>
                <w:szCs w:val="16"/>
              </w:rPr>
              <w:t>亿元降至</w:t>
            </w:r>
            <w:r>
              <w:rPr>
                <w:b w:val="0"/>
                <w:sz w:val="16"/>
                <w:szCs w:val="16"/>
              </w:rPr>
              <w:t xml:space="preserve"> 41518 </w:t>
            </w:r>
            <w:r>
              <w:rPr>
                <w:rFonts w:hint="eastAsia"/>
                <w:b w:val="0"/>
                <w:sz w:val="16"/>
                <w:szCs w:val="16"/>
              </w:rPr>
              <w:t>亿元，2022—2025</w:t>
            </w:r>
            <w:r>
              <w:rPr>
                <w:b w:val="0"/>
                <w:sz w:val="16"/>
                <w:szCs w:val="16"/>
              </w:rPr>
              <w:t xml:space="preserve"> </w:t>
            </w:r>
            <w:r>
              <w:rPr>
                <w:rFonts w:hint="eastAsia"/>
                <w:b w:val="0"/>
                <w:sz w:val="16"/>
                <w:szCs w:val="16"/>
              </w:rPr>
              <w:t>连续下降，2025</w:t>
            </w:r>
            <w:r>
              <w:rPr>
                <w:b w:val="0"/>
                <w:sz w:val="16"/>
                <w:szCs w:val="16"/>
              </w:rPr>
              <w:t xml:space="preserve"> </w:t>
            </w:r>
            <w:r>
              <w:rPr>
                <w:rFonts w:hint="eastAsia"/>
                <w:b w:val="0"/>
                <w:sz w:val="16"/>
                <w:szCs w:val="16"/>
              </w:rPr>
              <w:t>年同比下降</w:t>
            </w:r>
            <w:r>
              <w:rPr>
                <w:b w:val="0"/>
                <w:sz w:val="16"/>
                <w:szCs w:val="16"/>
              </w:rPr>
              <w:t xml:space="preserve"> 14.7%[6][7][8][9][5]</w:t>
            </w:r>
          </w:p>
        </w:tc>
        <w:tc>
          <w:p w14:paraId="752DC401">
            <w:pPr>
              <w:pStyle w:val="167"/>
              <w:rPr>
                <w:b w:val="0"/>
              </w:rPr>
            </w:pPr>
            <w:r>
              <w:rPr>
                <w:b w:val="0"/>
                <w:sz w:val="16"/>
                <w:szCs w:val="16"/>
              </w:rPr>
              <w:t xml:space="preserve">9778 </w:t>
            </w:r>
            <w:r>
              <w:rPr>
                <w:rFonts w:hint="eastAsia"/>
                <w:b w:val="0"/>
                <w:sz w:val="16"/>
                <w:szCs w:val="16"/>
              </w:rPr>
              <w:t>亿元，同比下降</w:t>
            </w:r>
            <w:r>
              <w:rPr>
                <w:b w:val="0"/>
                <w:sz w:val="16"/>
                <w:szCs w:val="16"/>
              </w:rPr>
              <w:t xml:space="preserve"> 31.5%[10]</w:t>
            </w:r>
          </w:p>
        </w:tc>
        <w:tc>
          <w:p w14:paraId="06E9D462">
            <w:pPr>
              <w:pStyle w:val="167"/>
              <w:rPr>
                <w:b w:val="0"/>
              </w:rPr>
            </w:pPr>
            <w:r>
              <w:rPr>
                <w:rFonts w:hint="eastAsia"/>
                <w:b w:val="0"/>
                <w:sz w:val="16"/>
                <w:szCs w:val="16"/>
              </w:rPr>
              <w:t>不属于税收，也不直接进入一般公共预算；2025</w:t>
            </w:r>
            <w:r>
              <w:rPr>
                <w:b w:val="0"/>
                <w:sz w:val="16"/>
                <w:szCs w:val="16"/>
              </w:rPr>
              <w:t xml:space="preserve"> </w:t>
            </w:r>
            <w:r>
              <w:rPr>
                <w:rFonts w:hint="eastAsia"/>
                <w:b w:val="0"/>
                <w:sz w:val="16"/>
                <w:szCs w:val="16"/>
              </w:rPr>
              <w:t>年约相当于地方一般公共预算本级收入的</w:t>
            </w:r>
            <w:r>
              <w:rPr>
                <w:b w:val="0"/>
                <w:sz w:val="16"/>
                <w:szCs w:val="16"/>
              </w:rPr>
              <w:t xml:space="preserve"> </w:t>
            </w:r>
            <w:r>
              <w:rPr>
                <w:rFonts w:hint="eastAsia"/>
                <w:b w:val="0"/>
                <w:sz w:val="16"/>
                <w:szCs w:val="16"/>
              </w:rPr>
              <w:t>34.0%，只是跨账本参考[5][32]</w:t>
            </w:r>
          </w:p>
        </w:tc>
      </w:tr>
      <w:tr w14:paraId="6A8C8033">
        <w:tc>
          <w:tcPr>
            <w:shd w:val="clear" w:color="auto" w:fill="F3F7FB"/>
          </w:tcPr>
          <w:p w14:paraId="6CDA1680">
            <w:pPr>
              <w:pStyle w:val="167"/>
              <w:rPr>
                <w:b w:val="0"/>
              </w:rPr>
            </w:pPr>
            <w:r>
              <w:rPr>
                <w:rFonts w:hint="eastAsia"/>
                <w:b w:val="0"/>
                <w:sz w:val="16"/>
                <w:szCs w:val="16"/>
              </w:rPr>
              <w:t>地方政府性基金预算本级收入</w:t>
            </w:r>
          </w:p>
        </w:tc>
        <w:tc>
          <w:tcPr>
            <w:shd w:val="clear" w:color="auto" w:fill="F3F7FB"/>
          </w:tcPr>
          <w:p w14:paraId="2C312280">
            <w:pPr>
              <w:pStyle w:val="167"/>
              <w:rPr>
                <w:b w:val="0"/>
              </w:rPr>
            </w:pPr>
            <w:r>
              <w:rPr>
                <w:rFonts w:hint="eastAsia"/>
                <w:b w:val="0"/>
                <w:sz w:val="16"/>
                <w:szCs w:val="16"/>
              </w:rPr>
              <w:t>政府性基金预算</w:t>
            </w:r>
          </w:p>
        </w:tc>
        <w:tc>
          <w:tcPr>
            <w:shd w:val="clear" w:color="auto" w:fill="F3F7FB"/>
          </w:tcPr>
          <w:p w14:paraId="51C00C26">
            <w:pPr>
              <w:pStyle w:val="167"/>
              <w:rPr>
                <w:b w:val="0"/>
              </w:rPr>
            </w:pPr>
            <w:r>
              <w:rPr>
                <w:rFonts w:hint="eastAsia"/>
                <w:b w:val="0"/>
                <w:sz w:val="16"/>
                <w:szCs w:val="16"/>
              </w:rPr>
              <w:t>土地收入占比从约</w:t>
            </w:r>
            <w:r>
              <w:rPr>
                <w:b w:val="0"/>
                <w:sz w:val="16"/>
                <w:szCs w:val="16"/>
              </w:rPr>
              <w:t xml:space="preserve"> 92.7% </w:t>
            </w:r>
            <w:r>
              <w:rPr>
                <w:rFonts w:hint="eastAsia"/>
                <w:b w:val="0"/>
                <w:sz w:val="16"/>
                <w:szCs w:val="16"/>
              </w:rPr>
              <w:t>降至约</w:t>
            </w:r>
            <w:r>
              <w:rPr>
                <w:b w:val="0"/>
                <w:sz w:val="16"/>
                <w:szCs w:val="16"/>
              </w:rPr>
              <w:t xml:space="preserve"> </w:t>
            </w:r>
            <w:r>
              <w:rPr>
                <w:rFonts w:hint="eastAsia"/>
                <w:b w:val="0"/>
                <w:sz w:val="16"/>
                <w:szCs w:val="16"/>
              </w:rPr>
              <w:t>78.9%，说明政府性基金预算仍高度依赖国有土地使用权出让收入但依赖度有所下降[6][7][8][9][5]</w:t>
            </w:r>
          </w:p>
        </w:tc>
        <w:tc>
          <w:tcPr>
            <w:shd w:val="clear" w:color="auto" w:fill="F3F7FB"/>
          </w:tcPr>
          <w:p w14:paraId="6FD5833F">
            <w:pPr>
              <w:pStyle w:val="167"/>
              <w:rPr>
                <w:b w:val="0"/>
              </w:rPr>
            </w:pPr>
            <w:r>
              <w:rPr>
                <w:rFonts w:hint="eastAsia"/>
                <w:b w:val="0"/>
                <w:sz w:val="16"/>
                <w:szCs w:val="16"/>
              </w:rPr>
              <w:t>本级收入</w:t>
            </w:r>
            <w:r>
              <w:rPr>
                <w:b w:val="0"/>
                <w:sz w:val="16"/>
                <w:szCs w:val="16"/>
              </w:rPr>
              <w:t xml:space="preserve"> 12847 </w:t>
            </w:r>
            <w:r>
              <w:rPr>
                <w:rFonts w:hint="eastAsia"/>
                <w:b w:val="0"/>
                <w:sz w:val="16"/>
                <w:szCs w:val="16"/>
              </w:rPr>
              <w:t>亿元，同比下降</w:t>
            </w:r>
            <w:r>
              <w:rPr>
                <w:b w:val="0"/>
                <w:sz w:val="16"/>
                <w:szCs w:val="16"/>
              </w:rPr>
              <w:t xml:space="preserve"> </w:t>
            </w:r>
            <w:r>
              <w:rPr>
                <w:rFonts w:hint="eastAsia"/>
                <w:b w:val="0"/>
                <w:sz w:val="16"/>
                <w:szCs w:val="16"/>
              </w:rPr>
              <w:t>25.6%；土地收入占比约</w:t>
            </w:r>
            <w:r>
              <w:rPr>
                <w:b w:val="0"/>
                <w:sz w:val="16"/>
                <w:szCs w:val="16"/>
              </w:rPr>
              <w:t xml:space="preserve"> 76.1%[10]</w:t>
            </w:r>
          </w:p>
        </w:tc>
        <w:tc>
          <w:tcPr>
            <w:shd w:val="clear" w:color="auto" w:fill="F3F7FB"/>
          </w:tcPr>
          <w:p w14:paraId="763C58B7">
            <w:pPr>
              <w:pStyle w:val="167"/>
              <w:rPr>
                <w:b w:val="0"/>
              </w:rPr>
            </w:pPr>
            <w:r>
              <w:rPr>
                <w:rFonts w:hint="eastAsia"/>
                <w:b w:val="0"/>
                <w:sz w:val="16"/>
                <w:szCs w:val="16"/>
              </w:rPr>
              <w:t>首先冲击政府性基金预算收支，不等同于地方一般公共预算本级收入同比变化</w:t>
            </w:r>
          </w:p>
        </w:tc>
      </w:tr>
      <w:tr w14:paraId="72AA21E0">
        <w:tc>
          <w:p w14:paraId="7481BBFC">
            <w:pPr>
              <w:pStyle w:val="167"/>
              <w:rPr>
                <w:b w:val="0"/>
              </w:rPr>
            </w:pPr>
            <w:r>
              <w:rPr>
                <w:rFonts w:hint="eastAsia"/>
                <w:b w:val="0"/>
                <w:sz w:val="16"/>
                <w:szCs w:val="16"/>
              </w:rPr>
              <w:t>国有土地使用权出让收入相关支出与预算缓冲</w:t>
            </w:r>
          </w:p>
        </w:tc>
        <w:tc>
          <w:p w14:paraId="3A047E42">
            <w:pPr>
              <w:pStyle w:val="167"/>
              <w:rPr>
                <w:b w:val="0"/>
              </w:rPr>
            </w:pPr>
            <w:r>
              <w:rPr>
                <w:rFonts w:hint="eastAsia"/>
                <w:b w:val="0"/>
                <w:sz w:val="16"/>
                <w:szCs w:val="16"/>
              </w:rPr>
              <w:t>政府性基金预算及预算调入安排</w:t>
            </w:r>
          </w:p>
        </w:tc>
        <w:tc>
          <w:p w14:paraId="10BF600B">
            <w:pPr>
              <w:pStyle w:val="167"/>
              <w:rPr>
                <w:b w:val="0"/>
              </w:rPr>
            </w:pPr>
            <w:r>
              <w:rPr>
                <w:b w:val="0"/>
                <w:sz w:val="16"/>
                <w:szCs w:val="16"/>
              </w:rPr>
              <w:t xml:space="preserve">2024 </w:t>
            </w:r>
            <w:r>
              <w:rPr>
                <w:rFonts w:hint="eastAsia"/>
                <w:b w:val="0"/>
                <w:sz w:val="16"/>
                <w:szCs w:val="16"/>
              </w:rPr>
              <w:t>年国有土地使用权出让收入相关支出</w:t>
            </w:r>
            <w:r>
              <w:rPr>
                <w:b w:val="0"/>
                <w:sz w:val="16"/>
                <w:szCs w:val="16"/>
              </w:rPr>
              <w:t xml:space="preserve"> 50812 </w:t>
            </w:r>
            <w:r>
              <w:rPr>
                <w:rFonts w:hint="eastAsia"/>
                <w:b w:val="0"/>
                <w:sz w:val="16"/>
                <w:szCs w:val="16"/>
              </w:rPr>
              <w:t>亿元、下降</w:t>
            </w:r>
            <w:r>
              <w:rPr>
                <w:b w:val="0"/>
                <w:sz w:val="16"/>
                <w:szCs w:val="16"/>
              </w:rPr>
              <w:t xml:space="preserve"> </w:t>
            </w:r>
            <w:r>
              <w:rPr>
                <w:rFonts w:hint="eastAsia"/>
                <w:b w:val="0"/>
                <w:sz w:val="16"/>
                <w:szCs w:val="16"/>
              </w:rPr>
              <w:t>8.6%；2025</w:t>
            </w:r>
            <w:r>
              <w:rPr>
                <w:b w:val="0"/>
                <w:sz w:val="16"/>
                <w:szCs w:val="16"/>
              </w:rPr>
              <w:t xml:space="preserve"> </w:t>
            </w:r>
            <w:r>
              <w:rPr>
                <w:rFonts w:hint="eastAsia"/>
                <w:b w:val="0"/>
                <w:sz w:val="16"/>
                <w:szCs w:val="16"/>
              </w:rPr>
              <w:t>年</w:t>
            </w:r>
            <w:r>
              <w:rPr>
                <w:b w:val="0"/>
                <w:sz w:val="16"/>
                <w:szCs w:val="16"/>
              </w:rPr>
              <w:t xml:space="preserve"> 47120 </w:t>
            </w:r>
            <w:r>
              <w:rPr>
                <w:rFonts w:hint="eastAsia"/>
                <w:b w:val="0"/>
                <w:sz w:val="16"/>
                <w:szCs w:val="16"/>
              </w:rPr>
              <w:t>亿元、下降</w:t>
            </w:r>
            <w:r>
              <w:rPr>
                <w:b w:val="0"/>
                <w:sz w:val="16"/>
                <w:szCs w:val="16"/>
              </w:rPr>
              <w:t xml:space="preserve"> 7.6%[9][5]</w:t>
            </w:r>
          </w:p>
        </w:tc>
        <w:tc>
          <w:p w14:paraId="25725460">
            <w:pPr>
              <w:pStyle w:val="167"/>
              <w:rPr>
                <w:b w:val="0"/>
              </w:rPr>
            </w:pPr>
            <w:r>
              <w:rPr>
                <w:b w:val="0"/>
                <w:sz w:val="16"/>
                <w:szCs w:val="16"/>
              </w:rPr>
              <w:t xml:space="preserve">2026 </w:t>
            </w:r>
            <w:r>
              <w:rPr>
                <w:rFonts w:hint="eastAsia"/>
                <w:b w:val="0"/>
                <w:sz w:val="16"/>
                <w:szCs w:val="16"/>
              </w:rPr>
              <w:t>年上半年相关支出</w:t>
            </w:r>
            <w:r>
              <w:rPr>
                <w:b w:val="0"/>
                <w:sz w:val="16"/>
                <w:szCs w:val="16"/>
              </w:rPr>
              <w:t xml:space="preserve"> 17105 </w:t>
            </w:r>
            <w:r>
              <w:rPr>
                <w:rFonts w:hint="eastAsia"/>
                <w:b w:val="0"/>
                <w:sz w:val="16"/>
                <w:szCs w:val="16"/>
              </w:rPr>
              <w:t>亿元、同比下降</w:t>
            </w:r>
            <w:r>
              <w:rPr>
                <w:b w:val="0"/>
                <w:sz w:val="16"/>
                <w:szCs w:val="16"/>
              </w:rPr>
              <w:t xml:space="preserve"> 17%[10]</w:t>
            </w:r>
          </w:p>
        </w:tc>
        <w:tc>
          <w:p w14:paraId="63497E36">
            <w:pPr>
              <w:pStyle w:val="167"/>
              <w:rPr>
                <w:b w:val="0"/>
              </w:rPr>
            </w:pPr>
            <w:r>
              <w:rPr>
                <w:rFonts w:hint="eastAsia"/>
                <w:b w:val="0"/>
                <w:sz w:val="16"/>
                <w:szCs w:val="16"/>
              </w:rPr>
              <w:t>土地收入是毛收入，收入减少会伴随部分成本性支出减少；专项债等筹资可支撑政府性基金预算支出，但不是经常性财政收入[33][34]</w:t>
            </w:r>
          </w:p>
        </w:tc>
      </w:tr>
    </w:tbl>
    <w:p w14:paraId="46B44243">
      <w:pPr>
        <w:pStyle w:val="4"/>
      </w:pPr>
      <w:bookmarkStart w:id="20" w:name="_Toc600338442"/>
      <w:bookmarkStart w:id="21" w:name="国有土地使用权出让收入是房地产低迷传导到地方财力的最大单项渠道但它属于政府性基金"/>
      <w:r>
        <w:rPr>
          <w:rFonts w:hint="eastAsia"/>
        </w:rPr>
        <w:t>国有土地使用权出让收入是房地产低迷传导到地方财力的最大单项渠道，但它属于政府性基金</w:t>
      </w:r>
      <w:bookmarkEnd w:id="20"/>
    </w:p>
    <w:p w14:paraId="54B6D0F1">
      <w:pPr>
        <w:pStyle w:val="168"/>
      </w:pPr>
      <w:r>
        <w:rPr>
          <w:rFonts w:hint="eastAsia"/>
        </w:rPr>
        <w:t>国有土地使用权出让收入的财政属性决定了它必须单列为“广义财力”渠道，而不是并入税收收入。财政部对这一口径的说明是，国有土地使用权出让收入是市县政府以土地所有者身份出让国有土地使用权取得的收入；自</w:t>
      </w:r>
      <w:r>
        <w:t xml:space="preserve"> 2007 </w:t>
      </w:r>
      <w:r>
        <w:rPr>
          <w:rFonts w:hint="eastAsia"/>
        </w:rPr>
        <w:t>年起，全部国有土地使用权出让收入缴入地方国库，纳入地方政府性基金预算管理，并与公共财政预算分开核算、专款专用[32]。这一定义使它与契税、土地增值税等税种不同：房地产低迷会同时压低税基和土地出让，但国有土地使用权出让收入下降首先改变的是政府性基金预算的收入能力。</w:t>
      </w:r>
    </w:p>
    <w:p w14:paraId="502E922B">
      <w:pPr>
        <w:pStyle w:val="19"/>
      </w:pPr>
      <w:r>
        <w:rPr>
          <w:rFonts w:hint="eastAsia"/>
        </w:rPr>
        <w:t>从年度财政收支看，国有土地使用权出让收入的收缩幅度已经远大于狭义涉房税收可量化下降所能覆盖的范围。全国国有土地使用权出让收入从</w:t>
      </w:r>
      <w:r>
        <w:t xml:space="preserve"> 2021 </w:t>
      </w:r>
      <w:r>
        <w:rPr>
          <w:rFonts w:hint="eastAsia"/>
        </w:rPr>
        <w:t>年</w:t>
      </w:r>
      <w:r>
        <w:t xml:space="preserve"> 87051 </w:t>
      </w:r>
      <w:r>
        <w:rPr>
          <w:rFonts w:hint="eastAsia"/>
        </w:rPr>
        <w:t>亿元降至</w:t>
      </w:r>
      <w:r>
        <w:t xml:space="preserve"> 2025 </w:t>
      </w:r>
      <w:r>
        <w:rPr>
          <w:rFonts w:hint="eastAsia"/>
        </w:rPr>
        <w:t>年</w:t>
      </w:r>
      <w:r>
        <w:t xml:space="preserve"> 41518 </w:t>
      </w:r>
      <w:r>
        <w:rPr>
          <w:rFonts w:hint="eastAsia"/>
        </w:rPr>
        <w:t>亿元，2022</w:t>
      </w:r>
      <w:r>
        <w:t xml:space="preserve"> </w:t>
      </w:r>
      <w:r>
        <w:rPr>
          <w:rFonts w:hint="eastAsia"/>
        </w:rPr>
        <w:t>年、2023</w:t>
      </w:r>
      <w:r>
        <w:t xml:space="preserve"> </w:t>
      </w:r>
      <w:r>
        <w:rPr>
          <w:rFonts w:hint="eastAsia"/>
        </w:rPr>
        <w:t>年、2024</w:t>
      </w:r>
      <w:r>
        <w:t xml:space="preserve"> </w:t>
      </w:r>
      <w:r>
        <w:rPr>
          <w:rFonts w:hint="eastAsia"/>
        </w:rPr>
        <w:t>年和</w:t>
      </w:r>
      <w:r>
        <w:t xml:space="preserve"> 2025 </w:t>
      </w:r>
      <w:r>
        <w:rPr>
          <w:rFonts w:hint="eastAsia"/>
        </w:rPr>
        <w:t>年分别同比下降</w:t>
      </w:r>
      <w:r>
        <w:t xml:space="preserve"> 23.3%、13.2%、16% </w:t>
      </w:r>
      <w:r>
        <w:rPr>
          <w:rFonts w:hint="eastAsia"/>
        </w:rPr>
        <w:t>和</w:t>
      </w:r>
      <w:r>
        <w:t xml:space="preserve"> </w:t>
      </w:r>
      <w:r>
        <w:rPr>
          <w:rFonts w:hint="eastAsia"/>
        </w:rPr>
        <w:t>14.7%[6][7][8][9][5]。这意味着地方政府在土地端面对的是连续多年、累计超过四万亿元级的毛收入回落，而不是某一年局部波动。</w:t>
      </w:r>
    </w:p>
    <w:p w14:paraId="19492209">
      <w:pPr>
        <w:pStyle w:val="19"/>
      </w:pPr>
      <w:r>
        <w:rPr>
          <w:rFonts w:hint="eastAsia"/>
        </w:rPr>
        <w:t>最新执行数显示，土地和基金端的收缩并未结束。2026</w:t>
      </w:r>
      <w:r>
        <w:t xml:space="preserve"> </w:t>
      </w:r>
      <w:r>
        <w:rPr>
          <w:rFonts w:hint="eastAsia"/>
        </w:rPr>
        <w:t>年上半年，全国政府性基金预算收入</w:t>
      </w:r>
      <w:r>
        <w:t xml:space="preserve"> 15244 </w:t>
      </w:r>
      <w:r>
        <w:rPr>
          <w:rFonts w:hint="eastAsia"/>
        </w:rPr>
        <w:t>亿元、同比下降</w:t>
      </w:r>
      <w:r>
        <w:t xml:space="preserve"> </w:t>
      </w:r>
      <w:r>
        <w:rPr>
          <w:rFonts w:hint="eastAsia"/>
        </w:rPr>
        <w:t>21.6%；地方政府性基金预算本级收入</w:t>
      </w:r>
      <w:r>
        <w:t xml:space="preserve"> 12847 </w:t>
      </w:r>
      <w:r>
        <w:rPr>
          <w:rFonts w:hint="eastAsia"/>
        </w:rPr>
        <w:t>亿元、同比下降</w:t>
      </w:r>
      <w:r>
        <w:t xml:space="preserve"> </w:t>
      </w:r>
      <w:r>
        <w:rPr>
          <w:rFonts w:hint="eastAsia"/>
        </w:rPr>
        <w:t>25.6%；其中，国有土地使用权出让收入</w:t>
      </w:r>
      <w:r>
        <w:t xml:space="preserve"> 9778 </w:t>
      </w:r>
      <w:r>
        <w:rPr>
          <w:rFonts w:hint="eastAsia"/>
        </w:rPr>
        <w:t>亿元、同比下降</w:t>
      </w:r>
      <w:r>
        <w:t xml:space="preserve"> </w:t>
      </w:r>
      <w:r>
        <w:rPr>
          <w:rFonts w:hint="eastAsia"/>
        </w:rPr>
        <w:t>31.5%[10]。国有土地使用权出让收入降幅大于地方基金本级收入整体降幅，说明房地产土地端仍是政府性基金预算收缩的核心拖累项。</w:t>
      </w:r>
    </w:p>
    <w:p w14:paraId="5BC4926F">
      <w:pPr>
        <w:pStyle w:val="19"/>
      </w:pPr>
      <w:r>
        <w:rPr>
          <w:rFonts w:hint="eastAsia"/>
        </w:rPr>
        <w:t>土地收入在地方政府性基金预算中的高占比解释了为什么这一渠道会放大地方财政压力。按财政部数据计算，国有土地使用权出让收入占地方政府性基金预算本级收入的比重，2021—2025</w:t>
      </w:r>
      <w:r>
        <w:t xml:space="preserve"> </w:t>
      </w:r>
      <w:r>
        <w:rPr>
          <w:rFonts w:hint="eastAsia"/>
        </w:rPr>
        <w:t>年分别约为</w:t>
      </w:r>
      <w:r>
        <w:t xml:space="preserve"> 92.7%、90.6%、87.5%、84.9% </w:t>
      </w:r>
      <w:r>
        <w:rPr>
          <w:rFonts w:hint="eastAsia"/>
        </w:rPr>
        <w:t>和</w:t>
      </w:r>
      <w:r>
        <w:t xml:space="preserve"> </w:t>
      </w:r>
      <w:r>
        <w:rPr>
          <w:rFonts w:hint="eastAsia"/>
        </w:rPr>
        <w:t>78.9%，2026</w:t>
      </w:r>
      <w:r>
        <w:t xml:space="preserve"> </w:t>
      </w:r>
      <w:r>
        <w:rPr>
          <w:rFonts w:hint="eastAsia"/>
        </w:rPr>
        <w:t>年上半年仍约为</w:t>
      </w:r>
      <w:r>
        <w:t xml:space="preserve"> </w:t>
      </w:r>
      <w:r>
        <w:rPr>
          <w:rFonts w:hint="eastAsia"/>
        </w:rPr>
        <w:t>76.1%[6][7][8][9][5][10]。占比下降说明政府性基金预算收入结构有所变化，但三四分之三以上的最新占比也表明，土地收入下行仍会直接压缩地方政府性基金预算的主体收入来源。</w:t>
      </w:r>
    </w:p>
    <w:p w14:paraId="5F1FB7A4">
      <w:pPr>
        <w:pStyle w:val="19"/>
      </w:pPr>
      <w:r>
        <w:rPr>
          <w:rFonts w:hint="eastAsia"/>
        </w:rPr>
        <w:t>把国有土地使用权出让收入放到地方一般公共预算旁边作参考，可以看出量级之大，但不能改变它的预算属性。2025</w:t>
      </w:r>
      <w:r>
        <w:t xml:space="preserve"> </w:t>
      </w:r>
      <w:r>
        <w:rPr>
          <w:rFonts w:hint="eastAsia"/>
        </w:rPr>
        <w:t>年国有土地使用权出让收入</w:t>
      </w:r>
      <w:r>
        <w:t xml:space="preserve"> 41518 </w:t>
      </w:r>
      <w:r>
        <w:rPr>
          <w:rFonts w:hint="eastAsia"/>
        </w:rPr>
        <w:t>亿元，约相当于地方一般公共预算本级收入</w:t>
      </w:r>
      <w:r>
        <w:t xml:space="preserve"> 122082 </w:t>
      </w:r>
      <w:r>
        <w:rPr>
          <w:rFonts w:hint="eastAsia"/>
        </w:rPr>
        <w:t>亿元的</w:t>
      </w:r>
      <w:r>
        <w:t xml:space="preserve"> </w:t>
      </w:r>
      <w:r>
        <w:rPr>
          <w:rFonts w:hint="eastAsia"/>
        </w:rPr>
        <w:t>34.0%；2026</w:t>
      </w:r>
      <w:r>
        <w:t xml:space="preserve"> </w:t>
      </w:r>
      <w:r>
        <w:rPr>
          <w:rFonts w:hint="eastAsia"/>
        </w:rPr>
        <w:t>年上半年国有土地使用权出让收入</w:t>
      </w:r>
      <w:r>
        <w:t xml:space="preserve"> 9778 </w:t>
      </w:r>
      <w:r>
        <w:rPr>
          <w:rFonts w:hint="eastAsia"/>
        </w:rPr>
        <w:t>亿元，约相当于同期地方一般公共预算本级收入</w:t>
      </w:r>
      <w:r>
        <w:t xml:space="preserve"> 68807 </w:t>
      </w:r>
      <w:r>
        <w:rPr>
          <w:rFonts w:hint="eastAsia"/>
        </w:rPr>
        <w:t>亿元的</w:t>
      </w:r>
      <w:r>
        <w:t xml:space="preserve"> </w:t>
      </w:r>
      <w:r>
        <w:rPr>
          <w:rFonts w:hint="eastAsia"/>
        </w:rPr>
        <w:t>14.2%[5][10]。这些比值只能说明土地端冲击足以影响地方可用财力的判断，不能推出国有土地使用权出让收入属于一般公共预算收入，更不能把它作为“政府税收减少”的组成部分。</w:t>
      </w:r>
    </w:p>
    <w:bookmarkEnd w:id="21"/>
    <w:p w14:paraId="48DA7C58">
      <w:pPr>
        <w:pStyle w:val="4"/>
      </w:pPr>
      <w:bookmarkStart w:id="22" w:name="_Toc1010021088"/>
      <w:bookmarkStart w:id="23" w:name="土地市场和财政入库之间存在滞后与口径差异"/>
      <w:r>
        <w:rPr>
          <w:rFonts w:hint="eastAsia"/>
        </w:rPr>
        <w:t>土地市场和财政入库之间存在滞后与口径差异</w:t>
      </w:r>
      <w:bookmarkEnd w:id="22"/>
    </w:p>
    <w:p w14:paraId="3B04D67C">
      <w:pPr>
        <w:pStyle w:val="168"/>
      </w:pPr>
      <w:r>
        <w:rPr>
          <w:rFonts w:hint="eastAsia"/>
        </w:rPr>
        <w:t>土地市场成交数据可以说明低迷方向，却不能直接替代财政部的国有土地使用权出让收入。财政部早在解释国有土地使用权出让收入口径时就指出，土地出让合同成交价款与缴入国库的国有土地使用权出让收入存在差异：合同成交价款口径较小，不含补缴土地价款、划拨土地收入和其他收入，而且合同价款可分期缴纳[32]。广发固收对中指院“土地出让金”与财政口径的比较也指出，从签约到入库存在</w:t>
      </w:r>
      <w:r>
        <w:t xml:space="preserve"> 1 </w:t>
      </w:r>
      <w:r>
        <w:rPr>
          <w:rFonts w:hint="eastAsia"/>
        </w:rPr>
        <w:t>个月至</w:t>
      </w:r>
      <w:r>
        <w:t xml:space="preserve"> 1 </w:t>
      </w:r>
      <w:r>
        <w:rPr>
          <w:rFonts w:hint="eastAsia"/>
        </w:rPr>
        <w:t>年的滞后，出让金还需经过划转和计提后才部分计入国有土地使用权出让收入[35]。</w:t>
      </w:r>
    </w:p>
    <w:p w14:paraId="4F37599C">
      <w:pPr>
        <w:pStyle w:val="19"/>
      </w:pPr>
      <w:r>
        <w:rPr>
          <w:rFonts w:hint="eastAsia"/>
        </w:rPr>
        <w:t>第三方土地市场样本与财政入库数据的方向相互印证，但它们回答的是不同问题。民生证券</w:t>
      </w:r>
      <w:r>
        <w:t xml:space="preserve"> 2025 </w:t>
      </w:r>
      <w:r>
        <w:rPr>
          <w:rFonts w:hint="eastAsia"/>
        </w:rPr>
        <w:t>年</w:t>
      </w:r>
      <w:r>
        <w:t xml:space="preserve"> 7 </w:t>
      </w:r>
      <w:r>
        <w:rPr>
          <w:rFonts w:hint="eastAsia"/>
        </w:rPr>
        <w:t>月重点</w:t>
      </w:r>
      <w:r>
        <w:t xml:space="preserve"> 23 </w:t>
      </w:r>
      <w:r>
        <w:rPr>
          <w:rFonts w:hint="eastAsia"/>
        </w:rPr>
        <w:t>城涉宅用地点评显示，当月供应</w:t>
      </w:r>
      <w:r>
        <w:t xml:space="preserve"> 106 </w:t>
      </w:r>
      <w:r>
        <w:rPr>
          <w:rFonts w:hint="eastAsia"/>
        </w:rPr>
        <w:t>宗、推出规划建筑面积</w:t>
      </w:r>
      <w:r>
        <w:t xml:space="preserve"> 343.9 </w:t>
      </w:r>
      <w:r>
        <w:rPr>
          <w:rFonts w:hint="eastAsia"/>
        </w:rPr>
        <w:t>万平方米、环比降低</w:t>
      </w:r>
      <w:r>
        <w:t xml:space="preserve"> </w:t>
      </w:r>
      <w:r>
        <w:rPr>
          <w:rFonts w:hint="eastAsia"/>
        </w:rPr>
        <w:t>62.9%；成交土地出让金</w:t>
      </w:r>
      <w:r>
        <w:t xml:space="preserve"> 888.88 </w:t>
      </w:r>
      <w:r>
        <w:rPr>
          <w:rFonts w:hint="eastAsia"/>
        </w:rPr>
        <w:t>亿元、环比下降</w:t>
      </w:r>
      <w:r>
        <w:t xml:space="preserve"> </w:t>
      </w:r>
      <w:r>
        <w:rPr>
          <w:rFonts w:hint="eastAsia"/>
        </w:rPr>
        <w:t>41%，同时溢价率达到</w:t>
      </w:r>
      <w:r>
        <w:t xml:space="preserve"> </w:t>
      </w:r>
      <w:r>
        <w:rPr>
          <w:rFonts w:hint="eastAsia"/>
        </w:rPr>
        <w:t>12.41%[36]。这一组数据说明重点城市月度土地市场仍有明显波动，不能把单月成交额直接换算成全国财政入库收入；溢价率回升还提示，局部热度改善与总体收入收缩可以同时存在。</w:t>
      </w:r>
    </w:p>
    <w:p w14:paraId="5A887D12">
      <w:pPr>
        <w:pStyle w:val="19"/>
      </w:pPr>
      <w:r>
        <w:rPr>
          <w:rFonts w:hint="eastAsia"/>
        </w:rPr>
        <w:t>58安居客房产研究院的</w:t>
      </w:r>
      <w:r>
        <w:t xml:space="preserve"> 65 </w:t>
      </w:r>
      <w:r>
        <w:rPr>
          <w:rFonts w:hint="eastAsia"/>
        </w:rPr>
        <w:t>个重点城市年报提供了更长窗口的样本证据。2025</w:t>
      </w:r>
      <w:r>
        <w:t xml:space="preserve"> </w:t>
      </w:r>
      <w:r>
        <w:rPr>
          <w:rFonts w:hint="eastAsia"/>
        </w:rPr>
        <w:t>年，65</w:t>
      </w:r>
      <w:r>
        <w:t xml:space="preserve"> </w:t>
      </w:r>
      <w:r>
        <w:rPr>
          <w:rFonts w:hint="eastAsia"/>
        </w:rPr>
        <w:t>个重点城市经营性土地出让金约</w:t>
      </w:r>
      <w:r>
        <w:t xml:space="preserve"> 16774.86 </w:t>
      </w:r>
      <w:r>
        <w:rPr>
          <w:rFonts w:hint="eastAsia"/>
        </w:rPr>
        <w:t>亿元、同比下降</w:t>
      </w:r>
      <w:r>
        <w:t xml:space="preserve"> </w:t>
      </w:r>
      <w:r>
        <w:rPr>
          <w:rFonts w:hint="eastAsia"/>
        </w:rPr>
        <w:t>11%，其中涉宅用地出让金</w:t>
      </w:r>
      <w:r>
        <w:t xml:space="preserve"> 13667.38 </w:t>
      </w:r>
      <w:r>
        <w:rPr>
          <w:rFonts w:hint="eastAsia"/>
        </w:rPr>
        <w:t>亿元、同比下降</w:t>
      </w:r>
      <w:r>
        <w:t xml:space="preserve"> </w:t>
      </w:r>
      <w:r>
        <w:rPr>
          <w:rFonts w:hint="eastAsia"/>
        </w:rPr>
        <w:t>10%，占经营性土地出让金的</w:t>
      </w:r>
      <w:r>
        <w:t xml:space="preserve"> </w:t>
      </w:r>
      <w:r>
        <w:rPr>
          <w:rFonts w:hint="eastAsia"/>
        </w:rPr>
        <w:t>81.5%；重点</w:t>
      </w:r>
      <w:r>
        <w:t xml:space="preserve"> 65 </w:t>
      </w:r>
      <w:r>
        <w:rPr>
          <w:rFonts w:hint="eastAsia"/>
        </w:rPr>
        <w:t>城涉宅用地累计流拍</w:t>
      </w:r>
      <w:r>
        <w:t xml:space="preserve"> 158 </w:t>
      </w:r>
      <w:r>
        <w:rPr>
          <w:rFonts w:hint="eastAsia"/>
        </w:rPr>
        <w:t>宗、流拍率</w:t>
      </w:r>
      <w:r>
        <w:t xml:space="preserve"> </w:t>
      </w:r>
      <w:r>
        <w:rPr>
          <w:rFonts w:hint="eastAsia"/>
        </w:rPr>
        <w:t>6.6%，且一线城市零流拍、二线城市</w:t>
      </w:r>
      <w:r>
        <w:t xml:space="preserve"> </w:t>
      </w:r>
      <w:r>
        <w:rPr>
          <w:rFonts w:hint="eastAsia"/>
        </w:rPr>
        <w:t>6.5%、三四线城市</w:t>
      </w:r>
      <w:r>
        <w:t xml:space="preserve"> </w:t>
      </w:r>
      <w:r>
        <w:rPr>
          <w:rFonts w:hint="eastAsia"/>
        </w:rPr>
        <w:t>14.6%；核心</w:t>
      </w:r>
      <w:r>
        <w:t xml:space="preserve"> 24 </w:t>
      </w:r>
      <w:r>
        <w:rPr>
          <w:rFonts w:hint="eastAsia"/>
        </w:rPr>
        <w:t>城经营性土地成交总规划建筑面积同比下降</w:t>
      </w:r>
      <w:r>
        <w:t xml:space="preserve"> </w:t>
      </w:r>
      <w:r>
        <w:rPr>
          <w:rFonts w:hint="eastAsia"/>
        </w:rPr>
        <w:t>16.7%，涉宅用地成交总规划建筑面积同比下降</w:t>
      </w:r>
      <w:r>
        <w:t xml:space="preserve"> </w:t>
      </w:r>
      <w:r>
        <w:rPr>
          <w:rFonts w:hint="eastAsia"/>
        </w:rPr>
        <w:t>12.7%[37]。这些数据支持土地市场仍处收缩状态，但样本集中于重点城市和机构口径，不能外推为自然资源部全国全口径的供应、成交或流拍率。</w:t>
      </w:r>
    </w:p>
    <w:p w14:paraId="78CEEB37">
      <w:pPr>
        <w:pStyle w:val="19"/>
      </w:pPr>
      <w:r>
        <w:rPr>
          <w:rFonts w:hint="eastAsia"/>
        </w:rPr>
        <w:t>克而瑞地产研究的</w:t>
      </w:r>
      <w:r>
        <w:t xml:space="preserve"> 2025 </w:t>
      </w:r>
      <w:r>
        <w:rPr>
          <w:rFonts w:hint="eastAsia"/>
        </w:rPr>
        <w:t>年</w:t>
      </w:r>
      <w:r>
        <w:t xml:space="preserve"> 11 </w:t>
      </w:r>
      <w:r>
        <w:rPr>
          <w:rFonts w:hint="eastAsia"/>
        </w:rPr>
        <w:t>月月末快报同样显示“环比修复、同比收缩”的组合。该口径下，截至</w:t>
      </w:r>
      <w:r>
        <w:t xml:space="preserve"> 11 </w:t>
      </w:r>
      <w:r>
        <w:rPr>
          <w:rFonts w:hint="eastAsia"/>
        </w:rPr>
        <w:t>月</w:t>
      </w:r>
      <w:r>
        <w:t xml:space="preserve"> 25 </w:t>
      </w:r>
      <w:r>
        <w:rPr>
          <w:rFonts w:hint="eastAsia"/>
        </w:rPr>
        <w:t>日，当月土地供应建筑面积</w:t>
      </w:r>
      <w:r>
        <w:t xml:space="preserve"> 2.9 </w:t>
      </w:r>
      <w:r>
        <w:rPr>
          <w:rFonts w:hint="eastAsia"/>
        </w:rPr>
        <w:t>亿平方米、同比下降</w:t>
      </w:r>
      <w:r>
        <w:t xml:space="preserve"> </w:t>
      </w:r>
      <w:r>
        <w:rPr>
          <w:rFonts w:hint="eastAsia"/>
        </w:rPr>
        <w:t>9%；成交建筑面积</w:t>
      </w:r>
      <w:r>
        <w:t xml:space="preserve"> 8604 </w:t>
      </w:r>
      <w:r>
        <w:rPr>
          <w:rFonts w:hint="eastAsia"/>
        </w:rPr>
        <w:t>万平方米、环比增长</w:t>
      </w:r>
      <w:r>
        <w:t xml:space="preserve"> 39% </w:t>
      </w:r>
      <w:r>
        <w:rPr>
          <w:rFonts w:hint="eastAsia"/>
        </w:rPr>
        <w:t>但同比下降</w:t>
      </w:r>
      <w:r>
        <w:t xml:space="preserve"> </w:t>
      </w:r>
      <w:r>
        <w:rPr>
          <w:rFonts w:hint="eastAsia"/>
        </w:rPr>
        <w:t>27%；成交金额环比增长</w:t>
      </w:r>
      <w:r>
        <w:t xml:space="preserve"> 57% </w:t>
      </w:r>
      <w:r>
        <w:rPr>
          <w:rFonts w:hint="eastAsia"/>
        </w:rPr>
        <w:t>但同比下降</w:t>
      </w:r>
      <w:r>
        <w:t xml:space="preserve"> </w:t>
      </w:r>
      <w:r>
        <w:rPr>
          <w:rFonts w:hint="eastAsia"/>
        </w:rPr>
        <w:t>28%；平均溢价率</w:t>
      </w:r>
      <w:r>
        <w:t xml:space="preserve"> </w:t>
      </w:r>
      <w:r>
        <w:rPr>
          <w:rFonts w:hint="eastAsia"/>
        </w:rPr>
        <w:t>4.1%，土地流拍率</w:t>
      </w:r>
      <w:r>
        <w:t xml:space="preserve"> </w:t>
      </w:r>
      <w:r>
        <w:rPr>
          <w:rFonts w:hint="eastAsia"/>
        </w:rPr>
        <w:t>9%[38]。这种组合说明，年末供地放量或核心城市热度回升不等于财政土地收入已经恢复；财政判断应以入库口径为主，市场数据只用来解释方向和节奏。</w:t>
      </w:r>
    </w:p>
    <w:bookmarkEnd w:id="23"/>
    <w:p w14:paraId="78479E28">
      <w:pPr>
        <w:pStyle w:val="4"/>
      </w:pPr>
      <w:bookmarkStart w:id="24" w:name="_Toc1713680128"/>
      <w:bookmarkStart w:id="25" w:name="从一般公共预算看土地下降的净冲击小于毛收入跌幅但仍显著"/>
      <w:r>
        <w:rPr>
          <w:rFonts w:hint="eastAsia"/>
        </w:rPr>
        <w:t>从一般公共预算看，土地下降的净冲击小于毛收入跌幅但仍显著</w:t>
      </w:r>
      <w:bookmarkEnd w:id="24"/>
    </w:p>
    <w:p w14:paraId="6A3D089D">
      <w:pPr>
        <w:pStyle w:val="168"/>
      </w:pPr>
      <w:r>
        <w:rPr>
          <w:rFonts w:hint="eastAsia"/>
        </w:rPr>
        <w:t>土地收入下降对一般公共预算的净影响，不能按毛收入减少额一比一外推。财政部部长刘昆在</w:t>
      </w:r>
      <w:r>
        <w:t xml:space="preserve"> 2023 </w:t>
      </w:r>
      <w:r>
        <w:rPr>
          <w:rFonts w:hint="eastAsia"/>
        </w:rPr>
        <w:t>年国新办发布会上解释，国有土地使用权出让收入列地方政府性基金预算，部分收入调入一般公共预算使用，约占地方政府性基金预算</w:t>
      </w:r>
      <w:r>
        <w:t xml:space="preserve"> 15% </w:t>
      </w:r>
      <w:r>
        <w:rPr>
          <w:rFonts w:hint="eastAsia"/>
        </w:rPr>
        <w:t>左右；若按</w:t>
      </w:r>
      <w:r>
        <w:t xml:space="preserve"> 2022 </w:t>
      </w:r>
      <w:r>
        <w:rPr>
          <w:rFonts w:hint="eastAsia"/>
        </w:rPr>
        <w:t>年国有土地使用权出让收入减收约</w:t>
      </w:r>
      <w:r>
        <w:t xml:space="preserve"> 2 </w:t>
      </w:r>
      <w:r>
        <w:rPr>
          <w:rFonts w:hint="eastAsia"/>
        </w:rPr>
        <w:t>万亿元匡算，影响地方一般公共预算财力约</w:t>
      </w:r>
      <w:r>
        <w:t xml:space="preserve"> 3000 </w:t>
      </w:r>
      <w:r>
        <w:rPr>
          <w:rFonts w:hint="eastAsia"/>
        </w:rPr>
        <w:t>亿元[33]。这一路径说明，国有土地使用权出让收入对地方一般公共预算的影响是真实存在的，但通过“调入比例”传导，量级低于土地毛收入的名义降幅。</w:t>
      </w:r>
    </w:p>
    <w:p w14:paraId="4746D665">
      <w:pPr>
        <w:pStyle w:val="19"/>
      </w:pPr>
      <w:r>
        <w:rPr>
          <w:rFonts w:hint="eastAsia"/>
        </w:rPr>
        <w:t>成本性支出的同步变化进一步降低了“一元收入下降等于一元可用财力下降”的推断强度。财政部同一说明强调，国有土地使用权出让收入是毛收入，收入减少的同时也会相应减少拆迁补偿等成本性支出，因此收支之间存在联动，收入下降影响“并没有那么大”[33]。第一财经援引相关分析也提到，土地净收入约占国有土地使用权出让收入的四分之一，财政部此前公开表述过</w:t>
      </w:r>
      <w:r>
        <w:t xml:space="preserve"> 2022 </w:t>
      </w:r>
      <w:r>
        <w:rPr>
          <w:rFonts w:hint="eastAsia"/>
        </w:rPr>
        <w:t>年国有土地使用权出让收入减少</w:t>
      </w:r>
      <w:r>
        <w:t xml:space="preserve"> 2 </w:t>
      </w:r>
      <w:r>
        <w:rPr>
          <w:rFonts w:hint="eastAsia"/>
        </w:rPr>
        <w:t>万亿元约影响地方一般公共预算财力</w:t>
      </w:r>
      <w:r>
        <w:t xml:space="preserve"> 3000 </w:t>
      </w:r>
      <w:r>
        <w:rPr>
          <w:rFonts w:hint="eastAsia"/>
        </w:rPr>
        <w:t>亿元的估算[39]。这并不否认土地端压力，而是把压力从毛收入口径收窄到净财力和可调入财力口径。</w:t>
      </w:r>
    </w:p>
    <w:p w14:paraId="1694E533">
      <w:pPr>
        <w:pStyle w:val="19"/>
      </w:pPr>
      <w:r>
        <w:rPr>
          <w:rFonts w:hint="eastAsia"/>
        </w:rPr>
        <w:t>财政执行数据也显示，国有土地使用权出让收入相关支出随收入下行而调整。国有土地使用权出让收入相关支出</w:t>
      </w:r>
      <w:r>
        <w:t xml:space="preserve"> 2024 </w:t>
      </w:r>
      <w:r>
        <w:rPr>
          <w:rFonts w:hint="eastAsia"/>
        </w:rPr>
        <w:t>年为</w:t>
      </w:r>
      <w:r>
        <w:t xml:space="preserve"> 50812 </w:t>
      </w:r>
      <w:r>
        <w:rPr>
          <w:rFonts w:hint="eastAsia"/>
        </w:rPr>
        <w:t>亿元、比上年下降</w:t>
      </w:r>
      <w:r>
        <w:t xml:space="preserve"> </w:t>
      </w:r>
      <w:r>
        <w:rPr>
          <w:rFonts w:hint="eastAsia"/>
        </w:rPr>
        <w:t>8.6%，2025</w:t>
      </w:r>
      <w:r>
        <w:t xml:space="preserve"> </w:t>
      </w:r>
      <w:r>
        <w:rPr>
          <w:rFonts w:hint="eastAsia"/>
        </w:rPr>
        <w:t>年为</w:t>
      </w:r>
      <w:r>
        <w:t xml:space="preserve"> 47120 </w:t>
      </w:r>
      <w:r>
        <w:rPr>
          <w:rFonts w:hint="eastAsia"/>
        </w:rPr>
        <w:t>亿元、比上年下降</w:t>
      </w:r>
      <w:r>
        <w:t xml:space="preserve"> </w:t>
      </w:r>
      <w:r>
        <w:rPr>
          <w:rFonts w:hint="eastAsia"/>
        </w:rPr>
        <w:t>7.6%，2026</w:t>
      </w:r>
      <w:r>
        <w:t xml:space="preserve"> </w:t>
      </w:r>
      <w:r>
        <w:rPr>
          <w:rFonts w:hint="eastAsia"/>
        </w:rPr>
        <w:t>年上半年为</w:t>
      </w:r>
      <w:r>
        <w:t xml:space="preserve"> 17105 </w:t>
      </w:r>
      <w:r>
        <w:rPr>
          <w:rFonts w:hint="eastAsia"/>
        </w:rPr>
        <w:t>亿元、同比下降</w:t>
      </w:r>
      <w:r>
        <w:t xml:space="preserve"> </w:t>
      </w:r>
      <w:r>
        <w:rPr>
          <w:rFonts w:hint="eastAsia"/>
        </w:rPr>
        <w:t>17%[9][5][10]。支出同步下降说明政府性基金预算内部有一定收缩机制，但支出降幅并未完全消除收入下降带来的预算约束，尤其在土地收入仍为政府性基金预算主体来源的情况下，地方可安排项目和调入空间都会受到压缩。</w:t>
      </w:r>
    </w:p>
    <w:p w14:paraId="6D418A3D">
      <w:pPr>
        <w:pStyle w:val="19"/>
      </w:pPr>
      <w:r>
        <w:t xml:space="preserve">2025 </w:t>
      </w:r>
      <w:r>
        <w:rPr>
          <w:rFonts w:hint="eastAsia"/>
        </w:rPr>
        <w:t>年预算执行口径进一步揭示了缓冲机制与收入恢复之间的区别。全国政府性基金预算收入</w:t>
      </w:r>
      <w:r>
        <w:t xml:space="preserve"> 57703.55 </w:t>
      </w:r>
      <w:r>
        <w:rPr>
          <w:rFonts w:hint="eastAsia"/>
        </w:rPr>
        <w:t>亿元、为预算的</w:t>
      </w:r>
      <w:r>
        <w:t xml:space="preserve"> </w:t>
      </w:r>
      <w:r>
        <w:rPr>
          <w:rFonts w:hint="eastAsia"/>
        </w:rPr>
        <w:t>92.3%、下降</w:t>
      </w:r>
      <w:r>
        <w:t xml:space="preserve"> </w:t>
      </w:r>
      <w:r>
        <w:rPr>
          <w:rFonts w:hint="eastAsia"/>
        </w:rPr>
        <w:t>7%，主要原因是地方国有土地使用权出让收入下降；加上</w:t>
      </w:r>
      <w:r>
        <w:t xml:space="preserve"> 2024 </w:t>
      </w:r>
      <w:r>
        <w:rPr>
          <w:rFonts w:hint="eastAsia"/>
        </w:rPr>
        <w:t>年结转收入</w:t>
      </w:r>
      <w:r>
        <w:t xml:space="preserve"> 385.07 </w:t>
      </w:r>
      <w:r>
        <w:rPr>
          <w:rFonts w:hint="eastAsia"/>
        </w:rPr>
        <w:t>亿元、超长期特别国债收入</w:t>
      </w:r>
      <w:r>
        <w:t xml:space="preserve"> 13000 </w:t>
      </w:r>
      <w:r>
        <w:rPr>
          <w:rFonts w:hint="eastAsia"/>
        </w:rPr>
        <w:t>亿元、中央金融机构注资特别国债收入</w:t>
      </w:r>
      <w:r>
        <w:t xml:space="preserve"> 5000 </w:t>
      </w:r>
      <w:r>
        <w:rPr>
          <w:rFonts w:hint="eastAsia"/>
        </w:rPr>
        <w:t>亿元、地方政府发行专项债券筹集收入</w:t>
      </w:r>
      <w:r>
        <w:t xml:space="preserve"> 44000 </w:t>
      </w:r>
      <w:r>
        <w:rPr>
          <w:rFonts w:hint="eastAsia"/>
        </w:rPr>
        <w:t>亿元后，政府性基金预算收入总量达到</w:t>
      </w:r>
      <w:r>
        <w:t xml:space="preserve"> 120088.62 </w:t>
      </w:r>
      <w:r>
        <w:rPr>
          <w:rFonts w:hint="eastAsia"/>
        </w:rPr>
        <w:t>亿元，支出</w:t>
      </w:r>
      <w:r>
        <w:t xml:space="preserve"> 112873.54 </w:t>
      </w:r>
      <w:r>
        <w:rPr>
          <w:rFonts w:hint="eastAsia"/>
        </w:rPr>
        <w:t>亿元、增长</w:t>
      </w:r>
      <w:r>
        <w:t xml:space="preserve"> </w:t>
      </w:r>
      <w:r>
        <w:rPr>
          <w:rFonts w:hint="eastAsia"/>
        </w:rPr>
        <w:t>11.3%[34]。这说明政府性基金预算支出可以通过结转、特别国债和专项债筹资维持甚至扩大，但这些安排不是土地税基或国有土地使用权出让收入本身的恢复。</w:t>
      </w:r>
    </w:p>
    <w:p w14:paraId="3E10A744">
      <w:pPr>
        <w:pStyle w:val="19"/>
      </w:pPr>
      <w:r>
        <w:rPr>
          <w:rFonts w:hint="eastAsia"/>
        </w:rPr>
        <w:t>同一官方口径下，土地收入降额与缓冲项的对照更能说明影响边界。2025</w:t>
      </w:r>
      <w:r>
        <w:t xml:space="preserve"> </w:t>
      </w:r>
      <w:r>
        <w:rPr>
          <w:rFonts w:hint="eastAsia"/>
        </w:rPr>
        <w:t>年地方国有土地使用权出让收入</w:t>
      </w:r>
      <w:r>
        <w:t xml:space="preserve"> 41518 </w:t>
      </w:r>
      <w:r>
        <w:rPr>
          <w:rFonts w:hint="eastAsia"/>
        </w:rPr>
        <w:t>亿元、同比下降</w:t>
      </w:r>
      <w:r>
        <w:t xml:space="preserve"> </w:t>
      </w:r>
      <w:r>
        <w:rPr>
          <w:rFonts w:hint="eastAsia"/>
        </w:rPr>
        <w:t>14.7%，反推较</w:t>
      </w:r>
      <w:r>
        <w:t xml:space="preserve"> 2024 </w:t>
      </w:r>
      <w:r>
        <w:rPr>
          <w:rFonts w:hint="eastAsia"/>
        </w:rPr>
        <w:t>年减少约</w:t>
      </w:r>
      <w:r>
        <w:t xml:space="preserve"> 7155 </w:t>
      </w:r>
      <w:r>
        <w:rPr>
          <w:rFonts w:hint="eastAsia"/>
        </w:rPr>
        <w:t>亿元；同年中央对地方转移支付</w:t>
      </w:r>
      <w:r>
        <w:t xml:space="preserve"> 101925.14 </w:t>
      </w:r>
      <w:r>
        <w:rPr>
          <w:rFonts w:hint="eastAsia"/>
        </w:rPr>
        <w:t>亿元、增长</w:t>
      </w:r>
      <w:r>
        <w:t xml:space="preserve"> </w:t>
      </w:r>
      <w:r>
        <w:rPr>
          <w:rFonts w:hint="eastAsia"/>
        </w:rPr>
        <w:t>1.6%，反推增量约</w:t>
      </w:r>
      <w:r>
        <w:t xml:space="preserve"> 1605 </w:t>
      </w:r>
      <w:r>
        <w:rPr>
          <w:rFonts w:hint="eastAsia"/>
        </w:rPr>
        <w:t>亿元，约相当于国有土地使用权出让收入降额的</w:t>
      </w:r>
      <w:r>
        <w:t xml:space="preserve"> </w:t>
      </w:r>
      <w:r>
        <w:rPr>
          <w:rFonts w:hint="eastAsia"/>
        </w:rPr>
        <w:t>22%；非税收入</w:t>
      </w:r>
      <w:r>
        <w:t xml:space="preserve"> 39681.65 </w:t>
      </w:r>
      <w:r>
        <w:rPr>
          <w:rFonts w:hint="eastAsia"/>
        </w:rPr>
        <w:t>亿元、下降</w:t>
      </w:r>
      <w:r>
        <w:t xml:space="preserve"> </w:t>
      </w:r>
      <w:r>
        <w:rPr>
          <w:rFonts w:hint="eastAsia"/>
        </w:rPr>
        <w:t>11.3%，反推减少约</w:t>
      </w:r>
      <w:r>
        <w:t xml:space="preserve"> 5055 </w:t>
      </w:r>
      <w:r>
        <w:rPr>
          <w:rFonts w:hint="eastAsia"/>
        </w:rPr>
        <w:t>亿元；地方政府发行专项债券筹集收入</w:t>
      </w:r>
      <w:r>
        <w:t xml:space="preserve"> 44000 </w:t>
      </w:r>
      <w:r>
        <w:rPr>
          <w:rFonts w:hint="eastAsia"/>
        </w:rPr>
        <w:t>亿元，规模约为国有土地使用权出让收入降额的</w:t>
      </w:r>
      <w:r>
        <w:t xml:space="preserve"> 6.15 </w:t>
      </w:r>
      <w:r>
        <w:rPr>
          <w:rFonts w:hint="eastAsia"/>
        </w:rPr>
        <w:t>倍，但属于政府性基金预算中的债务融资筹资收入，而非经常性财政收入[34][40]。因此，土地下降对广义财力的冲击很大，对一般公共预算的净冲击小于毛收入跌幅，但不能据此认定冲击已经被经常性收入完全抵消。</w:t>
      </w:r>
    </w:p>
    <w:bookmarkEnd w:id="25"/>
    <w:p w14:paraId="3CDB9F1D">
      <w:pPr>
        <w:pStyle w:val="4"/>
      </w:pPr>
      <w:bookmarkStart w:id="26" w:name="_Toc1918721379"/>
      <w:bookmarkStart w:id="27" w:name="机制证据支持方向但因果强度应限定为房地产调整重要传导而非唯一原因"/>
      <w:r>
        <w:rPr>
          <w:rFonts w:hint="eastAsia"/>
        </w:rPr>
        <w:t>机制证据支持方向，但因果强度应限定为房地产调整重要传导而非唯一原因</w:t>
      </w:r>
      <w:bookmarkEnd w:id="26"/>
    </w:p>
    <w:p w14:paraId="7D7150CD">
      <w:pPr>
        <w:pStyle w:val="168"/>
      </w:pPr>
      <w:r>
        <w:rPr>
          <w:rFonts w:hint="eastAsia"/>
        </w:rPr>
        <w:t>房地产销售、开发投资和新开工下行，为土地收入下降提供了清晰的市场端背景。国家统计局数据显示，2024</w:t>
      </w:r>
      <w:r>
        <w:t xml:space="preserve"> </w:t>
      </w:r>
      <w:r>
        <w:rPr>
          <w:rFonts w:hint="eastAsia"/>
        </w:rPr>
        <w:t>年全国房地产开发投资下降</w:t>
      </w:r>
      <w:r>
        <w:t xml:space="preserve"> </w:t>
      </w:r>
      <w:r>
        <w:rPr>
          <w:rFonts w:hint="eastAsia"/>
        </w:rPr>
        <w:t>10.6%，房屋新开工面积下降</w:t>
      </w:r>
      <w:r>
        <w:t xml:space="preserve"> </w:t>
      </w:r>
      <w:r>
        <w:rPr>
          <w:rFonts w:hint="eastAsia"/>
        </w:rPr>
        <w:t>23.0%，新建商品房销售面积下降</w:t>
      </w:r>
      <w:r>
        <w:t xml:space="preserve"> </w:t>
      </w:r>
      <w:r>
        <w:rPr>
          <w:rFonts w:hint="eastAsia"/>
        </w:rPr>
        <w:t>12.9%，销售额下降</w:t>
      </w:r>
      <w:r>
        <w:t xml:space="preserve"> </w:t>
      </w:r>
      <w:r>
        <w:rPr>
          <w:rFonts w:hint="eastAsia"/>
        </w:rPr>
        <w:t>17.1%；2025</w:t>
      </w:r>
      <w:r>
        <w:t xml:space="preserve"> </w:t>
      </w:r>
      <w:r>
        <w:rPr>
          <w:rFonts w:hint="eastAsia"/>
        </w:rPr>
        <w:t>年开发投资继续下降</w:t>
      </w:r>
      <w:r>
        <w:t xml:space="preserve"> </w:t>
      </w:r>
      <w:r>
        <w:rPr>
          <w:rFonts w:hint="eastAsia"/>
        </w:rPr>
        <w:t>17.2%，新开工下降</w:t>
      </w:r>
      <w:r>
        <w:t xml:space="preserve"> </w:t>
      </w:r>
      <w:r>
        <w:rPr>
          <w:rFonts w:hint="eastAsia"/>
        </w:rPr>
        <w:t>20.4%，销售面积下降</w:t>
      </w:r>
      <w:r>
        <w:t xml:space="preserve"> </w:t>
      </w:r>
      <w:r>
        <w:rPr>
          <w:rFonts w:hint="eastAsia"/>
        </w:rPr>
        <w:t>8.7%，销售额下降</w:t>
      </w:r>
      <w:r>
        <w:t xml:space="preserve"> </w:t>
      </w:r>
      <w:r>
        <w:rPr>
          <w:rFonts w:hint="eastAsia"/>
        </w:rPr>
        <w:t>12.6%；2026</w:t>
      </w:r>
      <w:r>
        <w:t xml:space="preserve"> </w:t>
      </w:r>
      <w:r>
        <w:rPr>
          <w:rFonts w:hint="eastAsia"/>
        </w:rPr>
        <w:t>年</w:t>
      </w:r>
      <w:r>
        <w:t xml:space="preserve"> 1—6 </w:t>
      </w:r>
      <w:r>
        <w:rPr>
          <w:rFonts w:hint="eastAsia"/>
        </w:rPr>
        <w:t>月开发投资、新开工、销售面积和销售额仍分别下降</w:t>
      </w:r>
      <w:r>
        <w:t xml:space="preserve"> 18.0%、23.4%、11.6% </w:t>
      </w:r>
      <w:r>
        <w:rPr>
          <w:rFonts w:hint="eastAsia"/>
        </w:rPr>
        <w:t>和</w:t>
      </w:r>
      <w:r>
        <w:t xml:space="preserve"> </w:t>
      </w:r>
      <w:r>
        <w:rPr>
          <w:rFonts w:hint="eastAsia"/>
        </w:rPr>
        <w:t>13.6%[17][18][19]。这些指标共同指向房企拿地能力和意愿下降的基本环境。</w:t>
      </w:r>
    </w:p>
    <w:p w14:paraId="7D07ED7E">
      <w:pPr>
        <w:pStyle w:val="19"/>
      </w:pPr>
      <w:r>
        <w:rPr>
          <w:rFonts w:hint="eastAsia"/>
        </w:rPr>
        <w:t>机构解释链把上述市场变化与土地财政下行联系起来。粤开证券罗志恒团队的分析认为，2022</w:t>
      </w:r>
      <w:r>
        <w:t xml:space="preserve"> </w:t>
      </w:r>
      <w:r>
        <w:rPr>
          <w:rFonts w:hint="eastAsia"/>
        </w:rPr>
        <w:t>年以来商品房需求低迷冲击土地市场，2022—2024</w:t>
      </w:r>
      <w:r>
        <w:t xml:space="preserve"> </w:t>
      </w:r>
      <w:r>
        <w:rPr>
          <w:rFonts w:hint="eastAsia"/>
        </w:rPr>
        <w:t>年全国国有土地使用权出让收入累计下降</w:t>
      </w:r>
      <w:r>
        <w:t xml:space="preserve"> </w:t>
      </w:r>
      <w:r>
        <w:rPr>
          <w:rFonts w:hint="eastAsia"/>
        </w:rPr>
        <w:t>44.1%，与商品房销售额近三年累计降幅</w:t>
      </w:r>
      <w:r>
        <w:t xml:space="preserve"> 43.1% </w:t>
      </w:r>
      <w:r>
        <w:rPr>
          <w:rFonts w:hint="eastAsia"/>
        </w:rPr>
        <w:t>接近[41]。第一财经援引罗志恒观点也称，房地产供求形势变化导致市场低迷和房企经营困难，是土地财政持续下行的直接原因；销售低迷使房企经营困难，房企拿地投资更加谨慎[39]。</w:t>
      </w:r>
    </w:p>
    <w:p w14:paraId="76BA1898">
      <w:pPr>
        <w:pStyle w:val="19"/>
      </w:pPr>
      <w:r>
        <w:rPr>
          <w:rFonts w:hint="eastAsia"/>
        </w:rPr>
        <w:t>这条机制足以支持“房地产调整是土地收入下降的重要传导渠道”，但不宜写成唯一原因或多家独立机构共同证明的严格因果。财政入库还会受到地方供地节奏、合同缴款安排、划转计提、城市能级分化和预算安排影响；第三方土地市场数据也显示，重点城市溢价率回升、核心城市与三四线城市流拍率分化可以与全国财政土地收入下降并存[36][37][38]。因此，对地方财政影响程度的稳妥表述是：房地产低迷通过压低土地成交、房企拿地和财政入库，形成了大于狭义税收端的广义财力压力；但在一般公共预算中，这一压力会被政府性基金预算分类、成本性支出下降、调入比例和债务融资安排重新折算。</w:t>
      </w:r>
    </w:p>
    <w:bookmarkEnd w:id="19"/>
    <w:bookmarkEnd w:id="27"/>
    <w:p w14:paraId="2A3EC7B6">
      <w:pPr>
        <w:pStyle w:val="3"/>
      </w:pPr>
      <w:bookmarkStart w:id="28" w:name="_Toc1335773501"/>
      <w:bookmarkStart w:id="29" w:name="地区分化全国平均掩盖了高土地依赖地区的更大财政压力"/>
      <w:r>
        <w:rPr>
          <w:rFonts w:hint="eastAsia"/>
        </w:rPr>
        <w:t>地区分化：全国平均掩盖了高土地依赖地区的更大财政压力</w:t>
      </w:r>
      <w:bookmarkEnd w:id="28"/>
    </w:p>
    <w:p w14:paraId="4556C611">
      <w:pPr>
        <w:pStyle w:val="168"/>
      </w:pPr>
      <w:r>
        <w:rPr>
          <w:rFonts w:hint="eastAsia"/>
        </w:rPr>
        <w:t>房地产低迷对地方财政的影响不是均匀落在各地：土地收入依赖度、产业结构和披露口径会让同一全国冲击在地方层面呈现不同强度。全国税收和土地收入的平均变化只能说明总量方向，不能替代地方层面的财政结构判断；在国有土地使用权出让收入相对一般公共预算收入较高的地区，房地产和土地市场下行更容易转化为可见的财力压力。</w:t>
      </w:r>
    </w:p>
    <w:tbl>
      <w:tblPr>
        <w:tblStyle w:val="169"/>
        <w:tblW w:w="0" w:type="auto"/>
        <w:tblInd w:w="0" w:type="dxa"/>
        <w:tblBorders>
          <w:top w:val="single" w:color="D8E0E8" w:sz="4" w:space="0"/>
          <w:left w:val="single" w:color="D8E0E8" w:sz="4" w:space="0"/>
          <w:bottom w:val="single" w:color="D8E0E8" w:sz="4" w:space="0"/>
          <w:right w:val="single" w:color="D8E0E8" w:sz="4" w:space="0"/>
          <w:insideH w:val="single" w:color="D8E0E8" w:sz="4" w:space="0"/>
          <w:insideV w:val="single" w:color="D8E0E8" w:sz="4" w:space="0"/>
        </w:tblBorders>
        <w:tblLayout w:type="autofit"/>
        <w:tblCellMar>
          <w:top w:w="80" w:type="dxa"/>
          <w:left w:w="90" w:type="dxa"/>
          <w:bottom w:w="80" w:type="dxa"/>
          <w:right w:w="90" w:type="dxa"/>
        </w:tblCellMar>
      </w:tblPr>
      <w:tblGrid>
        <w:gridCol w:w="463"/>
        <w:gridCol w:w="1469"/>
        <w:gridCol w:w="3159"/>
        <w:gridCol w:w="2462"/>
        <w:gridCol w:w="2493"/>
      </w:tblGrid>
      <w:tr w14:paraId="23BD3B19">
        <w:trPr>
          <w:tblHeader/>
        </w:trPr>
        <w:tc>
          <w:tcPr>
            <w:shd w:val="clear" w:color="auto" w:fill="17324D"/>
          </w:tcPr>
          <w:p w14:paraId="0C2D9AB0">
            <w:pPr>
              <w:pStyle w:val="167"/>
              <w:rPr>
                <w:b w:val="0"/>
              </w:rPr>
            </w:pPr>
            <w:r>
              <w:rPr>
                <w:rFonts w:hint="eastAsia"/>
                <w:b/>
                <w:color w:val="FFFFFF"/>
                <w:sz w:val="16"/>
                <w:szCs w:val="16"/>
              </w:rPr>
              <w:t>地区样本</w:t>
            </w:r>
          </w:p>
        </w:tc>
        <w:tc>
          <w:tcPr>
            <w:shd w:val="clear" w:color="auto" w:fill="17324D"/>
          </w:tcPr>
          <w:p w14:paraId="76794298">
            <w:pPr>
              <w:pStyle w:val="167"/>
              <w:rPr>
                <w:b w:val="0"/>
              </w:rPr>
            </w:pPr>
            <w:r>
              <w:rPr>
                <w:rFonts w:hint="eastAsia"/>
                <w:b/>
                <w:color w:val="FFFFFF"/>
                <w:sz w:val="16"/>
                <w:szCs w:val="16"/>
              </w:rPr>
              <w:t>层级/口径</w:t>
            </w:r>
          </w:p>
        </w:tc>
        <w:tc>
          <w:tcPr>
            <w:shd w:val="clear" w:color="auto" w:fill="17324D"/>
          </w:tcPr>
          <w:p w14:paraId="597B2E18">
            <w:pPr>
              <w:pStyle w:val="167"/>
              <w:jc w:val="right"/>
              <w:rPr>
                <w:b w:val="0"/>
              </w:rPr>
            </w:pPr>
            <w:r>
              <w:rPr>
                <w:rFonts w:hint="eastAsia"/>
                <w:b/>
                <w:color w:val="FFFFFF"/>
                <w:sz w:val="16"/>
                <w:szCs w:val="16"/>
              </w:rPr>
              <w:t>土地或基金参考比重</w:t>
            </w:r>
          </w:p>
        </w:tc>
        <w:tc>
          <w:tcPr>
            <w:shd w:val="clear" w:color="auto" w:fill="17324D"/>
          </w:tcPr>
          <w:p w14:paraId="13E489E9">
            <w:pPr>
              <w:pStyle w:val="167"/>
              <w:rPr>
                <w:b w:val="0"/>
              </w:rPr>
            </w:pPr>
            <w:r>
              <w:rPr>
                <w:rFonts w:hint="eastAsia"/>
                <w:b/>
                <w:color w:val="FFFFFF"/>
                <w:sz w:val="16"/>
                <w:szCs w:val="16"/>
              </w:rPr>
              <w:t>涉房税种线索</w:t>
            </w:r>
          </w:p>
        </w:tc>
        <w:tc>
          <w:tcPr>
            <w:shd w:val="clear" w:color="auto" w:fill="17324D"/>
          </w:tcPr>
          <w:p w14:paraId="7D63B51C">
            <w:pPr>
              <w:pStyle w:val="167"/>
              <w:rPr>
                <w:b w:val="0"/>
              </w:rPr>
            </w:pPr>
            <w:r>
              <w:rPr>
                <w:rFonts w:hint="eastAsia"/>
                <w:b/>
                <w:color w:val="FFFFFF"/>
                <w:sz w:val="16"/>
                <w:szCs w:val="16"/>
              </w:rPr>
              <w:t>可比性限制</w:t>
            </w:r>
          </w:p>
        </w:tc>
      </w:tr>
      <w:tr w14:paraId="04FA6098">
        <w:tc>
          <w:p w14:paraId="2D1F1E5A">
            <w:pPr>
              <w:pStyle w:val="167"/>
              <w:rPr>
                <w:b w:val="0"/>
              </w:rPr>
            </w:pPr>
            <w:r>
              <w:rPr>
                <w:rFonts w:hint="eastAsia"/>
                <w:b w:val="0"/>
                <w:sz w:val="16"/>
                <w:szCs w:val="16"/>
              </w:rPr>
              <w:t>浙江</w:t>
            </w:r>
          </w:p>
        </w:tc>
        <w:tc>
          <w:p w14:paraId="0CF04793">
            <w:pPr>
              <w:pStyle w:val="167"/>
              <w:rPr>
                <w:b w:val="0"/>
              </w:rPr>
            </w:pPr>
            <w:r>
              <w:rPr>
                <w:rFonts w:hint="eastAsia"/>
                <w:b w:val="0"/>
                <w:sz w:val="16"/>
                <w:szCs w:val="16"/>
              </w:rPr>
              <w:t>省级全辖区，2024</w:t>
            </w:r>
            <w:r>
              <w:rPr>
                <w:b w:val="0"/>
                <w:sz w:val="16"/>
                <w:szCs w:val="16"/>
              </w:rPr>
              <w:t xml:space="preserve"> </w:t>
            </w:r>
            <w:r>
              <w:rPr>
                <w:rFonts w:hint="eastAsia"/>
                <w:b w:val="0"/>
                <w:sz w:val="16"/>
                <w:szCs w:val="16"/>
              </w:rPr>
              <w:t>年预算执行</w:t>
            </w:r>
          </w:p>
        </w:tc>
        <w:tc>
          <w:p w14:paraId="407B7D29">
            <w:pPr>
              <w:pStyle w:val="167"/>
              <w:jc w:val="right"/>
              <w:rPr>
                <w:b w:val="0"/>
              </w:rPr>
            </w:pPr>
            <w:r>
              <w:rPr>
                <w:rFonts w:hint="eastAsia"/>
                <w:b w:val="0"/>
                <w:sz w:val="16"/>
                <w:szCs w:val="16"/>
              </w:rPr>
              <w:t>政府性基金预算收入</w:t>
            </w:r>
            <w:r>
              <w:rPr>
                <w:b w:val="0"/>
                <w:sz w:val="16"/>
                <w:szCs w:val="16"/>
              </w:rPr>
              <w:t xml:space="preserve"> 6168.85 </w:t>
            </w:r>
            <w:r>
              <w:rPr>
                <w:rFonts w:hint="eastAsia"/>
                <w:b w:val="0"/>
                <w:sz w:val="16"/>
                <w:szCs w:val="16"/>
              </w:rPr>
              <w:t>亿元、下降</w:t>
            </w:r>
            <w:r>
              <w:rPr>
                <w:b w:val="0"/>
                <w:sz w:val="16"/>
                <w:szCs w:val="16"/>
              </w:rPr>
              <w:t xml:space="preserve"> </w:t>
            </w:r>
            <w:r>
              <w:rPr>
                <w:rFonts w:hint="eastAsia"/>
                <w:b w:val="0"/>
                <w:sz w:val="16"/>
                <w:szCs w:val="16"/>
              </w:rPr>
              <w:t>26.2%；材料说明主要因土地市场行情不及预期、国有土地使用权出让收入减少</w:t>
            </w:r>
          </w:p>
        </w:tc>
        <w:tc>
          <w:p w14:paraId="7CB083D7">
            <w:pPr>
              <w:pStyle w:val="167"/>
              <w:rPr>
                <w:b w:val="0"/>
              </w:rPr>
            </w:pPr>
            <w:r>
              <w:rPr>
                <w:rFonts w:hint="eastAsia"/>
                <w:b w:val="0"/>
                <w:sz w:val="16"/>
                <w:szCs w:val="16"/>
              </w:rPr>
              <w:t>税收收入</w:t>
            </w:r>
            <w:r>
              <w:rPr>
                <w:b w:val="0"/>
                <w:sz w:val="16"/>
                <w:szCs w:val="16"/>
              </w:rPr>
              <w:t xml:space="preserve"> 6993.71 </w:t>
            </w:r>
            <w:r>
              <w:rPr>
                <w:rFonts w:hint="eastAsia"/>
                <w:b w:val="0"/>
                <w:sz w:val="16"/>
                <w:szCs w:val="16"/>
              </w:rPr>
              <w:t>亿元、下降</w:t>
            </w:r>
            <w:r>
              <w:rPr>
                <w:b w:val="0"/>
                <w:sz w:val="16"/>
                <w:szCs w:val="16"/>
              </w:rPr>
              <w:t xml:space="preserve"> </w:t>
            </w:r>
            <w:r>
              <w:rPr>
                <w:rFonts w:hint="eastAsia"/>
                <w:b w:val="0"/>
                <w:sz w:val="16"/>
                <w:szCs w:val="16"/>
              </w:rPr>
              <w:t>1.8%，占一般公共预算收入</w:t>
            </w:r>
            <w:r>
              <w:rPr>
                <w:b w:val="0"/>
                <w:sz w:val="16"/>
                <w:szCs w:val="16"/>
              </w:rPr>
              <w:t xml:space="preserve"> 80.3%</w:t>
            </w:r>
          </w:p>
        </w:tc>
        <w:tc>
          <w:p w14:paraId="4F6154BC">
            <w:pPr>
              <w:pStyle w:val="167"/>
              <w:rPr>
                <w:b w:val="0"/>
              </w:rPr>
            </w:pPr>
            <w:r>
              <w:rPr>
                <w:rFonts w:hint="eastAsia"/>
                <w:b w:val="0"/>
                <w:sz w:val="16"/>
                <w:szCs w:val="16"/>
              </w:rPr>
              <w:t>未在同一摘录中给出国有土地使用权出让收入分项，不能计算国有土地使用权出让收入依赖度[42]</w:t>
            </w:r>
          </w:p>
        </w:tc>
      </w:tr>
      <w:tr w14:paraId="4A5AFD08">
        <w:tc>
          <w:tcPr>
            <w:shd w:val="clear" w:color="auto" w:fill="F3F7FB"/>
          </w:tcPr>
          <w:p w14:paraId="2ACD046A">
            <w:pPr>
              <w:pStyle w:val="167"/>
              <w:rPr>
                <w:b w:val="0"/>
              </w:rPr>
            </w:pPr>
            <w:r>
              <w:rPr>
                <w:rFonts w:hint="eastAsia"/>
                <w:b w:val="0"/>
                <w:sz w:val="16"/>
                <w:szCs w:val="16"/>
              </w:rPr>
              <w:t>四川</w:t>
            </w:r>
          </w:p>
        </w:tc>
        <w:tc>
          <w:tcPr>
            <w:shd w:val="clear" w:color="auto" w:fill="F3F7FB"/>
          </w:tcPr>
          <w:p w14:paraId="61A4E848">
            <w:pPr>
              <w:pStyle w:val="167"/>
              <w:rPr>
                <w:b w:val="0"/>
              </w:rPr>
            </w:pPr>
            <w:r>
              <w:rPr>
                <w:rFonts w:hint="eastAsia"/>
                <w:b w:val="0"/>
                <w:sz w:val="16"/>
                <w:szCs w:val="16"/>
              </w:rPr>
              <w:t>省级全辖区，2024</w:t>
            </w:r>
            <w:r>
              <w:rPr>
                <w:b w:val="0"/>
                <w:sz w:val="16"/>
                <w:szCs w:val="16"/>
              </w:rPr>
              <w:t xml:space="preserve"> </w:t>
            </w:r>
            <w:r>
              <w:rPr>
                <w:rFonts w:hint="eastAsia"/>
                <w:b w:val="0"/>
                <w:sz w:val="16"/>
                <w:szCs w:val="16"/>
              </w:rPr>
              <w:t>年执行表</w:t>
            </w:r>
          </w:p>
        </w:tc>
        <w:tc>
          <w:tcPr>
            <w:shd w:val="clear" w:color="auto" w:fill="F3F7FB"/>
          </w:tcPr>
          <w:p w14:paraId="2099A356">
            <w:pPr>
              <w:pStyle w:val="167"/>
              <w:jc w:val="right"/>
              <w:rPr>
                <w:b w:val="0"/>
              </w:rPr>
            </w:pPr>
            <w:r>
              <w:rPr>
                <w:rFonts w:hint="eastAsia"/>
                <w:b w:val="0"/>
                <w:sz w:val="16"/>
                <w:szCs w:val="16"/>
              </w:rPr>
              <w:t>国有土地使用权出让收入</w:t>
            </w:r>
            <w:r>
              <w:rPr>
                <w:b w:val="0"/>
                <w:sz w:val="16"/>
                <w:szCs w:val="16"/>
              </w:rPr>
              <w:t xml:space="preserve"> 3181.1624 </w:t>
            </w:r>
            <w:r>
              <w:rPr>
                <w:rFonts w:hint="eastAsia"/>
                <w:b w:val="0"/>
                <w:sz w:val="16"/>
                <w:szCs w:val="16"/>
              </w:rPr>
              <w:t>亿元，为上年决算数的</w:t>
            </w:r>
            <w:r>
              <w:rPr>
                <w:b w:val="0"/>
                <w:sz w:val="16"/>
                <w:szCs w:val="16"/>
              </w:rPr>
              <w:t xml:space="preserve"> </w:t>
            </w:r>
            <w:r>
              <w:rPr>
                <w:rFonts w:hint="eastAsia"/>
                <w:b w:val="0"/>
                <w:sz w:val="16"/>
                <w:szCs w:val="16"/>
              </w:rPr>
              <w:t>80.5%；约为地方一般公共预算收入</w:t>
            </w:r>
            <w:r>
              <w:rPr>
                <w:b w:val="0"/>
                <w:sz w:val="16"/>
                <w:szCs w:val="16"/>
              </w:rPr>
              <w:t xml:space="preserve"> </w:t>
            </w:r>
            <w:r>
              <w:rPr>
                <w:rFonts w:hint="eastAsia"/>
                <w:b w:val="0"/>
                <w:sz w:val="16"/>
                <w:szCs w:val="16"/>
              </w:rPr>
              <w:t>56.5%、政府性基金预算收入</w:t>
            </w:r>
            <w:r>
              <w:rPr>
                <w:b w:val="0"/>
                <w:sz w:val="16"/>
                <w:szCs w:val="16"/>
              </w:rPr>
              <w:t xml:space="preserve"> 84.6%</w:t>
            </w:r>
          </w:p>
        </w:tc>
        <w:tc>
          <w:tcPr>
            <w:shd w:val="clear" w:color="auto" w:fill="F3F7FB"/>
          </w:tcPr>
          <w:p w14:paraId="49A1E9CF">
            <w:pPr>
              <w:pStyle w:val="167"/>
              <w:rPr>
                <w:b w:val="0"/>
              </w:rPr>
            </w:pPr>
            <w:r>
              <w:rPr>
                <w:rFonts w:hint="eastAsia"/>
                <w:b w:val="0"/>
                <w:sz w:val="16"/>
                <w:szCs w:val="16"/>
              </w:rPr>
              <w:t>土地增值税</w:t>
            </w:r>
            <w:r>
              <w:rPr>
                <w:b w:val="0"/>
                <w:sz w:val="16"/>
                <w:szCs w:val="16"/>
              </w:rPr>
              <w:t xml:space="preserve"> 298.2452 </w:t>
            </w:r>
            <w:r>
              <w:rPr>
                <w:rFonts w:hint="eastAsia"/>
                <w:b w:val="0"/>
                <w:sz w:val="16"/>
                <w:szCs w:val="16"/>
              </w:rPr>
              <w:t>亿元、契税</w:t>
            </w:r>
            <w:r>
              <w:rPr>
                <w:b w:val="0"/>
                <w:sz w:val="16"/>
                <w:szCs w:val="16"/>
              </w:rPr>
              <w:t xml:space="preserve"> 272.5263 </w:t>
            </w:r>
            <w:r>
              <w:rPr>
                <w:rFonts w:hint="eastAsia"/>
                <w:b w:val="0"/>
                <w:sz w:val="16"/>
                <w:szCs w:val="16"/>
              </w:rPr>
              <w:t>亿元，两项约占税收收入</w:t>
            </w:r>
            <w:r>
              <w:rPr>
                <w:b w:val="0"/>
                <w:sz w:val="16"/>
                <w:szCs w:val="16"/>
              </w:rPr>
              <w:t xml:space="preserve"> 15.9%</w:t>
            </w:r>
          </w:p>
        </w:tc>
        <w:tc>
          <w:tcPr>
            <w:shd w:val="clear" w:color="auto" w:fill="F3F7FB"/>
          </w:tcPr>
          <w:p w14:paraId="21D546A8">
            <w:pPr>
              <w:pStyle w:val="167"/>
              <w:rPr>
                <w:b w:val="0"/>
              </w:rPr>
            </w:pPr>
            <w:r>
              <w:rPr>
                <w:rFonts w:hint="eastAsia"/>
                <w:b w:val="0"/>
                <w:sz w:val="16"/>
                <w:szCs w:val="16"/>
              </w:rPr>
              <w:t>比重为按同一来源金额计算的参考依赖度，不等同土地净收益[43]</w:t>
            </w:r>
          </w:p>
        </w:tc>
      </w:tr>
      <w:tr w14:paraId="6385B8B7">
        <w:tc>
          <w:p w14:paraId="50F652A5">
            <w:pPr>
              <w:pStyle w:val="167"/>
              <w:rPr>
                <w:b w:val="0"/>
              </w:rPr>
            </w:pPr>
            <w:r>
              <w:rPr>
                <w:rFonts w:hint="eastAsia"/>
                <w:b w:val="0"/>
                <w:sz w:val="16"/>
                <w:szCs w:val="16"/>
              </w:rPr>
              <w:t>贵州</w:t>
            </w:r>
          </w:p>
        </w:tc>
        <w:tc>
          <w:p w14:paraId="54EE7D9F">
            <w:pPr>
              <w:pStyle w:val="167"/>
              <w:rPr>
                <w:b w:val="0"/>
              </w:rPr>
            </w:pPr>
            <w:r>
              <w:rPr>
                <w:rFonts w:hint="eastAsia"/>
                <w:b w:val="0"/>
                <w:sz w:val="16"/>
                <w:szCs w:val="16"/>
              </w:rPr>
              <w:t>省级全辖区，2024</w:t>
            </w:r>
            <w:r>
              <w:rPr>
                <w:b w:val="0"/>
                <w:sz w:val="16"/>
                <w:szCs w:val="16"/>
              </w:rPr>
              <w:t xml:space="preserve"> </w:t>
            </w:r>
            <w:r>
              <w:rPr>
                <w:rFonts w:hint="eastAsia"/>
                <w:b w:val="0"/>
                <w:sz w:val="16"/>
                <w:szCs w:val="16"/>
              </w:rPr>
              <w:t>年预算执行</w:t>
            </w:r>
          </w:p>
        </w:tc>
        <w:tc>
          <w:p w14:paraId="018E9C65">
            <w:pPr>
              <w:pStyle w:val="167"/>
              <w:jc w:val="right"/>
              <w:rPr>
                <w:b w:val="0"/>
              </w:rPr>
            </w:pPr>
            <w:r>
              <w:rPr>
                <w:rFonts w:hint="eastAsia"/>
                <w:b w:val="0"/>
                <w:sz w:val="16"/>
                <w:szCs w:val="16"/>
              </w:rPr>
              <w:t>国有土地使用权出让收入</w:t>
            </w:r>
            <w:r>
              <w:rPr>
                <w:b w:val="0"/>
                <w:sz w:val="16"/>
                <w:szCs w:val="16"/>
              </w:rPr>
              <w:t xml:space="preserve"> 1749.2412 </w:t>
            </w:r>
            <w:r>
              <w:rPr>
                <w:rFonts w:hint="eastAsia"/>
                <w:b w:val="0"/>
                <w:sz w:val="16"/>
                <w:szCs w:val="16"/>
              </w:rPr>
              <w:t>亿元，约为一般公共预算收入</w:t>
            </w:r>
            <w:r>
              <w:rPr>
                <w:b w:val="0"/>
                <w:sz w:val="16"/>
                <w:szCs w:val="16"/>
              </w:rPr>
              <w:t xml:space="preserve"> </w:t>
            </w:r>
            <w:r>
              <w:rPr>
                <w:rFonts w:hint="eastAsia"/>
                <w:b w:val="0"/>
                <w:sz w:val="16"/>
                <w:szCs w:val="16"/>
              </w:rPr>
              <w:t>80.6%、政府性基金预算收入</w:t>
            </w:r>
            <w:r>
              <w:rPr>
                <w:b w:val="0"/>
                <w:sz w:val="16"/>
                <w:szCs w:val="16"/>
              </w:rPr>
              <w:t xml:space="preserve"> </w:t>
            </w:r>
            <w:r>
              <w:rPr>
                <w:rFonts w:hint="eastAsia"/>
                <w:b w:val="0"/>
                <w:sz w:val="16"/>
                <w:szCs w:val="16"/>
              </w:rPr>
              <w:t>75.6%；同比减少</w:t>
            </w:r>
            <w:r>
              <w:rPr>
                <w:b w:val="0"/>
                <w:sz w:val="16"/>
                <w:szCs w:val="16"/>
              </w:rPr>
              <w:t xml:space="preserve"> 172.4293 </w:t>
            </w:r>
            <w:r>
              <w:rPr>
                <w:rFonts w:hint="eastAsia"/>
                <w:b w:val="0"/>
                <w:sz w:val="16"/>
                <w:szCs w:val="16"/>
              </w:rPr>
              <w:t>亿元</w:t>
            </w:r>
          </w:p>
        </w:tc>
        <w:tc>
          <w:p w14:paraId="1CF1B4A4">
            <w:pPr>
              <w:pStyle w:val="167"/>
              <w:rPr>
                <w:b w:val="0"/>
              </w:rPr>
            </w:pPr>
            <w:r>
              <w:rPr>
                <w:rFonts w:hint="eastAsia"/>
                <w:b w:val="0"/>
                <w:sz w:val="16"/>
                <w:szCs w:val="16"/>
              </w:rPr>
              <w:t>税收收入</w:t>
            </w:r>
            <w:r>
              <w:rPr>
                <w:b w:val="0"/>
                <w:sz w:val="16"/>
                <w:szCs w:val="16"/>
              </w:rPr>
              <w:t xml:space="preserve"> 1243.0588 </w:t>
            </w:r>
            <w:r>
              <w:rPr>
                <w:rFonts w:hint="eastAsia"/>
                <w:b w:val="0"/>
                <w:sz w:val="16"/>
                <w:szCs w:val="16"/>
              </w:rPr>
              <w:t>亿元、增长</w:t>
            </w:r>
            <w:r>
              <w:rPr>
                <w:b w:val="0"/>
                <w:sz w:val="16"/>
                <w:szCs w:val="16"/>
              </w:rPr>
              <w:t xml:space="preserve"> 1.7%</w:t>
            </w:r>
          </w:p>
        </w:tc>
        <w:tc>
          <w:p w14:paraId="664C2940">
            <w:pPr>
              <w:pStyle w:val="167"/>
              <w:rPr>
                <w:b w:val="0"/>
              </w:rPr>
            </w:pPr>
            <w:r>
              <w:rPr>
                <w:rFonts w:hint="eastAsia"/>
                <w:b w:val="0"/>
                <w:sz w:val="16"/>
                <w:szCs w:val="16"/>
              </w:rPr>
              <w:t>来源把国有土地使用权出让收入减少归因于房地产市场低迷和土地市场需求萎缩，但该比例不能与城市口径混排[44]</w:t>
            </w:r>
          </w:p>
        </w:tc>
      </w:tr>
      <w:tr w14:paraId="72E59E63">
        <w:tc>
          <w:tcPr>
            <w:shd w:val="clear" w:color="auto" w:fill="F3F7FB"/>
          </w:tcPr>
          <w:p w14:paraId="4C1C3C2C">
            <w:pPr>
              <w:pStyle w:val="167"/>
              <w:rPr>
                <w:b w:val="0"/>
              </w:rPr>
            </w:pPr>
            <w:r>
              <w:rPr>
                <w:rFonts w:hint="eastAsia"/>
                <w:b w:val="0"/>
                <w:sz w:val="16"/>
                <w:szCs w:val="16"/>
              </w:rPr>
              <w:t>上海</w:t>
            </w:r>
          </w:p>
        </w:tc>
        <w:tc>
          <w:tcPr>
            <w:shd w:val="clear" w:color="auto" w:fill="F3F7FB"/>
          </w:tcPr>
          <w:p w14:paraId="4CAFC17F">
            <w:pPr>
              <w:pStyle w:val="167"/>
              <w:rPr>
                <w:b w:val="0"/>
              </w:rPr>
            </w:pPr>
            <w:r>
              <w:rPr>
                <w:rFonts w:hint="eastAsia"/>
                <w:b w:val="0"/>
                <w:sz w:val="16"/>
                <w:szCs w:val="16"/>
              </w:rPr>
              <w:t>直辖市全市基金收入与市级国有土地使用权出让收入并存</w:t>
            </w:r>
          </w:p>
        </w:tc>
        <w:tc>
          <w:tcPr>
            <w:shd w:val="clear" w:color="auto" w:fill="F3F7FB"/>
          </w:tcPr>
          <w:p w14:paraId="7F1881F3">
            <w:pPr>
              <w:pStyle w:val="167"/>
              <w:jc w:val="right"/>
              <w:rPr>
                <w:b w:val="0"/>
              </w:rPr>
            </w:pPr>
            <w:r>
              <w:rPr>
                <w:rFonts w:hint="eastAsia"/>
                <w:b w:val="0"/>
                <w:sz w:val="16"/>
                <w:szCs w:val="16"/>
              </w:rPr>
              <w:t>全市政府性基金预算收入</w:t>
            </w:r>
            <w:r>
              <w:rPr>
                <w:b w:val="0"/>
                <w:sz w:val="16"/>
                <w:szCs w:val="16"/>
              </w:rPr>
              <w:t xml:space="preserve"> 3202.8 </w:t>
            </w:r>
            <w:r>
              <w:rPr>
                <w:rFonts w:hint="eastAsia"/>
                <w:b w:val="0"/>
                <w:sz w:val="16"/>
                <w:szCs w:val="16"/>
              </w:rPr>
              <w:t>亿元；市级国有土地使用权出让收入</w:t>
            </w:r>
            <w:r>
              <w:rPr>
                <w:b w:val="0"/>
                <w:sz w:val="16"/>
                <w:szCs w:val="16"/>
              </w:rPr>
              <w:t xml:space="preserve"> 630 </w:t>
            </w:r>
            <w:r>
              <w:rPr>
                <w:rFonts w:hint="eastAsia"/>
                <w:b w:val="0"/>
                <w:sz w:val="16"/>
                <w:szCs w:val="16"/>
              </w:rPr>
              <w:t>亿元</w:t>
            </w:r>
          </w:p>
        </w:tc>
        <w:tc>
          <w:tcPr>
            <w:shd w:val="clear" w:color="auto" w:fill="F3F7FB"/>
          </w:tcPr>
          <w:p w14:paraId="225178ED">
            <w:pPr>
              <w:pStyle w:val="167"/>
              <w:rPr>
                <w:b w:val="0"/>
              </w:rPr>
            </w:pPr>
            <w:r>
              <w:rPr>
                <w:rFonts w:hint="eastAsia"/>
                <w:b w:val="0"/>
                <w:sz w:val="16"/>
                <w:szCs w:val="16"/>
              </w:rPr>
              <w:t>税收收入</w:t>
            </w:r>
            <w:r>
              <w:rPr>
                <w:b w:val="0"/>
                <w:sz w:val="16"/>
                <w:szCs w:val="16"/>
              </w:rPr>
              <w:t xml:space="preserve"> 7082.7 </w:t>
            </w:r>
            <w:r>
              <w:rPr>
                <w:rFonts w:hint="eastAsia"/>
                <w:b w:val="0"/>
                <w:sz w:val="16"/>
                <w:szCs w:val="16"/>
              </w:rPr>
              <w:t>亿元；材料片段未提供涉房税种同比</w:t>
            </w:r>
          </w:p>
        </w:tc>
        <w:tc>
          <w:tcPr>
            <w:shd w:val="clear" w:color="auto" w:fill="F3F7FB"/>
          </w:tcPr>
          <w:p w14:paraId="6D833DF4">
            <w:pPr>
              <w:pStyle w:val="167"/>
              <w:rPr>
                <w:b w:val="0"/>
              </w:rPr>
            </w:pPr>
            <w:r>
              <w:rPr>
                <w:rFonts w:hint="eastAsia"/>
                <w:b w:val="0"/>
                <w:sz w:val="16"/>
                <w:szCs w:val="16"/>
              </w:rPr>
              <w:t>全市基金收入与市级国有土地使用权出让收入层级不同，不能直接计算全市土地依赖度[45]</w:t>
            </w:r>
          </w:p>
        </w:tc>
      </w:tr>
      <w:tr w14:paraId="6728CE77">
        <w:tc>
          <w:p w14:paraId="4BC95E3F">
            <w:pPr>
              <w:pStyle w:val="167"/>
              <w:rPr>
                <w:b w:val="0"/>
              </w:rPr>
            </w:pPr>
            <w:r>
              <w:rPr>
                <w:rFonts w:hint="eastAsia"/>
                <w:b w:val="0"/>
                <w:sz w:val="16"/>
                <w:szCs w:val="16"/>
              </w:rPr>
              <w:t>江苏</w:t>
            </w:r>
          </w:p>
        </w:tc>
        <w:tc>
          <w:p w14:paraId="4FB1F0B8">
            <w:pPr>
              <w:pStyle w:val="167"/>
              <w:rPr>
                <w:b w:val="0"/>
              </w:rPr>
            </w:pPr>
            <w:r>
              <w:rPr>
                <w:rFonts w:hint="eastAsia"/>
                <w:b w:val="0"/>
                <w:sz w:val="16"/>
                <w:szCs w:val="16"/>
              </w:rPr>
              <w:t>省级全辖区，总计口径</w:t>
            </w:r>
          </w:p>
        </w:tc>
        <w:tc>
          <w:p w14:paraId="15A2C8DB">
            <w:pPr>
              <w:pStyle w:val="167"/>
              <w:jc w:val="right"/>
              <w:rPr>
                <w:b w:val="0"/>
              </w:rPr>
            </w:pPr>
            <w:r>
              <w:rPr>
                <w:rFonts w:hint="eastAsia"/>
                <w:b w:val="0"/>
                <w:sz w:val="16"/>
                <w:szCs w:val="16"/>
              </w:rPr>
              <w:t>全省政府性基金预算收入总计</w:t>
            </w:r>
            <w:r>
              <w:rPr>
                <w:b w:val="0"/>
                <w:sz w:val="16"/>
                <w:szCs w:val="16"/>
              </w:rPr>
              <w:t xml:space="preserve"> 16969.08 </w:t>
            </w:r>
            <w:r>
              <w:rPr>
                <w:rFonts w:hint="eastAsia"/>
                <w:b w:val="0"/>
                <w:sz w:val="16"/>
                <w:szCs w:val="16"/>
              </w:rPr>
              <w:t>亿元；一般公共预算收入</w:t>
            </w:r>
            <w:r>
              <w:rPr>
                <w:b w:val="0"/>
                <w:sz w:val="16"/>
                <w:szCs w:val="16"/>
              </w:rPr>
              <w:t xml:space="preserve"> 10038.16 </w:t>
            </w:r>
            <w:r>
              <w:rPr>
                <w:rFonts w:hint="eastAsia"/>
                <w:b w:val="0"/>
                <w:sz w:val="16"/>
                <w:szCs w:val="16"/>
              </w:rPr>
              <w:t>亿元</w:t>
            </w:r>
          </w:p>
        </w:tc>
        <w:tc>
          <w:p w14:paraId="34CE367B">
            <w:pPr>
              <w:pStyle w:val="167"/>
              <w:rPr>
                <w:b w:val="0"/>
              </w:rPr>
            </w:pPr>
            <w:r>
              <w:rPr>
                <w:rFonts w:hint="eastAsia"/>
                <w:b w:val="0"/>
                <w:sz w:val="16"/>
                <w:szCs w:val="16"/>
              </w:rPr>
              <w:t>材料片段未披露涉房税种明细</w:t>
            </w:r>
          </w:p>
        </w:tc>
        <w:tc>
          <w:p w14:paraId="148240F7">
            <w:pPr>
              <w:pStyle w:val="167"/>
              <w:rPr>
                <w:b w:val="0"/>
              </w:rPr>
            </w:pPr>
            <w:r>
              <w:rPr>
                <w:rFonts w:hint="eastAsia"/>
                <w:b w:val="0"/>
                <w:sz w:val="16"/>
                <w:szCs w:val="16"/>
              </w:rPr>
              <w:t>未披露国有土地使用权出让收入分项，不能计算国有土地使用权出让收入占一般公共预算或基金收入比重[46]</w:t>
            </w:r>
          </w:p>
        </w:tc>
      </w:tr>
      <w:tr w14:paraId="4B35A421">
        <w:tc>
          <w:tcPr>
            <w:shd w:val="clear" w:color="auto" w:fill="F3F7FB"/>
          </w:tcPr>
          <w:p w14:paraId="0A84D979">
            <w:pPr>
              <w:pStyle w:val="167"/>
              <w:rPr>
                <w:b w:val="0"/>
              </w:rPr>
            </w:pPr>
            <w:r>
              <w:rPr>
                <w:rFonts w:hint="eastAsia"/>
                <w:b w:val="0"/>
                <w:sz w:val="16"/>
                <w:szCs w:val="16"/>
              </w:rPr>
              <w:t>深圳</w:t>
            </w:r>
          </w:p>
        </w:tc>
        <w:tc>
          <w:tcPr>
            <w:shd w:val="clear" w:color="auto" w:fill="F3F7FB"/>
          </w:tcPr>
          <w:p w14:paraId="6FECF9FC">
            <w:pPr>
              <w:pStyle w:val="167"/>
              <w:rPr>
                <w:b w:val="0"/>
              </w:rPr>
            </w:pPr>
            <w:r>
              <w:rPr>
                <w:rFonts w:hint="eastAsia"/>
                <w:b w:val="0"/>
                <w:sz w:val="16"/>
                <w:szCs w:val="16"/>
              </w:rPr>
              <w:t>计划单列市/全市基金收入与地方级一般公共预算</w:t>
            </w:r>
          </w:p>
        </w:tc>
        <w:tc>
          <w:tcPr>
            <w:shd w:val="clear" w:color="auto" w:fill="F3F7FB"/>
          </w:tcPr>
          <w:p w14:paraId="58F7EA55">
            <w:pPr>
              <w:pStyle w:val="167"/>
              <w:jc w:val="right"/>
              <w:rPr>
                <w:b w:val="0"/>
              </w:rPr>
            </w:pPr>
            <w:r>
              <w:rPr>
                <w:rFonts w:hint="eastAsia"/>
                <w:b w:val="0"/>
                <w:sz w:val="16"/>
                <w:szCs w:val="16"/>
              </w:rPr>
              <w:t>全市政府性基金预算收入</w:t>
            </w:r>
            <w:r>
              <w:rPr>
                <w:b w:val="0"/>
                <w:sz w:val="16"/>
                <w:szCs w:val="16"/>
              </w:rPr>
              <w:t xml:space="preserve"> 475 </w:t>
            </w:r>
            <w:r>
              <w:rPr>
                <w:rFonts w:hint="eastAsia"/>
                <w:b w:val="0"/>
                <w:sz w:val="16"/>
                <w:szCs w:val="16"/>
              </w:rPr>
              <w:t>亿元，约为地方级一般公共预算收入</w:t>
            </w:r>
            <w:r>
              <w:rPr>
                <w:b w:val="0"/>
                <w:sz w:val="16"/>
                <w:szCs w:val="16"/>
              </w:rPr>
              <w:t xml:space="preserve"> 12.1%</w:t>
            </w:r>
          </w:p>
        </w:tc>
        <w:tc>
          <w:tcPr>
            <w:shd w:val="clear" w:color="auto" w:fill="F3F7FB"/>
          </w:tcPr>
          <w:p w14:paraId="5F25FF5E">
            <w:pPr>
              <w:pStyle w:val="167"/>
              <w:rPr>
                <w:b w:val="0"/>
              </w:rPr>
            </w:pPr>
            <w:r>
              <w:rPr>
                <w:rFonts w:hint="eastAsia"/>
                <w:b w:val="0"/>
                <w:sz w:val="16"/>
                <w:szCs w:val="16"/>
              </w:rPr>
              <w:t>地方级税收收入</w:t>
            </w:r>
            <w:r>
              <w:rPr>
                <w:b w:val="0"/>
                <w:sz w:val="16"/>
                <w:szCs w:val="16"/>
              </w:rPr>
              <w:t xml:space="preserve"> 3265.1 </w:t>
            </w:r>
            <w:r>
              <w:rPr>
                <w:rFonts w:hint="eastAsia"/>
                <w:b w:val="0"/>
                <w:sz w:val="16"/>
                <w:szCs w:val="16"/>
              </w:rPr>
              <w:t>亿元，税收占比</w:t>
            </w:r>
            <w:r>
              <w:rPr>
                <w:b w:val="0"/>
                <w:sz w:val="16"/>
                <w:szCs w:val="16"/>
              </w:rPr>
              <w:t xml:space="preserve"> 83.4%</w:t>
            </w:r>
          </w:p>
        </w:tc>
        <w:tc>
          <w:tcPr>
            <w:shd w:val="clear" w:color="auto" w:fill="F3F7FB"/>
          </w:tcPr>
          <w:p w14:paraId="3AA8B4E5">
            <w:pPr>
              <w:pStyle w:val="167"/>
              <w:rPr>
                <w:b w:val="0"/>
              </w:rPr>
            </w:pPr>
            <w:r>
              <w:rPr>
                <w:rFonts w:hint="eastAsia"/>
                <w:b w:val="0"/>
                <w:sz w:val="16"/>
                <w:szCs w:val="16"/>
              </w:rPr>
              <w:t>地方级收入下降主要归因于重点行业调整、结构性减税降费等，不能简单归为房地产冲击[47]</w:t>
            </w:r>
          </w:p>
        </w:tc>
      </w:tr>
      <w:tr w14:paraId="27B83E32">
        <w:tc>
          <w:p w14:paraId="1413C81E">
            <w:pPr>
              <w:pStyle w:val="167"/>
              <w:rPr>
                <w:b w:val="0"/>
              </w:rPr>
            </w:pPr>
            <w:r>
              <w:rPr>
                <w:rFonts w:hint="eastAsia"/>
                <w:b w:val="0"/>
                <w:sz w:val="16"/>
                <w:szCs w:val="16"/>
              </w:rPr>
              <w:t>杭州</w:t>
            </w:r>
          </w:p>
        </w:tc>
        <w:tc>
          <w:p w14:paraId="1F6F7C7C">
            <w:pPr>
              <w:pStyle w:val="167"/>
              <w:rPr>
                <w:b w:val="0"/>
              </w:rPr>
            </w:pPr>
            <w:r>
              <w:rPr>
                <w:rFonts w:hint="eastAsia"/>
                <w:b w:val="0"/>
                <w:sz w:val="16"/>
                <w:szCs w:val="16"/>
              </w:rPr>
              <w:t>城市全市，2024</w:t>
            </w:r>
            <w:r>
              <w:rPr>
                <w:b w:val="0"/>
                <w:sz w:val="16"/>
                <w:szCs w:val="16"/>
              </w:rPr>
              <w:t xml:space="preserve"> </w:t>
            </w:r>
            <w:r>
              <w:rPr>
                <w:rFonts w:hint="eastAsia"/>
                <w:b w:val="0"/>
                <w:sz w:val="16"/>
                <w:szCs w:val="16"/>
              </w:rPr>
              <w:t>年预算执行</w:t>
            </w:r>
          </w:p>
        </w:tc>
        <w:tc>
          <w:p w14:paraId="35324049">
            <w:pPr>
              <w:pStyle w:val="167"/>
              <w:jc w:val="right"/>
              <w:rPr>
                <w:b w:val="0"/>
              </w:rPr>
            </w:pPr>
            <w:r>
              <w:rPr>
                <w:rFonts w:hint="eastAsia"/>
                <w:b w:val="0"/>
                <w:sz w:val="16"/>
                <w:szCs w:val="16"/>
              </w:rPr>
              <w:t>国有土地使用权出让收入</w:t>
            </w:r>
            <w:r>
              <w:rPr>
                <w:b w:val="0"/>
                <w:sz w:val="16"/>
                <w:szCs w:val="16"/>
              </w:rPr>
              <w:t xml:space="preserve"> 1395.6 </w:t>
            </w:r>
            <w:r>
              <w:rPr>
                <w:rFonts w:hint="eastAsia"/>
                <w:b w:val="0"/>
                <w:sz w:val="16"/>
                <w:szCs w:val="16"/>
              </w:rPr>
              <w:t>亿元、下降</w:t>
            </w:r>
            <w:r>
              <w:rPr>
                <w:b w:val="0"/>
                <w:sz w:val="16"/>
                <w:szCs w:val="16"/>
              </w:rPr>
              <w:t xml:space="preserve"> </w:t>
            </w:r>
            <w:r>
              <w:rPr>
                <w:rFonts w:hint="eastAsia"/>
                <w:b w:val="0"/>
                <w:sz w:val="16"/>
                <w:szCs w:val="16"/>
              </w:rPr>
              <w:t>31.1%；约为一般公共预算收入</w:t>
            </w:r>
            <w:r>
              <w:rPr>
                <w:b w:val="0"/>
                <w:sz w:val="16"/>
                <w:szCs w:val="16"/>
              </w:rPr>
              <w:t xml:space="preserve"> </w:t>
            </w:r>
            <w:r>
              <w:rPr>
                <w:rFonts w:hint="eastAsia"/>
                <w:b w:val="0"/>
                <w:sz w:val="16"/>
                <w:szCs w:val="16"/>
              </w:rPr>
              <w:t>52.9%、政府性基金收入</w:t>
            </w:r>
            <w:r>
              <w:rPr>
                <w:b w:val="0"/>
                <w:sz w:val="16"/>
                <w:szCs w:val="16"/>
              </w:rPr>
              <w:t xml:space="preserve"> 91.2%</w:t>
            </w:r>
          </w:p>
        </w:tc>
        <w:tc>
          <w:p w14:paraId="0743126E">
            <w:pPr>
              <w:pStyle w:val="167"/>
              <w:rPr>
                <w:b w:val="0"/>
              </w:rPr>
            </w:pPr>
            <w:r>
              <w:rPr>
                <w:rFonts w:hint="eastAsia"/>
                <w:b w:val="0"/>
                <w:sz w:val="16"/>
                <w:szCs w:val="16"/>
              </w:rPr>
              <w:t>土地增值税</w:t>
            </w:r>
            <w:r>
              <w:rPr>
                <w:b w:val="0"/>
                <w:sz w:val="16"/>
                <w:szCs w:val="16"/>
              </w:rPr>
              <w:t xml:space="preserve"> 131 </w:t>
            </w:r>
            <w:r>
              <w:rPr>
                <w:rFonts w:hint="eastAsia"/>
                <w:b w:val="0"/>
                <w:sz w:val="16"/>
                <w:szCs w:val="16"/>
              </w:rPr>
              <w:t>亿元、下降</w:t>
            </w:r>
            <w:r>
              <w:rPr>
                <w:b w:val="0"/>
                <w:sz w:val="16"/>
                <w:szCs w:val="16"/>
              </w:rPr>
              <w:t xml:space="preserve"> </w:t>
            </w:r>
            <w:r>
              <w:rPr>
                <w:rFonts w:hint="eastAsia"/>
                <w:b w:val="0"/>
                <w:sz w:val="16"/>
                <w:szCs w:val="16"/>
              </w:rPr>
              <w:t>20.2%；契税</w:t>
            </w:r>
            <w:r>
              <w:rPr>
                <w:b w:val="0"/>
                <w:sz w:val="16"/>
                <w:szCs w:val="16"/>
              </w:rPr>
              <w:t xml:space="preserve"> 167.5 </w:t>
            </w:r>
            <w:r>
              <w:rPr>
                <w:rFonts w:hint="eastAsia"/>
                <w:b w:val="0"/>
                <w:sz w:val="16"/>
                <w:szCs w:val="16"/>
              </w:rPr>
              <w:t>亿元、下降</w:t>
            </w:r>
            <w:r>
              <w:rPr>
                <w:b w:val="0"/>
                <w:sz w:val="16"/>
                <w:szCs w:val="16"/>
              </w:rPr>
              <w:t xml:space="preserve"> </w:t>
            </w:r>
            <w:r>
              <w:rPr>
                <w:rFonts w:hint="eastAsia"/>
                <w:b w:val="0"/>
                <w:sz w:val="16"/>
                <w:szCs w:val="16"/>
              </w:rPr>
              <w:t>14.8%，两项约占税收收入</w:t>
            </w:r>
            <w:r>
              <w:rPr>
                <w:b w:val="0"/>
                <w:sz w:val="16"/>
                <w:szCs w:val="16"/>
              </w:rPr>
              <w:t xml:space="preserve"> 13.1%</w:t>
            </w:r>
          </w:p>
        </w:tc>
        <w:tc>
          <w:p w14:paraId="4A46A7C2">
            <w:pPr>
              <w:pStyle w:val="167"/>
              <w:rPr>
                <w:b w:val="0"/>
              </w:rPr>
            </w:pPr>
            <w:r>
              <w:rPr>
                <w:rFonts w:hint="eastAsia"/>
                <w:b w:val="0"/>
                <w:sz w:val="16"/>
                <w:szCs w:val="16"/>
              </w:rPr>
              <w:t>来源明确土地收入和两项税种下降主要受房地产或土地市场行情影响[48]</w:t>
            </w:r>
          </w:p>
        </w:tc>
      </w:tr>
      <w:tr w14:paraId="74882E20">
        <w:tc>
          <w:tcPr>
            <w:shd w:val="clear" w:color="auto" w:fill="F3F7FB"/>
          </w:tcPr>
          <w:p w14:paraId="7D4A21DE">
            <w:pPr>
              <w:pStyle w:val="167"/>
              <w:rPr>
                <w:b w:val="0"/>
              </w:rPr>
            </w:pPr>
            <w:r>
              <w:rPr>
                <w:rFonts w:hint="eastAsia"/>
                <w:b w:val="0"/>
                <w:sz w:val="16"/>
                <w:szCs w:val="16"/>
              </w:rPr>
              <w:t>广州</w:t>
            </w:r>
          </w:p>
        </w:tc>
        <w:tc>
          <w:tcPr>
            <w:shd w:val="clear" w:color="auto" w:fill="F3F7FB"/>
          </w:tcPr>
          <w:p w14:paraId="275BC607">
            <w:pPr>
              <w:pStyle w:val="167"/>
              <w:rPr>
                <w:b w:val="0"/>
              </w:rPr>
            </w:pPr>
            <w:r>
              <w:rPr>
                <w:rFonts w:hint="eastAsia"/>
                <w:b w:val="0"/>
                <w:sz w:val="16"/>
                <w:szCs w:val="16"/>
              </w:rPr>
              <w:t>城市全市税收；市本级土地出让金</w:t>
            </w:r>
          </w:p>
        </w:tc>
        <w:tc>
          <w:tcPr>
            <w:shd w:val="clear" w:color="auto" w:fill="F3F7FB"/>
          </w:tcPr>
          <w:p w14:paraId="4A5D8FD9">
            <w:pPr>
              <w:pStyle w:val="167"/>
              <w:jc w:val="right"/>
              <w:rPr>
                <w:b w:val="0"/>
              </w:rPr>
            </w:pPr>
            <w:r>
              <w:rPr>
                <w:rFonts w:hint="eastAsia"/>
                <w:b w:val="0"/>
                <w:sz w:val="16"/>
                <w:szCs w:val="16"/>
              </w:rPr>
              <w:t>市本级国有土地使用权出让金收入</w:t>
            </w:r>
            <w:r>
              <w:rPr>
                <w:b w:val="0"/>
                <w:sz w:val="16"/>
                <w:szCs w:val="16"/>
              </w:rPr>
              <w:t xml:space="preserve"> 621.6 </w:t>
            </w:r>
            <w:r>
              <w:rPr>
                <w:rFonts w:hint="eastAsia"/>
                <w:b w:val="0"/>
                <w:sz w:val="16"/>
                <w:szCs w:val="16"/>
              </w:rPr>
              <w:t>亿元；全市</w:t>
            </w:r>
            <w:r>
              <w:rPr>
                <w:b w:val="0"/>
                <w:sz w:val="16"/>
                <w:szCs w:val="16"/>
              </w:rPr>
              <w:t xml:space="preserve"> 2024 </w:t>
            </w:r>
            <w:r>
              <w:rPr>
                <w:rFonts w:hint="eastAsia"/>
                <w:b w:val="0"/>
                <w:sz w:val="16"/>
                <w:szCs w:val="16"/>
              </w:rPr>
              <w:t>年土地出让执行数未在该片段披露</w:t>
            </w:r>
          </w:p>
        </w:tc>
        <w:tc>
          <w:tcPr>
            <w:shd w:val="clear" w:color="auto" w:fill="F3F7FB"/>
          </w:tcPr>
          <w:p w14:paraId="71BE616B">
            <w:pPr>
              <w:pStyle w:val="167"/>
              <w:rPr>
                <w:b w:val="0"/>
              </w:rPr>
            </w:pPr>
            <w:r>
              <w:rPr>
                <w:rFonts w:hint="eastAsia"/>
                <w:b w:val="0"/>
                <w:sz w:val="16"/>
                <w:szCs w:val="16"/>
              </w:rPr>
              <w:t>全市契税</w:t>
            </w:r>
            <w:r>
              <w:rPr>
                <w:b w:val="0"/>
                <w:sz w:val="16"/>
                <w:szCs w:val="16"/>
              </w:rPr>
              <w:t xml:space="preserve"> 152.6 </w:t>
            </w:r>
            <w:r>
              <w:rPr>
                <w:rFonts w:hint="eastAsia"/>
                <w:b w:val="0"/>
                <w:sz w:val="16"/>
                <w:szCs w:val="16"/>
              </w:rPr>
              <w:t>亿元、土地增值税</w:t>
            </w:r>
            <w:r>
              <w:rPr>
                <w:b w:val="0"/>
                <w:sz w:val="16"/>
                <w:szCs w:val="16"/>
              </w:rPr>
              <w:t xml:space="preserve"> 96.4 </w:t>
            </w:r>
            <w:r>
              <w:rPr>
                <w:rFonts w:hint="eastAsia"/>
                <w:b w:val="0"/>
                <w:sz w:val="16"/>
                <w:szCs w:val="16"/>
              </w:rPr>
              <w:t>亿元，两项约占税收收入</w:t>
            </w:r>
            <w:r>
              <w:rPr>
                <w:b w:val="0"/>
                <w:sz w:val="16"/>
                <w:szCs w:val="16"/>
              </w:rPr>
              <w:t xml:space="preserve"> 18.1%</w:t>
            </w:r>
          </w:p>
        </w:tc>
        <w:tc>
          <w:tcPr>
            <w:shd w:val="clear" w:color="auto" w:fill="F3F7FB"/>
          </w:tcPr>
          <w:p w14:paraId="5085E6C1">
            <w:pPr>
              <w:pStyle w:val="167"/>
              <w:rPr>
                <w:b w:val="0"/>
              </w:rPr>
            </w:pPr>
            <w:r>
              <w:rPr>
                <w:rFonts w:hint="eastAsia"/>
                <w:b w:val="0"/>
                <w:sz w:val="16"/>
                <w:szCs w:val="16"/>
              </w:rPr>
              <w:t>税种金额可用，但缺同比降幅和房地产归因；土地收入为市本级口径[49]</w:t>
            </w:r>
          </w:p>
        </w:tc>
      </w:tr>
      <w:tr w14:paraId="10C5B33D">
        <w:tc>
          <w:p w14:paraId="4B18BCFD">
            <w:pPr>
              <w:pStyle w:val="167"/>
              <w:rPr>
                <w:b w:val="0"/>
              </w:rPr>
            </w:pPr>
            <w:r>
              <w:rPr>
                <w:rFonts w:hint="eastAsia"/>
                <w:b w:val="0"/>
                <w:sz w:val="16"/>
                <w:szCs w:val="16"/>
              </w:rPr>
              <w:t>重庆</w:t>
            </w:r>
          </w:p>
        </w:tc>
        <w:tc>
          <w:p w14:paraId="72B6835C">
            <w:pPr>
              <w:pStyle w:val="167"/>
              <w:rPr>
                <w:b w:val="0"/>
              </w:rPr>
            </w:pPr>
            <w:r>
              <w:rPr>
                <w:rFonts w:hint="eastAsia"/>
                <w:b w:val="0"/>
                <w:sz w:val="16"/>
                <w:szCs w:val="16"/>
              </w:rPr>
              <w:t>直辖市全市，2024</w:t>
            </w:r>
            <w:r>
              <w:rPr>
                <w:b w:val="0"/>
                <w:sz w:val="16"/>
                <w:szCs w:val="16"/>
              </w:rPr>
              <w:t xml:space="preserve"> </w:t>
            </w:r>
            <w:r>
              <w:rPr>
                <w:rFonts w:hint="eastAsia"/>
                <w:b w:val="0"/>
                <w:sz w:val="16"/>
                <w:szCs w:val="16"/>
              </w:rPr>
              <w:t>年预算执行</w:t>
            </w:r>
          </w:p>
        </w:tc>
        <w:tc>
          <w:p w14:paraId="1531B3DA">
            <w:pPr>
              <w:pStyle w:val="167"/>
              <w:jc w:val="right"/>
              <w:rPr>
                <w:b w:val="0"/>
              </w:rPr>
            </w:pPr>
            <w:r>
              <w:rPr>
                <w:rFonts w:hint="eastAsia"/>
                <w:b w:val="0"/>
                <w:sz w:val="16"/>
                <w:szCs w:val="16"/>
              </w:rPr>
              <w:t>国有土地使用权出让收入</w:t>
            </w:r>
            <w:r>
              <w:rPr>
                <w:b w:val="0"/>
                <w:sz w:val="16"/>
                <w:szCs w:val="16"/>
              </w:rPr>
              <w:t xml:space="preserve"> 1527.8 </w:t>
            </w:r>
            <w:r>
              <w:rPr>
                <w:rFonts w:hint="eastAsia"/>
                <w:b w:val="0"/>
                <w:sz w:val="16"/>
                <w:szCs w:val="16"/>
              </w:rPr>
              <w:t>亿元、下降</w:t>
            </w:r>
            <w:r>
              <w:rPr>
                <w:b w:val="0"/>
                <w:sz w:val="16"/>
                <w:szCs w:val="16"/>
              </w:rPr>
              <w:t xml:space="preserve"> </w:t>
            </w:r>
            <w:r>
              <w:rPr>
                <w:rFonts w:hint="eastAsia"/>
                <w:b w:val="0"/>
                <w:sz w:val="16"/>
                <w:szCs w:val="16"/>
              </w:rPr>
              <w:t>9.9%；约为一般公共预算收入</w:t>
            </w:r>
            <w:r>
              <w:rPr>
                <w:b w:val="0"/>
                <w:sz w:val="16"/>
                <w:szCs w:val="16"/>
              </w:rPr>
              <w:t xml:space="preserve"> </w:t>
            </w:r>
            <w:r>
              <w:rPr>
                <w:rFonts w:hint="eastAsia"/>
                <w:b w:val="0"/>
                <w:sz w:val="16"/>
                <w:szCs w:val="16"/>
              </w:rPr>
              <w:t>58.9%、政府性基金预算收入</w:t>
            </w:r>
            <w:r>
              <w:rPr>
                <w:b w:val="0"/>
                <w:sz w:val="16"/>
                <w:szCs w:val="16"/>
              </w:rPr>
              <w:t xml:space="preserve"> 88.7%</w:t>
            </w:r>
          </w:p>
        </w:tc>
        <w:tc>
          <w:p w14:paraId="44B510C0">
            <w:pPr>
              <w:pStyle w:val="167"/>
              <w:rPr>
                <w:b w:val="0"/>
              </w:rPr>
            </w:pPr>
            <w:r>
              <w:rPr>
                <w:rFonts w:hint="eastAsia"/>
                <w:b w:val="0"/>
                <w:sz w:val="16"/>
                <w:szCs w:val="16"/>
              </w:rPr>
              <w:t>税收收入</w:t>
            </w:r>
            <w:r>
              <w:rPr>
                <w:b w:val="0"/>
                <w:sz w:val="16"/>
                <w:szCs w:val="16"/>
              </w:rPr>
              <w:t xml:space="preserve"> 1521.3 </w:t>
            </w:r>
            <w:r>
              <w:rPr>
                <w:rFonts w:hint="eastAsia"/>
                <w:b w:val="0"/>
                <w:sz w:val="16"/>
                <w:szCs w:val="16"/>
              </w:rPr>
              <w:t>亿元、增长</w:t>
            </w:r>
            <w:r>
              <w:rPr>
                <w:b w:val="0"/>
                <w:sz w:val="16"/>
                <w:szCs w:val="16"/>
              </w:rPr>
              <w:t xml:space="preserve"> 3.1%</w:t>
            </w:r>
          </w:p>
        </w:tc>
        <w:tc>
          <w:p w14:paraId="65620054">
            <w:pPr>
              <w:pStyle w:val="167"/>
              <w:rPr>
                <w:b w:val="0"/>
              </w:rPr>
            </w:pPr>
            <w:r>
              <w:rPr>
                <w:rFonts w:hint="eastAsia"/>
                <w:b w:val="0"/>
                <w:sz w:val="16"/>
                <w:szCs w:val="16"/>
              </w:rPr>
              <w:t>全市一般公共预算仍增长，说明土地基金压力未等比例表现为本级收入下降[50]</w:t>
            </w:r>
          </w:p>
        </w:tc>
      </w:tr>
      <w:tr w14:paraId="4C57C872">
        <w:tc>
          <w:tcPr>
            <w:shd w:val="clear" w:color="auto" w:fill="F3F7FB"/>
          </w:tcPr>
          <w:p w14:paraId="1275AFAB">
            <w:pPr>
              <w:pStyle w:val="167"/>
              <w:rPr>
                <w:b w:val="0"/>
              </w:rPr>
            </w:pPr>
            <w:r>
              <w:rPr>
                <w:rFonts w:hint="eastAsia"/>
                <w:b w:val="0"/>
                <w:sz w:val="16"/>
                <w:szCs w:val="16"/>
              </w:rPr>
              <w:t>北京</w:t>
            </w:r>
          </w:p>
        </w:tc>
        <w:tc>
          <w:tcPr>
            <w:shd w:val="clear" w:color="auto" w:fill="F3F7FB"/>
          </w:tcPr>
          <w:p w14:paraId="2E8B44B0">
            <w:pPr>
              <w:pStyle w:val="167"/>
              <w:rPr>
                <w:b w:val="0"/>
              </w:rPr>
            </w:pPr>
            <w:r>
              <w:rPr>
                <w:rFonts w:hint="eastAsia"/>
                <w:b w:val="0"/>
                <w:sz w:val="16"/>
                <w:szCs w:val="16"/>
              </w:rPr>
              <w:t>直辖市全市，2024</w:t>
            </w:r>
            <w:r>
              <w:rPr>
                <w:b w:val="0"/>
                <w:sz w:val="16"/>
                <w:szCs w:val="16"/>
              </w:rPr>
              <w:t xml:space="preserve"> </w:t>
            </w:r>
            <w:r>
              <w:rPr>
                <w:rFonts w:hint="eastAsia"/>
                <w:b w:val="0"/>
                <w:sz w:val="16"/>
                <w:szCs w:val="16"/>
              </w:rPr>
              <w:t>年预算执行</w:t>
            </w:r>
          </w:p>
        </w:tc>
        <w:tc>
          <w:tcPr>
            <w:shd w:val="clear" w:color="auto" w:fill="F3F7FB"/>
          </w:tcPr>
          <w:p w14:paraId="12F3F2A2">
            <w:pPr>
              <w:pStyle w:val="167"/>
              <w:jc w:val="right"/>
              <w:rPr>
                <w:b w:val="0"/>
              </w:rPr>
            </w:pPr>
            <w:r>
              <w:rPr>
                <w:rFonts w:hint="eastAsia"/>
                <w:b w:val="0"/>
                <w:sz w:val="16"/>
                <w:szCs w:val="16"/>
              </w:rPr>
              <w:t>全市政府性基金预算收入</w:t>
            </w:r>
            <w:r>
              <w:rPr>
                <w:b w:val="0"/>
                <w:sz w:val="16"/>
                <w:szCs w:val="16"/>
              </w:rPr>
              <w:t xml:space="preserve"> 2094.9 </w:t>
            </w:r>
            <w:r>
              <w:rPr>
                <w:rFonts w:hint="eastAsia"/>
                <w:b w:val="0"/>
                <w:sz w:val="16"/>
                <w:szCs w:val="16"/>
              </w:rPr>
              <w:t>亿元，约为一般公共预算收入</w:t>
            </w:r>
            <w:r>
              <w:rPr>
                <w:b w:val="0"/>
                <w:sz w:val="16"/>
                <w:szCs w:val="16"/>
              </w:rPr>
              <w:t xml:space="preserve"> 32.9%</w:t>
            </w:r>
          </w:p>
        </w:tc>
        <w:tc>
          <w:tcPr>
            <w:shd w:val="clear" w:color="auto" w:fill="F3F7FB"/>
          </w:tcPr>
          <w:p w14:paraId="6372634F">
            <w:pPr>
              <w:pStyle w:val="167"/>
              <w:rPr>
                <w:b w:val="0"/>
              </w:rPr>
            </w:pPr>
            <w:r>
              <w:rPr>
                <w:rFonts w:hint="eastAsia"/>
                <w:b w:val="0"/>
                <w:sz w:val="16"/>
                <w:szCs w:val="16"/>
              </w:rPr>
              <w:t>税收占一般公共预算收入</w:t>
            </w:r>
            <w:r>
              <w:rPr>
                <w:b w:val="0"/>
                <w:sz w:val="16"/>
                <w:szCs w:val="16"/>
              </w:rPr>
              <w:t xml:space="preserve"> 85.9%</w:t>
            </w:r>
          </w:p>
        </w:tc>
        <w:tc>
          <w:tcPr>
            <w:shd w:val="clear" w:color="auto" w:fill="F3F7FB"/>
          </w:tcPr>
          <w:p w14:paraId="05F445FE">
            <w:pPr>
              <w:pStyle w:val="167"/>
              <w:rPr>
                <w:b w:val="0"/>
              </w:rPr>
            </w:pPr>
            <w:r>
              <w:rPr>
                <w:rFonts w:hint="eastAsia"/>
                <w:b w:val="0"/>
                <w:sz w:val="16"/>
                <w:szCs w:val="16"/>
              </w:rPr>
              <w:t>未在同一收入段披露全市国有土地使用权出让收入金额，只能作为低基金参考比重样本[51]</w:t>
            </w:r>
          </w:p>
        </w:tc>
      </w:tr>
      <w:tr w14:paraId="6414C27E">
        <w:tc>
          <w:p w14:paraId="71541888">
            <w:pPr>
              <w:pStyle w:val="167"/>
              <w:rPr>
                <w:b w:val="0"/>
              </w:rPr>
            </w:pPr>
            <w:r>
              <w:rPr>
                <w:rFonts w:hint="eastAsia"/>
                <w:b w:val="0"/>
                <w:sz w:val="16"/>
                <w:szCs w:val="16"/>
              </w:rPr>
              <w:t>山西</w:t>
            </w:r>
          </w:p>
        </w:tc>
        <w:tc>
          <w:p w14:paraId="1F31BB53">
            <w:pPr>
              <w:pStyle w:val="167"/>
              <w:rPr>
                <w:b w:val="0"/>
              </w:rPr>
            </w:pPr>
            <w:r>
              <w:rPr>
                <w:rFonts w:hint="eastAsia"/>
                <w:b w:val="0"/>
                <w:sz w:val="16"/>
                <w:szCs w:val="16"/>
              </w:rPr>
              <w:t>省级全辖区，2024</w:t>
            </w:r>
            <w:r>
              <w:rPr>
                <w:b w:val="0"/>
                <w:sz w:val="16"/>
                <w:szCs w:val="16"/>
              </w:rPr>
              <w:t xml:space="preserve"> </w:t>
            </w:r>
            <w:r>
              <w:rPr>
                <w:rFonts w:hint="eastAsia"/>
                <w:b w:val="0"/>
                <w:sz w:val="16"/>
                <w:szCs w:val="16"/>
              </w:rPr>
              <w:t>年预算执行</w:t>
            </w:r>
          </w:p>
        </w:tc>
        <w:tc>
          <w:p w14:paraId="503969C3">
            <w:pPr>
              <w:pStyle w:val="167"/>
              <w:jc w:val="right"/>
              <w:rPr>
                <w:b w:val="0"/>
              </w:rPr>
            </w:pPr>
            <w:r>
              <w:rPr>
                <w:rFonts w:hint="eastAsia"/>
                <w:b w:val="0"/>
                <w:sz w:val="16"/>
                <w:szCs w:val="16"/>
              </w:rPr>
              <w:t>政府性基金预算收入</w:t>
            </w:r>
            <w:r>
              <w:rPr>
                <w:b w:val="0"/>
                <w:sz w:val="16"/>
                <w:szCs w:val="16"/>
              </w:rPr>
              <w:t xml:space="preserve"> 520.51 </w:t>
            </w:r>
            <w:r>
              <w:rPr>
                <w:rFonts w:hint="eastAsia"/>
                <w:b w:val="0"/>
                <w:sz w:val="16"/>
                <w:szCs w:val="16"/>
              </w:rPr>
              <w:t>亿元、下降</w:t>
            </w:r>
            <w:r>
              <w:rPr>
                <w:b w:val="0"/>
                <w:sz w:val="16"/>
                <w:szCs w:val="16"/>
              </w:rPr>
              <w:t xml:space="preserve"> </w:t>
            </w:r>
            <w:r>
              <w:rPr>
                <w:rFonts w:hint="eastAsia"/>
                <w:b w:val="0"/>
                <w:sz w:val="16"/>
                <w:szCs w:val="16"/>
              </w:rPr>
              <w:t>13.5%，约为一般公共预算收入</w:t>
            </w:r>
            <w:r>
              <w:rPr>
                <w:b w:val="0"/>
                <w:sz w:val="16"/>
                <w:szCs w:val="16"/>
              </w:rPr>
              <w:t xml:space="preserve"> 14.7%</w:t>
            </w:r>
          </w:p>
        </w:tc>
        <w:tc>
          <w:p w14:paraId="1DAF6C10">
            <w:pPr>
              <w:pStyle w:val="167"/>
              <w:rPr>
                <w:b w:val="0"/>
              </w:rPr>
            </w:pPr>
            <w:r>
              <w:rPr>
                <w:rFonts w:hint="eastAsia"/>
                <w:b w:val="0"/>
                <w:sz w:val="16"/>
                <w:szCs w:val="16"/>
              </w:rPr>
              <w:t>税收收入</w:t>
            </w:r>
            <w:r>
              <w:rPr>
                <w:b w:val="0"/>
                <w:sz w:val="16"/>
                <w:szCs w:val="16"/>
              </w:rPr>
              <w:t xml:space="preserve"> 2299.66 </w:t>
            </w:r>
            <w:r>
              <w:rPr>
                <w:rFonts w:hint="eastAsia"/>
                <w:b w:val="0"/>
                <w:sz w:val="16"/>
                <w:szCs w:val="16"/>
              </w:rPr>
              <w:t>亿元、下降</w:t>
            </w:r>
            <w:r>
              <w:rPr>
                <w:b w:val="0"/>
                <w:sz w:val="16"/>
                <w:szCs w:val="16"/>
              </w:rPr>
              <w:t xml:space="preserve"> </w:t>
            </w:r>
            <w:r>
              <w:rPr>
                <w:rFonts w:hint="eastAsia"/>
                <w:b w:val="0"/>
                <w:sz w:val="16"/>
                <w:szCs w:val="16"/>
              </w:rPr>
              <w:t>10.1%，来源主要归因于煤炭销量下降和价格回落</w:t>
            </w:r>
          </w:p>
        </w:tc>
        <w:tc>
          <w:p w14:paraId="380E1050">
            <w:pPr>
              <w:pStyle w:val="167"/>
              <w:rPr>
                <w:b w:val="0"/>
              </w:rPr>
            </w:pPr>
            <w:r>
              <w:rPr>
                <w:rFonts w:hint="eastAsia"/>
                <w:b w:val="0"/>
                <w:sz w:val="16"/>
                <w:szCs w:val="16"/>
              </w:rPr>
              <w:t>财政结构受煤炭和矿业权出让收益影响较大，房地产不是主要税收解释变量[52]</w:t>
            </w:r>
          </w:p>
        </w:tc>
      </w:tr>
      <w:tr w14:paraId="5DE055C7">
        <w:tc>
          <w:tcPr>
            <w:shd w:val="clear" w:color="auto" w:fill="F3F7FB"/>
          </w:tcPr>
          <w:p w14:paraId="185A26C0">
            <w:pPr>
              <w:pStyle w:val="167"/>
              <w:rPr>
                <w:b w:val="0"/>
              </w:rPr>
            </w:pPr>
            <w:r>
              <w:rPr>
                <w:rFonts w:hint="eastAsia"/>
                <w:b w:val="0"/>
                <w:sz w:val="16"/>
                <w:szCs w:val="16"/>
              </w:rPr>
              <w:t>宁波</w:t>
            </w:r>
          </w:p>
        </w:tc>
        <w:tc>
          <w:tcPr>
            <w:shd w:val="clear" w:color="auto" w:fill="F3F7FB"/>
          </w:tcPr>
          <w:p w14:paraId="00AFC948">
            <w:pPr>
              <w:pStyle w:val="167"/>
              <w:rPr>
                <w:b w:val="0"/>
              </w:rPr>
            </w:pPr>
            <w:r>
              <w:rPr>
                <w:rFonts w:hint="eastAsia"/>
                <w:b w:val="0"/>
                <w:sz w:val="16"/>
                <w:szCs w:val="16"/>
              </w:rPr>
              <w:t>计划单列市全市，2024</w:t>
            </w:r>
            <w:r>
              <w:rPr>
                <w:b w:val="0"/>
                <w:sz w:val="16"/>
                <w:szCs w:val="16"/>
              </w:rPr>
              <w:t xml:space="preserve"> </w:t>
            </w:r>
            <w:r>
              <w:rPr>
                <w:rFonts w:hint="eastAsia"/>
                <w:b w:val="0"/>
                <w:sz w:val="16"/>
                <w:szCs w:val="16"/>
              </w:rPr>
              <w:t>年预算执行</w:t>
            </w:r>
          </w:p>
        </w:tc>
        <w:tc>
          <w:tcPr>
            <w:shd w:val="clear" w:color="auto" w:fill="F3F7FB"/>
          </w:tcPr>
          <w:p w14:paraId="76D55621">
            <w:pPr>
              <w:pStyle w:val="167"/>
              <w:jc w:val="right"/>
              <w:rPr>
                <w:b w:val="0"/>
              </w:rPr>
            </w:pPr>
            <w:r>
              <w:rPr>
                <w:rFonts w:hint="eastAsia"/>
                <w:b w:val="0"/>
                <w:sz w:val="16"/>
                <w:szCs w:val="16"/>
              </w:rPr>
              <w:t>国有土地使用权出让收入</w:t>
            </w:r>
            <w:r>
              <w:rPr>
                <w:b w:val="0"/>
                <w:sz w:val="16"/>
                <w:szCs w:val="16"/>
              </w:rPr>
              <w:t xml:space="preserve"> 650.7 </w:t>
            </w:r>
            <w:r>
              <w:rPr>
                <w:rFonts w:hint="eastAsia"/>
                <w:b w:val="0"/>
                <w:sz w:val="16"/>
                <w:szCs w:val="16"/>
              </w:rPr>
              <w:t>亿元、下降</w:t>
            </w:r>
            <w:r>
              <w:rPr>
                <w:b w:val="0"/>
                <w:sz w:val="16"/>
                <w:szCs w:val="16"/>
              </w:rPr>
              <w:t xml:space="preserve"> </w:t>
            </w:r>
            <w:r>
              <w:rPr>
                <w:rFonts w:hint="eastAsia"/>
                <w:b w:val="0"/>
                <w:sz w:val="16"/>
                <w:szCs w:val="16"/>
              </w:rPr>
              <w:t>21.1%；约为一般公共预算收入</w:t>
            </w:r>
            <w:r>
              <w:rPr>
                <w:b w:val="0"/>
                <w:sz w:val="16"/>
                <w:szCs w:val="16"/>
              </w:rPr>
              <w:t xml:space="preserve"> </w:t>
            </w:r>
            <w:r>
              <w:rPr>
                <w:rFonts w:hint="eastAsia"/>
                <w:b w:val="0"/>
                <w:sz w:val="16"/>
                <w:szCs w:val="16"/>
              </w:rPr>
              <w:t>36.3%、政府性基金预算收入</w:t>
            </w:r>
            <w:r>
              <w:rPr>
                <w:b w:val="0"/>
                <w:sz w:val="16"/>
                <w:szCs w:val="16"/>
              </w:rPr>
              <w:t xml:space="preserve"> 90.2%</w:t>
            </w:r>
          </w:p>
        </w:tc>
        <w:tc>
          <w:tcPr>
            <w:shd w:val="clear" w:color="auto" w:fill="F3F7FB"/>
          </w:tcPr>
          <w:p w14:paraId="0CEB2421">
            <w:pPr>
              <w:pStyle w:val="167"/>
              <w:rPr>
                <w:b w:val="0"/>
              </w:rPr>
            </w:pPr>
            <w:r>
              <w:rPr>
                <w:rFonts w:hint="eastAsia"/>
                <w:b w:val="0"/>
                <w:sz w:val="16"/>
                <w:szCs w:val="16"/>
              </w:rPr>
              <w:t>税收收入</w:t>
            </w:r>
            <w:r>
              <w:rPr>
                <w:b w:val="0"/>
                <w:sz w:val="16"/>
                <w:szCs w:val="16"/>
              </w:rPr>
              <w:t xml:space="preserve"> 1434.2 </w:t>
            </w:r>
            <w:r>
              <w:rPr>
                <w:rFonts w:hint="eastAsia"/>
                <w:b w:val="0"/>
                <w:sz w:val="16"/>
                <w:szCs w:val="16"/>
              </w:rPr>
              <w:t>亿元、下降</w:t>
            </w:r>
            <w:r>
              <w:rPr>
                <w:b w:val="0"/>
                <w:sz w:val="16"/>
                <w:szCs w:val="16"/>
              </w:rPr>
              <w:t xml:space="preserve"> </w:t>
            </w:r>
            <w:r>
              <w:rPr>
                <w:rFonts w:hint="eastAsia"/>
                <w:b w:val="0"/>
                <w:sz w:val="16"/>
                <w:szCs w:val="16"/>
              </w:rPr>
              <w:t>2.1%，税收占比</w:t>
            </w:r>
            <w:r>
              <w:rPr>
                <w:b w:val="0"/>
                <w:sz w:val="16"/>
                <w:szCs w:val="16"/>
              </w:rPr>
              <w:t xml:space="preserve"> 80.1%</w:t>
            </w:r>
          </w:p>
        </w:tc>
        <w:tc>
          <w:tcPr>
            <w:shd w:val="clear" w:color="auto" w:fill="F3F7FB"/>
          </w:tcPr>
          <w:p w14:paraId="6A9B3A8C">
            <w:pPr>
              <w:pStyle w:val="167"/>
              <w:rPr>
                <w:b w:val="0"/>
              </w:rPr>
            </w:pPr>
            <w:r>
              <w:rPr>
                <w:rFonts w:hint="eastAsia"/>
                <w:b w:val="0"/>
                <w:sz w:val="16"/>
                <w:szCs w:val="16"/>
              </w:rPr>
              <w:t>土地收入占基金收入高，但相对一般公共预算的参考比重低于高依赖样本[53]</w:t>
            </w:r>
          </w:p>
        </w:tc>
      </w:tr>
      <w:tr w14:paraId="3EB553DA">
        <w:tc>
          <w:p w14:paraId="4CB2DB88">
            <w:pPr>
              <w:pStyle w:val="167"/>
              <w:rPr>
                <w:b w:val="0"/>
              </w:rPr>
            </w:pPr>
            <w:r>
              <w:rPr>
                <w:rFonts w:hint="eastAsia"/>
                <w:b w:val="0"/>
                <w:sz w:val="16"/>
                <w:szCs w:val="16"/>
              </w:rPr>
              <w:t>苏州</w:t>
            </w:r>
          </w:p>
        </w:tc>
        <w:tc>
          <w:p w14:paraId="19128E6D">
            <w:pPr>
              <w:pStyle w:val="167"/>
              <w:rPr>
                <w:b w:val="0"/>
              </w:rPr>
            </w:pPr>
            <w:r>
              <w:rPr>
                <w:rFonts w:hint="eastAsia"/>
                <w:b w:val="0"/>
                <w:sz w:val="16"/>
                <w:szCs w:val="16"/>
              </w:rPr>
              <w:t>普通地级市，2024</w:t>
            </w:r>
            <w:r>
              <w:rPr>
                <w:b w:val="0"/>
                <w:sz w:val="16"/>
                <w:szCs w:val="16"/>
              </w:rPr>
              <w:t xml:space="preserve"> </w:t>
            </w:r>
            <w:r>
              <w:rPr>
                <w:rFonts w:hint="eastAsia"/>
                <w:b w:val="0"/>
                <w:sz w:val="16"/>
                <w:szCs w:val="16"/>
              </w:rPr>
              <w:t>年预算执行</w:t>
            </w:r>
          </w:p>
        </w:tc>
        <w:tc>
          <w:p w14:paraId="6A7AEA40">
            <w:pPr>
              <w:pStyle w:val="167"/>
              <w:jc w:val="right"/>
              <w:rPr>
                <w:b w:val="0"/>
              </w:rPr>
            </w:pPr>
            <w:r>
              <w:rPr>
                <w:rFonts w:hint="eastAsia"/>
                <w:b w:val="0"/>
                <w:sz w:val="16"/>
                <w:szCs w:val="16"/>
              </w:rPr>
              <w:t>国有土地使用权出让收入</w:t>
            </w:r>
            <w:r>
              <w:rPr>
                <w:b w:val="0"/>
                <w:sz w:val="16"/>
                <w:szCs w:val="16"/>
              </w:rPr>
              <w:t xml:space="preserve"> 942.9578 </w:t>
            </w:r>
            <w:r>
              <w:rPr>
                <w:rFonts w:hint="eastAsia"/>
                <w:b w:val="0"/>
                <w:sz w:val="16"/>
                <w:szCs w:val="16"/>
              </w:rPr>
              <w:t>亿元、下降</w:t>
            </w:r>
            <w:r>
              <w:rPr>
                <w:b w:val="0"/>
                <w:sz w:val="16"/>
                <w:szCs w:val="16"/>
              </w:rPr>
              <w:t xml:space="preserve"> </w:t>
            </w:r>
            <w:r>
              <w:rPr>
                <w:rFonts w:hint="eastAsia"/>
                <w:b w:val="0"/>
                <w:sz w:val="16"/>
                <w:szCs w:val="16"/>
              </w:rPr>
              <w:t>26.61%；约为一般公共预算收入</w:t>
            </w:r>
            <w:r>
              <w:rPr>
                <w:b w:val="0"/>
                <w:sz w:val="16"/>
                <w:szCs w:val="16"/>
              </w:rPr>
              <w:t xml:space="preserve"> </w:t>
            </w:r>
            <w:r>
              <w:rPr>
                <w:rFonts w:hint="eastAsia"/>
                <w:b w:val="0"/>
                <w:sz w:val="16"/>
                <w:szCs w:val="16"/>
              </w:rPr>
              <w:t>38.3%、政府性基金预算收入</w:t>
            </w:r>
            <w:r>
              <w:rPr>
                <w:b w:val="0"/>
                <w:sz w:val="16"/>
                <w:szCs w:val="16"/>
              </w:rPr>
              <w:t xml:space="preserve"> 90.0%</w:t>
            </w:r>
          </w:p>
        </w:tc>
        <w:tc>
          <w:p w14:paraId="7AD7A078">
            <w:pPr>
              <w:pStyle w:val="167"/>
              <w:rPr>
                <w:b w:val="0"/>
              </w:rPr>
            </w:pPr>
            <w:r>
              <w:rPr>
                <w:rFonts w:hint="eastAsia"/>
                <w:b w:val="0"/>
                <w:sz w:val="16"/>
                <w:szCs w:val="16"/>
              </w:rPr>
              <w:t>土地增值税</w:t>
            </w:r>
            <w:r>
              <w:rPr>
                <w:b w:val="0"/>
                <w:sz w:val="16"/>
                <w:szCs w:val="16"/>
              </w:rPr>
              <w:t xml:space="preserve"> 94.2033 </w:t>
            </w:r>
            <w:r>
              <w:rPr>
                <w:rFonts w:hint="eastAsia"/>
                <w:b w:val="0"/>
                <w:sz w:val="16"/>
                <w:szCs w:val="16"/>
              </w:rPr>
              <w:t>亿元、增长</w:t>
            </w:r>
            <w:r>
              <w:rPr>
                <w:b w:val="0"/>
                <w:sz w:val="16"/>
                <w:szCs w:val="16"/>
              </w:rPr>
              <w:t xml:space="preserve"> </w:t>
            </w:r>
            <w:r>
              <w:rPr>
                <w:rFonts w:hint="eastAsia"/>
                <w:b w:val="0"/>
                <w:sz w:val="16"/>
                <w:szCs w:val="16"/>
              </w:rPr>
              <w:t>16.01%；契税</w:t>
            </w:r>
            <w:r>
              <w:rPr>
                <w:b w:val="0"/>
                <w:sz w:val="16"/>
                <w:szCs w:val="16"/>
              </w:rPr>
              <w:t xml:space="preserve"> 118.3132 </w:t>
            </w:r>
            <w:r>
              <w:rPr>
                <w:rFonts w:hint="eastAsia"/>
                <w:b w:val="0"/>
                <w:sz w:val="16"/>
                <w:szCs w:val="16"/>
              </w:rPr>
              <w:t>亿元、下降</w:t>
            </w:r>
            <w:r>
              <w:rPr>
                <w:b w:val="0"/>
                <w:sz w:val="16"/>
                <w:szCs w:val="16"/>
              </w:rPr>
              <w:t xml:space="preserve"> 20.41%</w:t>
            </w:r>
          </w:p>
        </w:tc>
        <w:tc>
          <w:p w14:paraId="5CC4ABDF">
            <w:pPr>
              <w:pStyle w:val="167"/>
              <w:rPr>
                <w:b w:val="0"/>
              </w:rPr>
            </w:pPr>
            <w:r>
              <w:rPr>
                <w:rFonts w:hint="eastAsia"/>
                <w:b w:val="0"/>
                <w:sz w:val="16"/>
                <w:szCs w:val="16"/>
              </w:rPr>
              <w:t>涉房税种并非同步下降，不能只凭税种名称推断房地产冲击方向[54]</w:t>
            </w:r>
          </w:p>
        </w:tc>
      </w:tr>
    </w:tbl>
    <w:p w14:paraId="528A1354">
      <w:pPr>
        <w:pStyle w:val="4"/>
      </w:pPr>
      <w:bookmarkStart w:id="30" w:name="_Toc551185569"/>
      <w:bookmarkStart w:id="31" w:name="地区影响不能用全国平均外推样本层级和披露口径先分层"/>
      <w:r>
        <w:rPr>
          <w:rFonts w:hint="eastAsia"/>
        </w:rPr>
        <w:t>地区影响不能用全国平均外推：样本层级和披露口径先分层</w:t>
      </w:r>
      <w:bookmarkEnd w:id="30"/>
    </w:p>
    <w:p w14:paraId="666B8E30">
      <w:pPr>
        <w:pStyle w:val="168"/>
      </w:pPr>
      <w:r>
        <w:rPr>
          <w:rFonts w:hint="eastAsia"/>
        </w:rPr>
        <w:t>地区样本首先说明，房地产相关财政压力必须按行政层级和预算口径分层观察。已有公开材料覆盖省级样本浙江、四川、贵州、江苏、山西，也覆盖上海、重庆、北京等直辖市以及深圳、杭州、广州、宁波、苏州等城市；这些材料披露的字段并不一致，有的给一般公共预算收入和政府性基金收入，有的进一步给国有土地使用权出让收入或契税、土地增值税等涉房税种。这样的样本足以判断地方财政结构差异，却不足以形成一个同口径的全国地区排名。[42][43][44][45][46][47][48][49][50][51][52][53][54]</w:t>
      </w:r>
    </w:p>
    <w:p w14:paraId="0924E20C">
      <w:pPr>
        <w:pStyle w:val="19"/>
      </w:pPr>
      <w:r>
        <w:rPr>
          <w:rFonts w:hint="eastAsia"/>
        </w:rPr>
        <w:t>可比性限制主要来自三处。省级全辖区、直辖市全市、计划单列市和普通地级市不是同一层级；上海材料同时披露全市政府性基金预算收入和市级国有土地使用权出让收入，广州材料披露市本级土地出让金而非全市</w:t>
      </w:r>
      <w:r>
        <w:t xml:space="preserve"> 2024 </w:t>
      </w:r>
      <w:r>
        <w:rPr>
          <w:rFonts w:hint="eastAsia"/>
        </w:rPr>
        <w:t>年土地出让执行数，江苏材料只披露政府性基金预算收入总计而未给国有土地使用权出让收入分项。预算执行数、预算完成度和决算数也可能处在不同时点，因此这些数字适合作为结构性压力样本，而不适合直接混排为“谁最依赖土地”的精确榜单。[45][46][49]</w:t>
      </w:r>
    </w:p>
    <w:p w14:paraId="4BBE9478">
      <w:pPr>
        <w:pStyle w:val="19"/>
      </w:pPr>
      <w:r>
        <w:rPr>
          <w:rFonts w:hint="eastAsia"/>
        </w:rPr>
        <w:t>在这样的边界下，地区比较的安全用法是看分母和方向，而不是只看一个金额。国有土地使用权出让收入占一般公共预算收入的比例越高，房地产和土地市场下行越容易影响地方广义财力；但该比例是按同一来源金额计算的参考依赖度，不等同于土地净收益，也不表示土地收入已经进入一般公共预算。政府性基金预算收入占一般公共预算收入的比例则可以用于低基金比重样本的对照，但在没有土地收入分项时，不能替代国有土地使用权出让收入依赖度。</w:t>
      </w:r>
    </w:p>
    <w:bookmarkEnd w:id="31"/>
    <w:p w14:paraId="0CE14CAD">
      <w:pPr>
        <w:pStyle w:val="4"/>
      </w:pPr>
      <w:bookmarkStart w:id="32" w:name="_Toc1678888672"/>
      <w:bookmarkStart w:id="33" w:name="高依赖样本贵州重庆杭州四川显示土地收入相对一般公共预算占比较高"/>
      <w:r>
        <w:rPr>
          <w:rFonts w:hint="eastAsia"/>
        </w:rPr>
        <w:t>高依赖样本：贵州、重庆、杭州、四川显示土地收入相对一般公共预算占比较高</w:t>
      </w:r>
      <w:bookmarkEnd w:id="32"/>
    </w:p>
    <w:p w14:paraId="3EB75C70">
      <w:pPr>
        <w:pStyle w:val="168"/>
      </w:pPr>
      <w:r>
        <w:rPr>
          <w:rFonts w:hint="eastAsia"/>
        </w:rPr>
        <w:t>高土地依赖样本的共同特征，是国有土地使用权出让收入相对一般公共预算收入已达到足以改变地方财力感受的量级。贵州</w:t>
      </w:r>
      <w:r>
        <w:t xml:space="preserve"> 2024 </w:t>
      </w:r>
      <w:r>
        <w:rPr>
          <w:rFonts w:hint="eastAsia"/>
        </w:rPr>
        <w:t>年一般公共预算收入为</w:t>
      </w:r>
      <w:r>
        <w:t xml:space="preserve"> 2169.6151 </w:t>
      </w:r>
      <w:r>
        <w:rPr>
          <w:rFonts w:hint="eastAsia"/>
        </w:rPr>
        <w:t>亿元，国有土地使用权出让收入为</w:t>
      </w:r>
      <w:r>
        <w:t xml:space="preserve"> 1749.2412 </w:t>
      </w:r>
      <w:r>
        <w:rPr>
          <w:rFonts w:hint="eastAsia"/>
        </w:rPr>
        <w:t>亿元，按同一来源金额计算约相当于一般公共预算收入的</w:t>
      </w:r>
      <w:r>
        <w:t xml:space="preserve"> </w:t>
      </w:r>
      <w:r>
        <w:rPr>
          <w:rFonts w:hint="eastAsia"/>
        </w:rPr>
        <w:t>80.6%、政府性基金预算收入的</w:t>
      </w:r>
      <w:r>
        <w:t xml:space="preserve"> </w:t>
      </w:r>
      <w:r>
        <w:rPr>
          <w:rFonts w:hint="eastAsia"/>
        </w:rPr>
        <w:t>75.6%。来源同时说明，国有土地使用权出让收入同比减少</w:t>
      </w:r>
      <w:r>
        <w:t xml:space="preserve"> 172.4293 </w:t>
      </w:r>
      <w:r>
        <w:rPr>
          <w:rFonts w:hint="eastAsia"/>
        </w:rPr>
        <w:t>亿元，主要原因是房地产市场低迷和土地市场需求萎缩；这使贵州成为样本中房地产低迷与土地财政压力连接最直接、比例最高的省级案例。[44]</w:t>
      </w:r>
    </w:p>
    <w:p w14:paraId="0E55DE8A">
      <w:pPr>
        <w:pStyle w:val="19"/>
      </w:pPr>
      <w:r>
        <w:rPr>
          <w:rFonts w:hint="eastAsia"/>
        </w:rPr>
        <w:t>重庆展示了另一种高依赖结构：一般公共预算收入仍增长，但基金账本和国有土地使用权出让收入转弱。2024</w:t>
      </w:r>
      <w:r>
        <w:t xml:space="preserve"> </w:t>
      </w:r>
      <w:r>
        <w:rPr>
          <w:rFonts w:hint="eastAsia"/>
        </w:rPr>
        <w:t>年重庆全市一般公共预算收入为</w:t>
      </w:r>
      <w:r>
        <w:t xml:space="preserve"> 2595.4 </w:t>
      </w:r>
      <w:r>
        <w:rPr>
          <w:rFonts w:hint="eastAsia"/>
        </w:rPr>
        <w:t>亿元、增长</w:t>
      </w:r>
      <w:r>
        <w:t xml:space="preserve"> </w:t>
      </w:r>
      <w:r>
        <w:rPr>
          <w:rFonts w:hint="eastAsia"/>
        </w:rPr>
        <w:t>6.3%，税收收入</w:t>
      </w:r>
      <w:r>
        <w:t xml:space="preserve"> 1521.3 </w:t>
      </w:r>
      <w:r>
        <w:rPr>
          <w:rFonts w:hint="eastAsia"/>
        </w:rPr>
        <w:t>亿元、增长</w:t>
      </w:r>
      <w:r>
        <w:t xml:space="preserve"> </w:t>
      </w:r>
      <w:r>
        <w:rPr>
          <w:rFonts w:hint="eastAsia"/>
        </w:rPr>
        <w:t>3.1%；与此同时，全市政府性基金预算收入</w:t>
      </w:r>
      <w:r>
        <w:t xml:space="preserve"> 1722.6 </w:t>
      </w:r>
      <w:r>
        <w:rPr>
          <w:rFonts w:hint="eastAsia"/>
        </w:rPr>
        <w:t>亿元、下降</w:t>
      </w:r>
      <w:r>
        <w:t xml:space="preserve"> </w:t>
      </w:r>
      <w:r>
        <w:rPr>
          <w:rFonts w:hint="eastAsia"/>
        </w:rPr>
        <w:t>8.3%，其中国有土地使用权出让收入</w:t>
      </w:r>
      <w:r>
        <w:t xml:space="preserve"> 1527.8 </w:t>
      </w:r>
      <w:r>
        <w:rPr>
          <w:rFonts w:hint="eastAsia"/>
        </w:rPr>
        <w:t>亿元、下降</w:t>
      </w:r>
      <w:r>
        <w:t xml:space="preserve"> </w:t>
      </w:r>
      <w:r>
        <w:rPr>
          <w:rFonts w:hint="eastAsia"/>
        </w:rPr>
        <w:t>9.9%。国有土地使用权出让收入约相当于一般公共预算收入的</w:t>
      </w:r>
      <w:r>
        <w:t xml:space="preserve"> </w:t>
      </w:r>
      <w:r>
        <w:rPr>
          <w:rFonts w:hint="eastAsia"/>
        </w:rPr>
        <w:t>58.9%、政府性基金预算收入的</w:t>
      </w:r>
      <w:r>
        <w:t xml:space="preserve"> </w:t>
      </w:r>
      <w:r>
        <w:rPr>
          <w:rFonts w:hint="eastAsia"/>
        </w:rPr>
        <w:t>88.7%，说明土地端压力很大，但它没有在同一年等比例压低一般公共预算收入。[50]</w:t>
      </w:r>
    </w:p>
    <w:p w14:paraId="52C7B275">
      <w:pPr>
        <w:pStyle w:val="19"/>
      </w:pPr>
      <w:r>
        <w:rPr>
          <w:rFonts w:hint="eastAsia"/>
        </w:rPr>
        <w:t>杭州的材料把土地收入下降与房地产市场行情连接得更清楚。2024</w:t>
      </w:r>
      <w:r>
        <w:t xml:space="preserve"> </w:t>
      </w:r>
      <w:r>
        <w:rPr>
          <w:rFonts w:hint="eastAsia"/>
        </w:rPr>
        <w:t>年杭州全市政府性基金收入为</w:t>
      </w:r>
      <w:r>
        <w:t xml:space="preserve"> 1531.1 </w:t>
      </w:r>
      <w:r>
        <w:rPr>
          <w:rFonts w:hint="eastAsia"/>
        </w:rPr>
        <w:t>亿元、下降</w:t>
      </w:r>
      <w:r>
        <w:t xml:space="preserve"> </w:t>
      </w:r>
      <w:r>
        <w:rPr>
          <w:rFonts w:hint="eastAsia"/>
        </w:rPr>
        <w:t>31.4%，其中国有土地使用权出让收入</w:t>
      </w:r>
      <w:r>
        <w:t xml:space="preserve"> 1395.6 </w:t>
      </w:r>
      <w:r>
        <w:rPr>
          <w:rFonts w:hint="eastAsia"/>
        </w:rPr>
        <w:t>亿元、下降</w:t>
      </w:r>
      <w:r>
        <w:t xml:space="preserve"> </w:t>
      </w:r>
      <w:r>
        <w:rPr>
          <w:rFonts w:hint="eastAsia"/>
        </w:rPr>
        <w:t>31.1%，来源说明下降较多主要受土地市场行情影响。按同一来源金额计算，杭州国有土地使用权出让收入约为一般公共预算收入的</w:t>
      </w:r>
      <w:r>
        <w:t xml:space="preserve"> </w:t>
      </w:r>
      <w:r>
        <w:rPr>
          <w:rFonts w:hint="eastAsia"/>
        </w:rPr>
        <w:t>52.9%、政府性基金收入的</w:t>
      </w:r>
      <w:r>
        <w:t xml:space="preserve"> </w:t>
      </w:r>
      <w:r>
        <w:rPr>
          <w:rFonts w:hint="eastAsia"/>
        </w:rPr>
        <w:t>91.2%；这意味着土地端冲击首先集中在政府性基金预算，但相对于一般公共预算的参考规模也已超过一半。[48]</w:t>
      </w:r>
    </w:p>
    <w:p w14:paraId="5BBEB678">
      <w:pPr>
        <w:pStyle w:val="19"/>
      </w:pPr>
      <w:r>
        <w:rPr>
          <w:rFonts w:hint="eastAsia"/>
        </w:rPr>
        <w:t>四川同样显示国有土地使用权出让收入对广义财力的重要性。2024</w:t>
      </w:r>
      <w:r>
        <w:t xml:space="preserve"> </w:t>
      </w:r>
      <w:r>
        <w:rPr>
          <w:rFonts w:hint="eastAsia"/>
        </w:rPr>
        <w:t>年四川地方一般公共预算收入为</w:t>
      </w:r>
      <w:r>
        <w:t xml:space="preserve"> 5635.0849 </w:t>
      </w:r>
      <w:r>
        <w:rPr>
          <w:rFonts w:hint="eastAsia"/>
        </w:rPr>
        <w:t>亿元，国有土地使用权出让收入为</w:t>
      </w:r>
      <w:r>
        <w:t xml:space="preserve"> 3181.1624 </w:t>
      </w:r>
      <w:r>
        <w:rPr>
          <w:rFonts w:hint="eastAsia"/>
        </w:rPr>
        <w:t>亿元、为上年决算数的</w:t>
      </w:r>
      <w:r>
        <w:t xml:space="preserve"> </w:t>
      </w:r>
      <w:r>
        <w:rPr>
          <w:rFonts w:hint="eastAsia"/>
        </w:rPr>
        <w:t>80.5%，约相当于地方一般公共预算收入的</w:t>
      </w:r>
      <w:r>
        <w:t xml:space="preserve"> </w:t>
      </w:r>
      <w:r>
        <w:rPr>
          <w:rFonts w:hint="eastAsia"/>
        </w:rPr>
        <w:t>56.5%、政府性基金预算收入的</w:t>
      </w:r>
      <w:r>
        <w:t xml:space="preserve"> </w:t>
      </w:r>
      <w:r>
        <w:rPr>
          <w:rFonts w:hint="eastAsia"/>
        </w:rPr>
        <w:t>84.6%。四川还披露土地增值税</w:t>
      </w:r>
      <w:r>
        <w:t xml:space="preserve"> 298.2452 </w:t>
      </w:r>
      <w:r>
        <w:rPr>
          <w:rFonts w:hint="eastAsia"/>
        </w:rPr>
        <w:t>亿元、契税</w:t>
      </w:r>
      <w:r>
        <w:t xml:space="preserve"> 272.5263 </w:t>
      </w:r>
      <w:r>
        <w:rPr>
          <w:rFonts w:hint="eastAsia"/>
        </w:rPr>
        <w:t>亿元，两项合计约占税收收入</w:t>
      </w:r>
      <w:r>
        <w:t xml:space="preserve"> </w:t>
      </w:r>
      <w:r>
        <w:rPr>
          <w:rFonts w:hint="eastAsia"/>
        </w:rPr>
        <w:t>15.9%；这说明当地不仅土地基金端具有较高参考依赖度，交易和开发相关税种也构成可观察的涉房税收线索。[43]</w:t>
      </w:r>
    </w:p>
    <w:p w14:paraId="2101FD57">
      <w:pPr>
        <w:pStyle w:val="19"/>
      </w:pPr>
      <w:r>
        <w:rPr>
          <w:rFonts w:hint="eastAsia"/>
        </w:rPr>
        <w:t>这些高依赖样本共同指向一个判断：房地产低迷对地方财政的影响，在土地收入相对一般公共预算收入达到约一半以上的地区，会明显大于全国平均给人的直观印象。贵州的比例最高且有明确的房地产低迷归因，杭州的土地市场行情影响同时体现在基金收入和涉房税种，重庆和四川则说明即便一般公共预算没有明显下滑，政府性基金和国有土地使用权出让收入的收缩仍会改变地方广义财力约束。边界在于，这些比例都是参考比重，不能直接等同于可自由支配财力或土地净收益。</w:t>
      </w:r>
    </w:p>
    <w:bookmarkEnd w:id="33"/>
    <w:p w14:paraId="2093F4E9">
      <w:pPr>
        <w:pStyle w:val="4"/>
      </w:pPr>
      <w:bookmarkStart w:id="34" w:name="_Toc1294272371"/>
      <w:bookmarkStart w:id="35" w:name="低基金比重或不同产业结构样本深圳北京山西宁波苏州的压力来源不同"/>
      <w:r>
        <w:rPr>
          <w:rFonts w:hint="eastAsia"/>
        </w:rPr>
        <w:t>低基金比重或不同产业结构样本：深圳、北京、山西、宁波、苏州的压力来源不同</w:t>
      </w:r>
      <w:bookmarkEnd w:id="34"/>
    </w:p>
    <w:p w14:paraId="41B19646">
      <w:pPr>
        <w:pStyle w:val="168"/>
      </w:pPr>
      <w:r>
        <w:rPr>
          <w:rFonts w:hint="eastAsia"/>
        </w:rPr>
        <w:t>低基金比重或不同产业结构样本显示，房地产低迷并不会以同样强度解释所有地方财政变化。深圳</w:t>
      </w:r>
      <w:r>
        <w:t xml:space="preserve"> 2024 </w:t>
      </w:r>
      <w:r>
        <w:rPr>
          <w:rFonts w:hint="eastAsia"/>
        </w:rPr>
        <w:t>年来源于辖区的一般公共预算收入为</w:t>
      </w:r>
      <w:r>
        <w:t xml:space="preserve"> 10234.7 </w:t>
      </w:r>
      <w:r>
        <w:rPr>
          <w:rFonts w:hint="eastAsia"/>
        </w:rPr>
        <w:t>亿元，其中地方级收入</w:t>
      </w:r>
      <w:r>
        <w:t xml:space="preserve"> 3914.2 </w:t>
      </w:r>
      <w:r>
        <w:rPr>
          <w:rFonts w:hint="eastAsia"/>
        </w:rPr>
        <w:t>亿元、下降</w:t>
      </w:r>
      <w:r>
        <w:t xml:space="preserve"> </w:t>
      </w:r>
      <w:r>
        <w:rPr>
          <w:rFonts w:hint="eastAsia"/>
        </w:rPr>
        <w:t>4.8%，地方级税收收入</w:t>
      </w:r>
      <w:r>
        <w:t xml:space="preserve"> 3265.1 </w:t>
      </w:r>
      <w:r>
        <w:rPr>
          <w:rFonts w:hint="eastAsia"/>
        </w:rPr>
        <w:t>亿元，税收占比</w:t>
      </w:r>
      <w:r>
        <w:t xml:space="preserve"> </w:t>
      </w:r>
      <w:r>
        <w:rPr>
          <w:rFonts w:hint="eastAsia"/>
        </w:rPr>
        <w:t>83.4%；全市政府性基金预算收入为</w:t>
      </w:r>
      <w:r>
        <w:t xml:space="preserve"> 475 </w:t>
      </w:r>
      <w:r>
        <w:rPr>
          <w:rFonts w:hint="eastAsia"/>
        </w:rPr>
        <w:t>亿元，约相当于地方级一般公共预算收入的</w:t>
      </w:r>
      <w:r>
        <w:t xml:space="preserve"> </w:t>
      </w:r>
      <w:r>
        <w:rPr>
          <w:rFonts w:hint="eastAsia"/>
        </w:rPr>
        <w:t>12.1%。深圳报告将地方级收入下降主要归因于重点行业调整、结构性减税降费等因素，因此房地产和土地市场不是解释其财政变化的单一主线。[47]</w:t>
      </w:r>
    </w:p>
    <w:p w14:paraId="502E62E9">
      <w:pPr>
        <w:pStyle w:val="19"/>
      </w:pPr>
      <w:r>
        <w:rPr>
          <w:rFonts w:hint="eastAsia"/>
        </w:rPr>
        <w:t>北京也更适合作为低基金参考比重样本，而不是国有土地使用权出让收入依赖度样本。2024</w:t>
      </w:r>
      <w:r>
        <w:t xml:space="preserve"> </w:t>
      </w:r>
      <w:r>
        <w:rPr>
          <w:rFonts w:hint="eastAsia"/>
        </w:rPr>
        <w:t>年北京全市一般公共预算收入为</w:t>
      </w:r>
      <w:r>
        <w:t xml:space="preserve"> 6372.7 </w:t>
      </w:r>
      <w:r>
        <w:rPr>
          <w:rFonts w:hint="eastAsia"/>
        </w:rPr>
        <w:t>亿元、增长</w:t>
      </w:r>
      <w:r>
        <w:t xml:space="preserve"> </w:t>
      </w:r>
      <w:r>
        <w:rPr>
          <w:rFonts w:hint="eastAsia"/>
        </w:rPr>
        <w:t>3.1%，税收占比</w:t>
      </w:r>
      <w:r>
        <w:t xml:space="preserve"> </w:t>
      </w:r>
      <w:r>
        <w:rPr>
          <w:rFonts w:hint="eastAsia"/>
        </w:rPr>
        <w:t>85.9%；全市政府性基金预算收入</w:t>
      </w:r>
      <w:r>
        <w:t xml:space="preserve"> 2094.9 </w:t>
      </w:r>
      <w:r>
        <w:rPr>
          <w:rFonts w:hint="eastAsia"/>
        </w:rPr>
        <w:t>亿元，约相当于一般公共预算收入的</w:t>
      </w:r>
      <w:r>
        <w:t xml:space="preserve"> </w:t>
      </w:r>
      <w:r>
        <w:rPr>
          <w:rFonts w:hint="eastAsia"/>
        </w:rPr>
        <w:t>32.9%。公开文本没有在同一收入段披露全市国有土地使用权出让收入金额，土地收入只以市级政府性基金支出用途出现，所以北京只能说明政府性基金预算相对一般公共预算的参考比重较低，不能据此计算全市国有土地使用权出让收入依赖度。[51]</w:t>
      </w:r>
    </w:p>
    <w:p w14:paraId="3E0F80DE">
      <w:pPr>
        <w:pStyle w:val="19"/>
      </w:pPr>
      <w:r>
        <w:rPr>
          <w:rFonts w:hint="eastAsia"/>
        </w:rPr>
        <w:t>山西的财政结构进一步提醒，地方税收下降未必首先来自房地产。2024</w:t>
      </w:r>
      <w:r>
        <w:t xml:space="preserve"> </w:t>
      </w:r>
      <w:r>
        <w:rPr>
          <w:rFonts w:hint="eastAsia"/>
        </w:rPr>
        <w:t>年山西全省一般公共预算收入为</w:t>
      </w:r>
      <w:r>
        <w:t xml:space="preserve"> 3541.74 </w:t>
      </w:r>
      <w:r>
        <w:rPr>
          <w:rFonts w:hint="eastAsia"/>
        </w:rPr>
        <w:t>亿元、增长</w:t>
      </w:r>
      <w:r>
        <w:t xml:space="preserve"> </w:t>
      </w:r>
      <w:r>
        <w:rPr>
          <w:rFonts w:hint="eastAsia"/>
        </w:rPr>
        <w:t>1.8%，其中税收收入</w:t>
      </w:r>
      <w:r>
        <w:t xml:space="preserve"> 2299.66 </w:t>
      </w:r>
      <w:r>
        <w:rPr>
          <w:rFonts w:hint="eastAsia"/>
        </w:rPr>
        <w:t>亿元、下降</w:t>
      </w:r>
      <w:r>
        <w:t xml:space="preserve"> </w:t>
      </w:r>
      <w:r>
        <w:rPr>
          <w:rFonts w:hint="eastAsia"/>
        </w:rPr>
        <w:t>10.1%；来源将税收不达预期主要归因于煤炭销量下降和价格回落，非税收入增长则主要来自矿业权出让收益增加。山西政府性基金预算收入为</w:t>
      </w:r>
      <w:r>
        <w:t xml:space="preserve"> 520.51 </w:t>
      </w:r>
      <w:r>
        <w:rPr>
          <w:rFonts w:hint="eastAsia"/>
        </w:rPr>
        <w:t>亿元、下降</w:t>
      </w:r>
      <w:r>
        <w:t xml:space="preserve"> </w:t>
      </w:r>
      <w:r>
        <w:rPr>
          <w:rFonts w:hint="eastAsia"/>
        </w:rPr>
        <w:t>13.5%，主要因国有土地使用权出让收入不及预期，约相当于一般公共预算收入的</w:t>
      </w:r>
      <w:r>
        <w:t xml:space="preserve"> </w:t>
      </w:r>
      <w:r>
        <w:rPr>
          <w:rFonts w:hint="eastAsia"/>
        </w:rPr>
        <w:t>14.7%；这表明土地端确有压力，但当地财政波动还受到煤炭和矿业权收益等产业结构因素影响。[52]</w:t>
      </w:r>
    </w:p>
    <w:p w14:paraId="035F0A34">
      <w:pPr>
        <w:pStyle w:val="19"/>
      </w:pPr>
      <w:r>
        <w:rPr>
          <w:rFonts w:hint="eastAsia"/>
        </w:rPr>
        <w:t>宁波和苏州处在中等依赖区间，土地收入仍是政府性基金预算的核心，但相对一般公共预算的参考比重低于贵州、重庆、杭州、四川。宁波</w:t>
      </w:r>
      <w:r>
        <w:t xml:space="preserve"> 2024 </w:t>
      </w:r>
      <w:r>
        <w:rPr>
          <w:rFonts w:hint="eastAsia"/>
        </w:rPr>
        <w:t>年一般公共预算收入为</w:t>
      </w:r>
      <w:r>
        <w:t xml:space="preserve"> 1790.5 </w:t>
      </w:r>
      <w:r>
        <w:rPr>
          <w:rFonts w:hint="eastAsia"/>
        </w:rPr>
        <w:t>亿元、增长</w:t>
      </w:r>
      <w:r>
        <w:t xml:space="preserve"> </w:t>
      </w:r>
      <w:r>
        <w:rPr>
          <w:rFonts w:hint="eastAsia"/>
        </w:rPr>
        <w:t>0.3%，税收收入</w:t>
      </w:r>
      <w:r>
        <w:t xml:space="preserve"> 1434.2 </w:t>
      </w:r>
      <w:r>
        <w:rPr>
          <w:rFonts w:hint="eastAsia"/>
        </w:rPr>
        <w:t>亿元、下降</w:t>
      </w:r>
      <w:r>
        <w:t xml:space="preserve"> </w:t>
      </w:r>
      <w:r>
        <w:rPr>
          <w:rFonts w:hint="eastAsia"/>
        </w:rPr>
        <w:t>2.1%；政府性基金预算收入</w:t>
      </w:r>
      <w:r>
        <w:t xml:space="preserve"> 721.0 </w:t>
      </w:r>
      <w:r>
        <w:rPr>
          <w:rFonts w:hint="eastAsia"/>
        </w:rPr>
        <w:t>亿元、下降</w:t>
      </w:r>
      <w:r>
        <w:t xml:space="preserve"> </w:t>
      </w:r>
      <w:r>
        <w:rPr>
          <w:rFonts w:hint="eastAsia"/>
        </w:rPr>
        <w:t>20.1%，其中国有土地使用权出让收入</w:t>
      </w:r>
      <w:r>
        <w:t xml:space="preserve"> 650.7 </w:t>
      </w:r>
      <w:r>
        <w:rPr>
          <w:rFonts w:hint="eastAsia"/>
        </w:rPr>
        <w:t>亿元、下降</w:t>
      </w:r>
      <w:r>
        <w:t xml:space="preserve"> </w:t>
      </w:r>
      <w:r>
        <w:rPr>
          <w:rFonts w:hint="eastAsia"/>
        </w:rPr>
        <w:t>21.1%，国有土地使用权出让收入约为一般公共预算收入的</w:t>
      </w:r>
      <w:r>
        <w:t xml:space="preserve"> </w:t>
      </w:r>
      <w:r>
        <w:rPr>
          <w:rFonts w:hint="eastAsia"/>
        </w:rPr>
        <w:t>36.3%、政府性基金预算收入的</w:t>
      </w:r>
      <w:r>
        <w:t xml:space="preserve"> </w:t>
      </w:r>
      <w:r>
        <w:rPr>
          <w:rFonts w:hint="eastAsia"/>
        </w:rPr>
        <w:t>90.2%。宁波的压力更集中在基金和土地收入账本，一般公共预算则只呈现微增。[53]</w:t>
      </w:r>
    </w:p>
    <w:p w14:paraId="7B9CC5F7">
      <w:pPr>
        <w:pStyle w:val="19"/>
      </w:pPr>
      <w:r>
        <w:rPr>
          <w:rFonts w:hint="eastAsia"/>
        </w:rPr>
        <w:t>苏州的数据同样显示基金端收缩更明显，但税种内部表现并不同步。2024</w:t>
      </w:r>
      <w:r>
        <w:t xml:space="preserve"> </w:t>
      </w:r>
      <w:r>
        <w:rPr>
          <w:rFonts w:hint="eastAsia"/>
        </w:rPr>
        <w:t>年苏州一般公共预算收入为</w:t>
      </w:r>
      <w:r>
        <w:t xml:space="preserve"> 2459.0993 </w:t>
      </w:r>
      <w:r>
        <w:rPr>
          <w:rFonts w:hint="eastAsia"/>
        </w:rPr>
        <w:t>亿元、增长</w:t>
      </w:r>
      <w:r>
        <w:t xml:space="preserve"> </w:t>
      </w:r>
      <w:r>
        <w:rPr>
          <w:rFonts w:hint="eastAsia"/>
        </w:rPr>
        <w:t>0.09%，税收收入</w:t>
      </w:r>
      <w:r>
        <w:t xml:space="preserve"> 2004.1853 </w:t>
      </w:r>
      <w:r>
        <w:rPr>
          <w:rFonts w:hint="eastAsia"/>
        </w:rPr>
        <w:t>亿元、下降</w:t>
      </w:r>
      <w:r>
        <w:t xml:space="preserve"> </w:t>
      </w:r>
      <w:r>
        <w:rPr>
          <w:rFonts w:hint="eastAsia"/>
        </w:rPr>
        <w:t>3.98%；政府性基金预算收入</w:t>
      </w:r>
      <w:r>
        <w:t xml:space="preserve"> 1048.0795 </w:t>
      </w:r>
      <w:r>
        <w:rPr>
          <w:rFonts w:hint="eastAsia"/>
        </w:rPr>
        <w:t>亿元、下降</w:t>
      </w:r>
      <w:r>
        <w:t xml:space="preserve"> </w:t>
      </w:r>
      <w:r>
        <w:rPr>
          <w:rFonts w:hint="eastAsia"/>
        </w:rPr>
        <w:t>25.20%，其中国有土地使用权出让收入</w:t>
      </w:r>
      <w:r>
        <w:t xml:space="preserve"> 942.9578 </w:t>
      </w:r>
      <w:r>
        <w:rPr>
          <w:rFonts w:hint="eastAsia"/>
        </w:rPr>
        <w:t>亿元、下降</w:t>
      </w:r>
      <w:r>
        <w:t xml:space="preserve"> </w:t>
      </w:r>
      <w:r>
        <w:rPr>
          <w:rFonts w:hint="eastAsia"/>
        </w:rPr>
        <w:t>26.61%。国有土地使用权出让收入约为一般公共预算收入的</w:t>
      </w:r>
      <w:r>
        <w:t xml:space="preserve"> </w:t>
      </w:r>
      <w:r>
        <w:rPr>
          <w:rFonts w:hint="eastAsia"/>
        </w:rPr>
        <w:t>38.3%、政府性基金预算收入的</w:t>
      </w:r>
      <w:r>
        <w:t xml:space="preserve"> </w:t>
      </w:r>
      <w:r>
        <w:rPr>
          <w:rFonts w:hint="eastAsia"/>
        </w:rPr>
        <w:t>90.0%；但涉房税种中，土地增值税</w:t>
      </w:r>
      <w:r>
        <w:t xml:space="preserve"> 94.2033 </w:t>
      </w:r>
      <w:r>
        <w:rPr>
          <w:rFonts w:hint="eastAsia"/>
        </w:rPr>
        <w:t>亿元、增长</w:t>
      </w:r>
      <w:r>
        <w:t xml:space="preserve"> </w:t>
      </w:r>
      <w:r>
        <w:rPr>
          <w:rFonts w:hint="eastAsia"/>
        </w:rPr>
        <w:t>16.01%，契税</w:t>
      </w:r>
      <w:r>
        <w:t xml:space="preserve"> 118.3132 </w:t>
      </w:r>
      <w:r>
        <w:rPr>
          <w:rFonts w:hint="eastAsia"/>
        </w:rPr>
        <w:t>亿元、下降</w:t>
      </w:r>
      <w:r>
        <w:t xml:space="preserve"> </w:t>
      </w:r>
      <w:r>
        <w:rPr>
          <w:rFonts w:hint="eastAsia"/>
        </w:rPr>
        <w:t>20.41%，说明城市级税种不能只按“涉房”标签统一推断为下降。[54]</w:t>
      </w:r>
    </w:p>
    <w:p w14:paraId="6117796D">
      <w:pPr>
        <w:pStyle w:val="19"/>
      </w:pPr>
      <w:r>
        <w:rPr>
          <w:rFonts w:hint="eastAsia"/>
        </w:rPr>
        <w:t>这些对照样本降低了全国平均外推的可信度。深圳和山西说明地方收入变化可能受到重点行业、减税降费、煤炭价格或矿业权出让收益影响；北京说明缺土地收入分项时只能做基金参考比重判断；宁波和苏州说明土地收入占基金收入很高，但相对一般公共预算的压力低于高依赖地区。房地产低迷对地方财政的影响因此不是一个全国统一百分比，而是随地区财政结构和产业结构分层放大或减弱。</w:t>
      </w:r>
    </w:p>
    <w:bookmarkEnd w:id="35"/>
    <w:p w14:paraId="3CE5A107">
      <w:pPr>
        <w:pStyle w:val="4"/>
      </w:pPr>
      <w:bookmarkStart w:id="36" w:name="_Toc973878934"/>
      <w:bookmarkStart w:id="37" w:name="城市级税收证据显示契税与土地增值税更能反映本地房地产行情"/>
      <w:r>
        <w:rPr>
          <w:rFonts w:hint="eastAsia"/>
        </w:rPr>
        <w:t>城市级税收证据显示，契税与土地增值税更能反映本地房地产行情</w:t>
      </w:r>
      <w:bookmarkEnd w:id="36"/>
    </w:p>
    <w:p w14:paraId="5C6FBA77">
      <w:pPr>
        <w:pStyle w:val="168"/>
      </w:pPr>
      <w:r>
        <w:rPr>
          <w:rFonts w:hint="eastAsia"/>
        </w:rPr>
        <w:t>城市级涉房税种能把房地产低迷的税收渠道落到更具体的地方财政科目。杭州</w:t>
      </w:r>
      <w:r>
        <w:t xml:space="preserve"> 2024 </w:t>
      </w:r>
      <w:r>
        <w:rPr>
          <w:rFonts w:hint="eastAsia"/>
        </w:rPr>
        <w:t>年一般公共预算收入</w:t>
      </w:r>
      <w:r>
        <w:t xml:space="preserve"> 2640.3 </w:t>
      </w:r>
      <w:r>
        <w:rPr>
          <w:rFonts w:hint="eastAsia"/>
        </w:rPr>
        <w:t>亿元、增长</w:t>
      </w:r>
      <w:r>
        <w:t xml:space="preserve"> </w:t>
      </w:r>
      <w:r>
        <w:rPr>
          <w:rFonts w:hint="eastAsia"/>
        </w:rPr>
        <w:t>0.9%，税收收入</w:t>
      </w:r>
      <w:r>
        <w:t xml:space="preserve"> 2283.3 </w:t>
      </w:r>
      <w:r>
        <w:rPr>
          <w:rFonts w:hint="eastAsia"/>
        </w:rPr>
        <w:t>亿元、税收占比</w:t>
      </w:r>
      <w:r>
        <w:t xml:space="preserve"> </w:t>
      </w:r>
      <w:r>
        <w:rPr>
          <w:rFonts w:hint="eastAsia"/>
        </w:rPr>
        <w:t>86.5%；其中土地增值税</w:t>
      </w:r>
      <w:r>
        <w:t xml:space="preserve"> 131 </w:t>
      </w:r>
      <w:r>
        <w:rPr>
          <w:rFonts w:hint="eastAsia"/>
        </w:rPr>
        <w:t>亿元、下降</w:t>
      </w:r>
      <w:r>
        <w:t xml:space="preserve"> </w:t>
      </w:r>
      <w:r>
        <w:rPr>
          <w:rFonts w:hint="eastAsia"/>
        </w:rPr>
        <w:t>20.2%，契税</w:t>
      </w:r>
      <w:r>
        <w:t xml:space="preserve"> 167.5 </w:t>
      </w:r>
      <w:r>
        <w:rPr>
          <w:rFonts w:hint="eastAsia"/>
        </w:rPr>
        <w:t>亿元、下降</w:t>
      </w:r>
      <w:r>
        <w:t xml:space="preserve"> </w:t>
      </w:r>
      <w:r>
        <w:rPr>
          <w:rFonts w:hint="eastAsia"/>
        </w:rPr>
        <w:t>14.8%，两项合计约占税收收入</w:t>
      </w:r>
      <w:r>
        <w:t xml:space="preserve"> </w:t>
      </w:r>
      <w:r>
        <w:rPr>
          <w:rFonts w:hint="eastAsia"/>
        </w:rPr>
        <w:t>13.1%。杭州材料明确说明，这两项税种下降较多均主要受房地产市场行情影响，相关税收相应减少，因此杭州不仅是土地基金高依赖样本，也是涉房税收冲击可被明确归因的城市样本。[48]</w:t>
      </w:r>
    </w:p>
    <w:p w14:paraId="33F760C9">
      <w:pPr>
        <w:pStyle w:val="19"/>
      </w:pPr>
      <w:r>
        <w:rPr>
          <w:rFonts w:hint="eastAsia"/>
        </w:rPr>
        <w:t>广州提供的是金额线索而非完整归因线索。2024</w:t>
      </w:r>
      <w:r>
        <w:t xml:space="preserve"> </w:t>
      </w:r>
      <w:r>
        <w:rPr>
          <w:rFonts w:hint="eastAsia"/>
        </w:rPr>
        <w:t>年广州全市一般公共预算收入</w:t>
      </w:r>
      <w:r>
        <w:t xml:space="preserve"> 1954.7 </w:t>
      </w:r>
      <w:r>
        <w:rPr>
          <w:rFonts w:hint="eastAsia"/>
        </w:rPr>
        <w:t>亿元、增长</w:t>
      </w:r>
      <w:r>
        <w:t xml:space="preserve"> </w:t>
      </w:r>
      <w:r>
        <w:rPr>
          <w:rFonts w:hint="eastAsia"/>
        </w:rPr>
        <w:t>0.5%，税收收入</w:t>
      </w:r>
      <w:r>
        <w:t xml:space="preserve"> 1372.4 </w:t>
      </w:r>
      <w:r>
        <w:rPr>
          <w:rFonts w:hint="eastAsia"/>
        </w:rPr>
        <w:t>亿元、占一般公共预算收入</w:t>
      </w:r>
      <w:r>
        <w:t xml:space="preserve"> </w:t>
      </w:r>
      <w:r>
        <w:rPr>
          <w:rFonts w:hint="eastAsia"/>
        </w:rPr>
        <w:t>70.2%；主要税种中契税</w:t>
      </w:r>
      <w:r>
        <w:t xml:space="preserve"> 152.6 </w:t>
      </w:r>
      <w:r>
        <w:rPr>
          <w:rFonts w:hint="eastAsia"/>
        </w:rPr>
        <w:t>亿元、土地增值税</w:t>
      </w:r>
      <w:r>
        <w:t xml:space="preserve"> 96.4 </w:t>
      </w:r>
      <w:r>
        <w:rPr>
          <w:rFonts w:hint="eastAsia"/>
        </w:rPr>
        <w:t>亿元，两项合计约占税收收入</w:t>
      </w:r>
      <w:r>
        <w:t xml:space="preserve"> </w:t>
      </w:r>
      <w:r>
        <w:rPr>
          <w:rFonts w:hint="eastAsia"/>
        </w:rPr>
        <w:t>18.1%。但该公开片段没有列出这两项税种的同比降幅，也没有给出房地产行情归因，因此广州只能说明契税和土地增值税在地方税收中具有一定规模，不能直接证明</w:t>
      </w:r>
      <w:r>
        <w:t xml:space="preserve"> 2024 </w:t>
      </w:r>
      <w:r>
        <w:rPr>
          <w:rFonts w:hint="eastAsia"/>
        </w:rPr>
        <w:t>年两项收入因房地产低迷而下降。[49]</w:t>
      </w:r>
    </w:p>
    <w:p w14:paraId="0EAB8789">
      <w:pPr>
        <w:pStyle w:val="19"/>
      </w:pPr>
      <w:r>
        <w:rPr>
          <w:rFonts w:hint="eastAsia"/>
        </w:rPr>
        <w:t>杭州与广州的对比说明，城市级税收测算至少需要同时核对金额、同比和归因三类字段。契税通常与交易活跃度更直接相关，土地增值税与开发销售或转让增值相关，但在地方预算报告中，只有披露了同比变化和原因说明，才能把某个税种的变动更稳妥地连接到房地产市场行情。没有同比或归因的金额仍有价值：它可以显示涉房税种在地方税收中的规模，却不能单独支撑“房地产低迷造成了多少税收减少”的结论。</w:t>
      </w:r>
    </w:p>
    <w:bookmarkEnd w:id="37"/>
    <w:p w14:paraId="54DD4E27">
      <w:pPr>
        <w:pStyle w:val="4"/>
      </w:pPr>
      <w:bookmarkStart w:id="38" w:name="_Toc2010369951"/>
      <w:bookmarkStart w:id="39" w:name="地区差异的综合判断影响程度从低基金比重到高土地依赖显著分化"/>
      <w:r>
        <w:rPr>
          <w:rFonts w:hint="eastAsia"/>
        </w:rPr>
        <w:t>地区差异的综合判断：影响程度从低基金比重到高土地依赖显著分化</w:t>
      </w:r>
      <w:bookmarkEnd w:id="38"/>
    </w:p>
    <w:p w14:paraId="2EE00464">
      <w:pPr>
        <w:pStyle w:val="168"/>
      </w:pPr>
      <w:r>
        <w:rPr>
          <w:rFonts w:hint="eastAsia"/>
        </w:rPr>
        <w:t>地区样本的综合结论是，高国有土地使用权出让收入相对一般公共预算收入样本与低基金比重或不同产业结构样本之间差异很大。贵州国有土地使用权出让收入约为一般公共预算收入的</w:t>
      </w:r>
      <w:r>
        <w:t xml:space="preserve"> </w:t>
      </w:r>
      <w:r>
        <w:rPr>
          <w:rFonts w:hint="eastAsia"/>
        </w:rPr>
        <w:t>80.6%，重庆约</w:t>
      </w:r>
      <w:r>
        <w:t xml:space="preserve"> </w:t>
      </w:r>
      <w:r>
        <w:rPr>
          <w:rFonts w:hint="eastAsia"/>
        </w:rPr>
        <w:t>58.9%，杭州约</w:t>
      </w:r>
      <w:r>
        <w:t xml:space="preserve"> </w:t>
      </w:r>
      <w:r>
        <w:rPr>
          <w:rFonts w:hint="eastAsia"/>
        </w:rPr>
        <w:t>52.9%，四川约</w:t>
      </w:r>
      <w:r>
        <w:t xml:space="preserve"> </w:t>
      </w:r>
      <w:r>
        <w:rPr>
          <w:rFonts w:hint="eastAsia"/>
        </w:rPr>
        <w:t>56.5%；相比之下，深圳政府性基金收入约为地方级一般公共预算收入的</w:t>
      </w:r>
      <w:r>
        <w:t xml:space="preserve"> </w:t>
      </w:r>
      <w:r>
        <w:rPr>
          <w:rFonts w:hint="eastAsia"/>
        </w:rPr>
        <w:t>12.1%，山西政府性基金预算收入约为一般公共预算收入的</w:t>
      </w:r>
      <w:r>
        <w:t xml:space="preserve"> </w:t>
      </w:r>
      <w:r>
        <w:rPr>
          <w:rFonts w:hint="eastAsia"/>
        </w:rPr>
        <w:t>14.7%，北京约</w:t>
      </w:r>
      <w:r>
        <w:t xml:space="preserve"> </w:t>
      </w:r>
      <w:r>
        <w:rPr>
          <w:rFonts w:hint="eastAsia"/>
        </w:rPr>
        <w:t>32.9%，宁波国有土地使用权出让收入约为一般公共预算收入的</w:t>
      </w:r>
      <w:r>
        <w:t xml:space="preserve"> </w:t>
      </w:r>
      <w:r>
        <w:rPr>
          <w:rFonts w:hint="eastAsia"/>
        </w:rPr>
        <w:t>36.3%，苏州约</w:t>
      </w:r>
      <w:r>
        <w:t xml:space="preserve"> </w:t>
      </w:r>
      <w:r>
        <w:rPr>
          <w:rFonts w:hint="eastAsia"/>
        </w:rPr>
        <w:t>38.3%。这些差异意味着，同样的房地产和土地市场下行，在贵州、重庆、杭州、四川等高参考依赖样本中更可能形成显著财政压力，而在深圳、山西、北京等样本中则需要更多结合产业结构和口径缺口解释。[44][48][50][43][47][52][51][53][54]</w:t>
      </w:r>
    </w:p>
    <w:p w14:paraId="60B5B226">
      <w:pPr>
        <w:pStyle w:val="19"/>
      </w:pPr>
      <w:r>
        <w:rPr>
          <w:rFonts w:hint="eastAsia"/>
        </w:rPr>
        <w:t>浙江提供了一个省级层面的方向性证据：2024</w:t>
      </w:r>
      <w:r>
        <w:t xml:space="preserve"> </w:t>
      </w:r>
      <w:r>
        <w:rPr>
          <w:rFonts w:hint="eastAsia"/>
        </w:rPr>
        <w:t>年全省一般公共预算收入</w:t>
      </w:r>
      <w:r>
        <w:t xml:space="preserve"> 8705.61 </w:t>
      </w:r>
      <w:r>
        <w:rPr>
          <w:rFonts w:hint="eastAsia"/>
        </w:rPr>
        <w:t>亿元、增长</w:t>
      </w:r>
      <w:r>
        <w:t xml:space="preserve"> </w:t>
      </w:r>
      <w:r>
        <w:rPr>
          <w:rFonts w:hint="eastAsia"/>
        </w:rPr>
        <w:t>1.2%，税收收入</w:t>
      </w:r>
      <w:r>
        <w:t xml:space="preserve"> 6993.71 </w:t>
      </w:r>
      <w:r>
        <w:rPr>
          <w:rFonts w:hint="eastAsia"/>
        </w:rPr>
        <w:t>亿元、下降</w:t>
      </w:r>
      <w:r>
        <w:t xml:space="preserve"> </w:t>
      </w:r>
      <w:r>
        <w:rPr>
          <w:rFonts w:hint="eastAsia"/>
        </w:rPr>
        <w:t>1.8%、占一般公共预算收入</w:t>
      </w:r>
      <w:r>
        <w:t xml:space="preserve"> </w:t>
      </w:r>
      <w:r>
        <w:rPr>
          <w:rFonts w:hint="eastAsia"/>
        </w:rPr>
        <w:t>80.3%；全省政府性基金预算收入</w:t>
      </w:r>
      <w:r>
        <w:t xml:space="preserve"> 6168.85 </w:t>
      </w:r>
      <w:r>
        <w:rPr>
          <w:rFonts w:hint="eastAsia"/>
        </w:rPr>
        <w:t>亿元、下降</w:t>
      </w:r>
      <w:r>
        <w:t xml:space="preserve"> </w:t>
      </w:r>
      <w:r>
        <w:rPr>
          <w:rFonts w:hint="eastAsia"/>
        </w:rPr>
        <w:t>26.2%，来源说明主要因土地市场行情不及预期、国有土地使用权出让收入减少。浙江材料未在同一摘录中给出国有土地使用权出让收入分项，因此不能纳入国有土地使用权出让收入比重计算；但它支持一个更广泛的方向，即一般公共预算收入小幅增长与政府性基金预算明显下滑可以同时发生。[42]</w:t>
      </w:r>
    </w:p>
    <w:p w14:paraId="2839F357">
      <w:pPr>
        <w:pStyle w:val="19"/>
      </w:pPr>
      <w:r>
        <w:rPr>
          <w:rFonts w:hint="eastAsia"/>
        </w:rPr>
        <w:t>江苏则是披露缺口本身会限制地区判断的典型样本。公开审查结果报告给出</w:t>
      </w:r>
      <w:r>
        <w:t xml:space="preserve"> 2024 </w:t>
      </w:r>
      <w:r>
        <w:rPr>
          <w:rFonts w:hint="eastAsia"/>
        </w:rPr>
        <w:t>年全省一般公共预算收入</w:t>
      </w:r>
      <w:r>
        <w:t xml:space="preserve"> 10038.16 </w:t>
      </w:r>
      <w:r>
        <w:rPr>
          <w:rFonts w:hint="eastAsia"/>
        </w:rPr>
        <w:t>亿元、全省政府性基金预算收入总计</w:t>
      </w:r>
      <w:r>
        <w:t xml:space="preserve"> 16969.08 </w:t>
      </w:r>
      <w:r>
        <w:rPr>
          <w:rFonts w:hint="eastAsia"/>
        </w:rPr>
        <w:t>亿元等总计口径，但未披露国有土地使用权出让收入分项。若直接用政府性基金预算收入总计替代国有土地使用权出让收入，就会把政府性基金中的其他收入和结转等口径混入土地依赖度，进而夸大或扭曲房地产低迷对江苏土地收入的财政影响。[46]</w:t>
      </w:r>
    </w:p>
    <w:p w14:paraId="71913934">
      <w:pPr>
        <w:pStyle w:val="19"/>
      </w:pPr>
      <w:r>
        <w:rPr>
          <w:rFonts w:hint="eastAsia"/>
        </w:rPr>
        <w:t>因此，地方层面对“房地产低迷影响财政收入多大”的回答应采用分层表述。对高国有土地使用权出让收入参考比重地区，房地产和土地市场下行不仅影响契税、土地增值税等狭义税收，还会通过政府性基金和国有土地使用权出让收入放大广义财力压力；对低基金比重或产业结构不同地区，地方财政压力可能更多来自其他行业税基、减税降费或非税收入结构变化；对披露不完整地区，最稳妥的结论是标出口径缺口，而不是补出一个看似完整的排名。全国平均数可以提供背景，但不能替代这些地区结构差异。</w:t>
      </w:r>
    </w:p>
    <w:bookmarkEnd w:id="29"/>
    <w:bookmarkEnd w:id="39"/>
    <w:p w14:paraId="7A4F4902">
      <w:pPr>
        <w:pStyle w:val="3"/>
      </w:pPr>
      <w:bookmarkStart w:id="40" w:name="_Toc1927548206"/>
      <w:bookmarkStart w:id="41" w:name="综合判断影响已达到地方财力的重要量级但表现为分口径分地区和被部分缓冲的压力"/>
      <w:r>
        <w:rPr>
          <w:rFonts w:hint="eastAsia"/>
        </w:rPr>
        <w:t>综合判断：影响已达到地方财力的重要量级，但表现为分口径、分地区和被部分缓冲的压力</w:t>
      </w:r>
      <w:bookmarkEnd w:id="40"/>
    </w:p>
    <w:p w14:paraId="45979C2C">
      <w:pPr>
        <w:pStyle w:val="168"/>
      </w:pPr>
      <w:r>
        <w:rPr>
          <w:rFonts w:hint="eastAsia"/>
        </w:rPr>
        <w:t>简要回答是：房地产低迷对地方财政的影响已经不是边际扰动，而是至少在两个账本上形成重要量级的压力。狭义税收端，可公开量化的五项土地和房地产相关税收已体现数千亿元级拖累；广义土地基金端，国有土地使用权出让收入下降规模更大，并且在高土地依赖地区更集中。地方一般公共预算本级收入没有同步塌陷，主要因为中央转移支付、调入资金、专项债和债务置换在托底短期预算，但这些安排不能证明房地产相关收入已经恢复，也不能把债务融资等同于经常性财政收入。</w:t>
      </w:r>
    </w:p>
    <w:tbl>
      <w:tblPr>
        <w:tblStyle w:val="169"/>
        <w:tblW w:w="0" w:type="auto"/>
        <w:tblInd w:w="0" w:type="dxa"/>
        <w:tblBorders>
          <w:top w:val="single" w:color="D8E0E8" w:sz="4" w:space="0"/>
          <w:left w:val="single" w:color="D8E0E8" w:sz="4" w:space="0"/>
          <w:bottom w:val="single" w:color="D8E0E8" w:sz="4" w:space="0"/>
          <w:right w:val="single" w:color="D8E0E8" w:sz="4" w:space="0"/>
          <w:insideH w:val="single" w:color="D8E0E8" w:sz="4" w:space="0"/>
          <w:insideV w:val="single" w:color="D8E0E8" w:sz="4" w:space="0"/>
        </w:tblBorders>
        <w:tblLayout w:type="autofit"/>
        <w:tblCellMar>
          <w:top w:w="80" w:type="dxa"/>
          <w:left w:w="90" w:type="dxa"/>
          <w:bottom w:w="80" w:type="dxa"/>
          <w:right w:w="90" w:type="dxa"/>
        </w:tblCellMar>
      </w:tblPr>
      <w:tblGrid>
        <w:gridCol w:w="724"/>
        <w:gridCol w:w="3359"/>
        <w:gridCol w:w="1997"/>
        <w:gridCol w:w="2205"/>
        <w:gridCol w:w="1761"/>
      </w:tblGrid>
      <w:tr w14:paraId="6BB6B7B4">
        <w:trPr>
          <w:tblHeader/>
        </w:trPr>
        <w:tc>
          <w:tcPr>
            <w:shd w:val="clear" w:color="auto" w:fill="17324D"/>
          </w:tcPr>
          <w:p w14:paraId="697BA0A6">
            <w:pPr>
              <w:pStyle w:val="167"/>
              <w:rPr>
                <w:b w:val="0"/>
              </w:rPr>
            </w:pPr>
            <w:r>
              <w:rPr>
                <w:rFonts w:hint="eastAsia"/>
                <w:b/>
                <w:color w:val="FFFFFF"/>
                <w:sz w:val="16"/>
                <w:szCs w:val="16"/>
              </w:rPr>
              <w:t>口径</w:t>
            </w:r>
          </w:p>
        </w:tc>
        <w:tc>
          <w:tcPr>
            <w:shd w:val="clear" w:color="auto" w:fill="17324D"/>
          </w:tcPr>
          <w:p w14:paraId="51F13A38">
            <w:pPr>
              <w:pStyle w:val="167"/>
              <w:rPr>
                <w:b w:val="0"/>
              </w:rPr>
            </w:pPr>
            <w:r>
              <w:rPr>
                <w:rFonts w:hint="eastAsia"/>
                <w:b/>
                <w:color w:val="FFFFFF"/>
                <w:sz w:val="16"/>
                <w:szCs w:val="16"/>
              </w:rPr>
              <w:t>核心量级</w:t>
            </w:r>
          </w:p>
        </w:tc>
        <w:tc>
          <w:tcPr>
            <w:shd w:val="clear" w:color="auto" w:fill="17324D"/>
          </w:tcPr>
          <w:p w14:paraId="7E8B8E96">
            <w:pPr>
              <w:pStyle w:val="167"/>
              <w:rPr>
                <w:b w:val="0"/>
              </w:rPr>
            </w:pPr>
            <w:r>
              <w:rPr>
                <w:rFonts w:hint="eastAsia"/>
                <w:b/>
                <w:color w:val="FFFFFF"/>
                <w:sz w:val="16"/>
                <w:szCs w:val="16"/>
              </w:rPr>
              <w:t>缓冲项</w:t>
            </w:r>
          </w:p>
        </w:tc>
        <w:tc>
          <w:tcPr>
            <w:shd w:val="clear" w:color="auto" w:fill="17324D"/>
          </w:tcPr>
          <w:p w14:paraId="1C9858F0">
            <w:pPr>
              <w:pStyle w:val="167"/>
              <w:rPr>
                <w:b w:val="0"/>
              </w:rPr>
            </w:pPr>
            <w:r>
              <w:rPr>
                <w:rFonts w:hint="eastAsia"/>
                <w:b/>
                <w:color w:val="FFFFFF"/>
                <w:sz w:val="16"/>
                <w:szCs w:val="16"/>
              </w:rPr>
              <w:t>仍然存在的压力</w:t>
            </w:r>
          </w:p>
        </w:tc>
        <w:tc>
          <w:tcPr>
            <w:shd w:val="clear" w:color="auto" w:fill="17324D"/>
          </w:tcPr>
          <w:p w14:paraId="0FE51DE6">
            <w:pPr>
              <w:pStyle w:val="167"/>
              <w:rPr>
                <w:b w:val="0"/>
              </w:rPr>
            </w:pPr>
            <w:r>
              <w:rPr>
                <w:rFonts w:hint="eastAsia"/>
                <w:b/>
                <w:color w:val="FFFFFF"/>
                <w:sz w:val="16"/>
                <w:szCs w:val="16"/>
              </w:rPr>
              <w:t>不能推出的结论</w:t>
            </w:r>
          </w:p>
        </w:tc>
      </w:tr>
      <w:tr w14:paraId="141C028A">
        <w:tc>
          <w:p w14:paraId="5BA3A90A">
            <w:pPr>
              <w:pStyle w:val="167"/>
              <w:rPr>
                <w:b w:val="0"/>
              </w:rPr>
            </w:pPr>
            <w:r>
              <w:rPr>
                <w:rFonts w:hint="eastAsia"/>
                <w:b w:val="0"/>
                <w:sz w:val="16"/>
                <w:szCs w:val="16"/>
              </w:rPr>
              <w:t>狭义涉房税收</w:t>
            </w:r>
          </w:p>
        </w:tc>
        <w:tc>
          <w:p w14:paraId="2AAC8C33">
            <w:pPr>
              <w:pStyle w:val="167"/>
              <w:rPr>
                <w:b w:val="0"/>
              </w:rPr>
            </w:pPr>
            <w:r>
              <w:rPr>
                <w:b w:val="0"/>
                <w:sz w:val="16"/>
                <w:szCs w:val="16"/>
              </w:rPr>
              <w:t xml:space="preserve">2025 </w:t>
            </w:r>
            <w:r>
              <w:rPr>
                <w:rFonts w:hint="eastAsia"/>
                <w:b w:val="0"/>
                <w:sz w:val="16"/>
                <w:szCs w:val="16"/>
              </w:rPr>
              <w:t>年土地和房地产相关五税合计</w:t>
            </w:r>
            <w:r>
              <w:rPr>
                <w:b w:val="0"/>
                <w:sz w:val="16"/>
                <w:szCs w:val="16"/>
              </w:rPr>
              <w:t xml:space="preserve"> 17726 </w:t>
            </w:r>
            <w:r>
              <w:rPr>
                <w:rFonts w:hint="eastAsia"/>
                <w:b w:val="0"/>
                <w:sz w:val="16"/>
                <w:szCs w:val="16"/>
              </w:rPr>
              <w:t>亿元，较</w:t>
            </w:r>
            <w:r>
              <w:rPr>
                <w:b w:val="0"/>
                <w:sz w:val="16"/>
                <w:szCs w:val="16"/>
              </w:rPr>
              <w:t xml:space="preserve"> 2021 </w:t>
            </w:r>
            <w:r>
              <w:rPr>
                <w:rFonts w:hint="eastAsia"/>
                <w:b w:val="0"/>
                <w:sz w:val="16"/>
                <w:szCs w:val="16"/>
              </w:rPr>
              <w:t>年少</w:t>
            </w:r>
            <w:r>
              <w:rPr>
                <w:b w:val="0"/>
                <w:sz w:val="16"/>
                <w:szCs w:val="16"/>
              </w:rPr>
              <w:t xml:space="preserve"> 3067 </w:t>
            </w:r>
            <w:r>
              <w:rPr>
                <w:rFonts w:hint="eastAsia"/>
                <w:b w:val="0"/>
                <w:sz w:val="16"/>
                <w:szCs w:val="16"/>
              </w:rPr>
              <w:t>亿元、约降</w:t>
            </w:r>
            <w:r>
              <w:rPr>
                <w:b w:val="0"/>
                <w:sz w:val="16"/>
                <w:szCs w:val="16"/>
              </w:rPr>
              <w:t xml:space="preserve"> </w:t>
            </w:r>
            <w:r>
              <w:rPr>
                <w:rFonts w:hint="eastAsia"/>
                <w:b w:val="0"/>
                <w:sz w:val="16"/>
                <w:szCs w:val="16"/>
              </w:rPr>
              <w:t>14.8%；2026</w:t>
            </w:r>
            <w:r>
              <w:rPr>
                <w:b w:val="0"/>
                <w:sz w:val="16"/>
                <w:szCs w:val="16"/>
              </w:rPr>
              <w:t xml:space="preserve"> </w:t>
            </w:r>
            <w:r>
              <w:rPr>
                <w:rFonts w:hint="eastAsia"/>
                <w:b w:val="0"/>
                <w:sz w:val="16"/>
                <w:szCs w:val="16"/>
              </w:rPr>
              <w:t>年上半年五税合计</w:t>
            </w:r>
            <w:r>
              <w:rPr>
                <w:b w:val="0"/>
                <w:sz w:val="16"/>
                <w:szCs w:val="16"/>
              </w:rPr>
              <w:t xml:space="preserve"> 9185 </w:t>
            </w:r>
            <w:r>
              <w:rPr>
                <w:rFonts w:hint="eastAsia"/>
                <w:b w:val="0"/>
                <w:sz w:val="16"/>
                <w:szCs w:val="16"/>
              </w:rPr>
              <w:t>亿元，约相当于同期地方一般公共预算本级收入</w:t>
            </w:r>
            <w:r>
              <w:rPr>
                <w:b w:val="0"/>
                <w:sz w:val="16"/>
                <w:szCs w:val="16"/>
              </w:rPr>
              <w:t xml:space="preserve"> 68807 </w:t>
            </w:r>
            <w:r>
              <w:rPr>
                <w:rFonts w:hint="eastAsia"/>
                <w:b w:val="0"/>
                <w:sz w:val="16"/>
                <w:szCs w:val="16"/>
              </w:rPr>
              <w:t>亿元的</w:t>
            </w:r>
            <w:r>
              <w:rPr>
                <w:b w:val="0"/>
                <w:sz w:val="16"/>
                <w:szCs w:val="16"/>
              </w:rPr>
              <w:t xml:space="preserve"> 13.35%[6][5][10]</w:t>
            </w:r>
          </w:p>
        </w:tc>
        <w:tc>
          <w:p w14:paraId="558DAE57">
            <w:pPr>
              <w:pStyle w:val="167"/>
              <w:rPr>
                <w:b w:val="0"/>
              </w:rPr>
            </w:pPr>
            <w:r>
              <w:rPr>
                <w:rFonts w:hint="eastAsia"/>
                <w:b w:val="0"/>
                <w:sz w:val="16"/>
                <w:szCs w:val="16"/>
              </w:rPr>
              <w:t>持有/占用类税种并未同步下行，2026</w:t>
            </w:r>
            <w:r>
              <w:rPr>
                <w:b w:val="0"/>
                <w:sz w:val="16"/>
                <w:szCs w:val="16"/>
              </w:rPr>
              <w:t xml:space="preserve"> </w:t>
            </w:r>
            <w:r>
              <w:rPr>
                <w:rFonts w:hint="eastAsia"/>
                <w:b w:val="0"/>
                <w:sz w:val="16"/>
                <w:szCs w:val="16"/>
              </w:rPr>
              <w:t>年上半年房产税、城镇土地使用税仍分别增长</w:t>
            </w:r>
            <w:r>
              <w:rPr>
                <w:b w:val="0"/>
                <w:sz w:val="16"/>
                <w:szCs w:val="16"/>
              </w:rPr>
              <w:t xml:space="preserve"> 6.3% </w:t>
            </w:r>
            <w:r>
              <w:rPr>
                <w:rFonts w:hint="eastAsia"/>
                <w:b w:val="0"/>
                <w:sz w:val="16"/>
                <w:szCs w:val="16"/>
              </w:rPr>
              <w:t>和</w:t>
            </w:r>
            <w:r>
              <w:rPr>
                <w:b w:val="0"/>
                <w:sz w:val="16"/>
                <w:szCs w:val="16"/>
              </w:rPr>
              <w:t xml:space="preserve"> 2.6%[10]</w:t>
            </w:r>
          </w:p>
        </w:tc>
        <w:tc>
          <w:p w14:paraId="34196353">
            <w:pPr>
              <w:pStyle w:val="167"/>
              <w:rPr>
                <w:b w:val="0"/>
              </w:rPr>
            </w:pPr>
            <w:r>
              <w:rPr>
                <w:rFonts w:hint="eastAsia"/>
                <w:b w:val="0"/>
                <w:sz w:val="16"/>
                <w:szCs w:val="16"/>
              </w:rPr>
              <w:t>交易和开发相关税种继续下行，2026</w:t>
            </w:r>
            <w:r>
              <w:rPr>
                <w:b w:val="0"/>
                <w:sz w:val="16"/>
                <w:szCs w:val="16"/>
              </w:rPr>
              <w:t xml:space="preserve"> </w:t>
            </w:r>
            <w:r>
              <w:rPr>
                <w:rFonts w:hint="eastAsia"/>
                <w:b w:val="0"/>
                <w:sz w:val="16"/>
                <w:szCs w:val="16"/>
              </w:rPr>
              <w:t>年上半年契税、土地增值税分别下降</w:t>
            </w:r>
            <w:r>
              <w:rPr>
                <w:b w:val="0"/>
                <w:sz w:val="16"/>
                <w:szCs w:val="16"/>
              </w:rPr>
              <w:t xml:space="preserve"> 14.7% </w:t>
            </w:r>
            <w:r>
              <w:rPr>
                <w:rFonts w:hint="eastAsia"/>
                <w:b w:val="0"/>
                <w:sz w:val="16"/>
                <w:szCs w:val="16"/>
              </w:rPr>
              <w:t>和</w:t>
            </w:r>
            <w:r>
              <w:rPr>
                <w:b w:val="0"/>
                <w:sz w:val="16"/>
                <w:szCs w:val="16"/>
              </w:rPr>
              <w:t xml:space="preserve"> 15.3%[10]</w:t>
            </w:r>
          </w:p>
        </w:tc>
        <w:tc>
          <w:p w14:paraId="1A7CAA61">
            <w:pPr>
              <w:pStyle w:val="167"/>
              <w:rPr>
                <w:b w:val="0"/>
              </w:rPr>
            </w:pPr>
            <w:r>
              <w:rPr>
                <w:rFonts w:hint="eastAsia"/>
                <w:b w:val="0"/>
                <w:sz w:val="16"/>
                <w:szCs w:val="16"/>
              </w:rPr>
              <w:t>不能把五税参考占比说成财政部直接披露的“影响率”，也不能据此覆盖房地产行业增值税、所得税等未路由口径</w:t>
            </w:r>
          </w:p>
        </w:tc>
      </w:tr>
      <w:tr w14:paraId="28E7D553">
        <w:tc>
          <w:tcPr>
            <w:shd w:val="clear" w:color="auto" w:fill="F3F7FB"/>
          </w:tcPr>
          <w:p w14:paraId="1D36CF8D">
            <w:pPr>
              <w:pStyle w:val="167"/>
              <w:rPr>
                <w:b w:val="0"/>
              </w:rPr>
            </w:pPr>
            <w:r>
              <w:rPr>
                <w:rFonts w:hint="eastAsia"/>
                <w:b w:val="0"/>
                <w:sz w:val="16"/>
                <w:szCs w:val="16"/>
              </w:rPr>
              <w:t>土地出让与政府性基金</w:t>
            </w:r>
          </w:p>
        </w:tc>
        <w:tc>
          <w:tcPr>
            <w:shd w:val="clear" w:color="auto" w:fill="F3F7FB"/>
          </w:tcPr>
          <w:p w14:paraId="44814542">
            <w:pPr>
              <w:pStyle w:val="167"/>
              <w:rPr>
                <w:b w:val="0"/>
              </w:rPr>
            </w:pPr>
            <w:r>
              <w:rPr>
                <w:rFonts w:hint="eastAsia"/>
                <w:b w:val="0"/>
                <w:sz w:val="16"/>
                <w:szCs w:val="16"/>
              </w:rPr>
              <w:t>国有土地使用权出让收入从</w:t>
            </w:r>
            <w:r>
              <w:rPr>
                <w:b w:val="0"/>
                <w:sz w:val="16"/>
                <w:szCs w:val="16"/>
              </w:rPr>
              <w:t xml:space="preserve"> 2021 </w:t>
            </w:r>
            <w:r>
              <w:rPr>
                <w:rFonts w:hint="eastAsia"/>
                <w:b w:val="0"/>
                <w:sz w:val="16"/>
                <w:szCs w:val="16"/>
              </w:rPr>
              <w:t>年</w:t>
            </w:r>
            <w:r>
              <w:rPr>
                <w:b w:val="0"/>
                <w:sz w:val="16"/>
                <w:szCs w:val="16"/>
              </w:rPr>
              <w:t xml:space="preserve"> 87051 </w:t>
            </w:r>
            <w:r>
              <w:rPr>
                <w:rFonts w:hint="eastAsia"/>
                <w:b w:val="0"/>
                <w:sz w:val="16"/>
                <w:szCs w:val="16"/>
              </w:rPr>
              <w:t>亿元降至</w:t>
            </w:r>
            <w:r>
              <w:rPr>
                <w:b w:val="0"/>
                <w:sz w:val="16"/>
                <w:szCs w:val="16"/>
              </w:rPr>
              <w:t xml:space="preserve"> 2025 </w:t>
            </w:r>
            <w:r>
              <w:rPr>
                <w:rFonts w:hint="eastAsia"/>
                <w:b w:val="0"/>
                <w:sz w:val="16"/>
                <w:szCs w:val="16"/>
              </w:rPr>
              <w:t>年</w:t>
            </w:r>
            <w:r>
              <w:rPr>
                <w:b w:val="0"/>
                <w:sz w:val="16"/>
                <w:szCs w:val="16"/>
              </w:rPr>
              <w:t xml:space="preserve"> 41518 </w:t>
            </w:r>
            <w:r>
              <w:rPr>
                <w:rFonts w:hint="eastAsia"/>
                <w:b w:val="0"/>
                <w:sz w:val="16"/>
                <w:szCs w:val="16"/>
              </w:rPr>
              <w:t>亿元；2025</w:t>
            </w:r>
            <w:r>
              <w:rPr>
                <w:b w:val="0"/>
                <w:sz w:val="16"/>
                <w:szCs w:val="16"/>
              </w:rPr>
              <w:t xml:space="preserve"> </w:t>
            </w:r>
            <w:r>
              <w:rPr>
                <w:rFonts w:hint="eastAsia"/>
                <w:b w:val="0"/>
                <w:sz w:val="16"/>
                <w:szCs w:val="16"/>
              </w:rPr>
              <w:t>年同比下降</w:t>
            </w:r>
            <w:r>
              <w:rPr>
                <w:b w:val="0"/>
                <w:sz w:val="16"/>
                <w:szCs w:val="16"/>
              </w:rPr>
              <w:t xml:space="preserve"> </w:t>
            </w:r>
            <w:r>
              <w:rPr>
                <w:rFonts w:hint="eastAsia"/>
                <w:b w:val="0"/>
                <w:sz w:val="16"/>
                <w:szCs w:val="16"/>
              </w:rPr>
              <w:t>14.7%，反推较</w:t>
            </w:r>
            <w:r>
              <w:rPr>
                <w:b w:val="0"/>
                <w:sz w:val="16"/>
                <w:szCs w:val="16"/>
              </w:rPr>
              <w:t xml:space="preserve"> 2024 </w:t>
            </w:r>
            <w:r>
              <w:rPr>
                <w:rFonts w:hint="eastAsia"/>
                <w:b w:val="0"/>
                <w:sz w:val="16"/>
                <w:szCs w:val="16"/>
              </w:rPr>
              <w:t>年少约</w:t>
            </w:r>
            <w:r>
              <w:rPr>
                <w:b w:val="0"/>
                <w:sz w:val="16"/>
                <w:szCs w:val="16"/>
              </w:rPr>
              <w:t xml:space="preserve"> 7155 </w:t>
            </w:r>
            <w:r>
              <w:rPr>
                <w:rFonts w:hint="eastAsia"/>
                <w:b w:val="0"/>
                <w:sz w:val="16"/>
                <w:szCs w:val="16"/>
              </w:rPr>
              <w:t>亿元，2026</w:t>
            </w:r>
            <w:r>
              <w:rPr>
                <w:b w:val="0"/>
                <w:sz w:val="16"/>
                <w:szCs w:val="16"/>
              </w:rPr>
              <w:t xml:space="preserve"> </w:t>
            </w:r>
            <w:r>
              <w:rPr>
                <w:rFonts w:hint="eastAsia"/>
                <w:b w:val="0"/>
                <w:sz w:val="16"/>
                <w:szCs w:val="16"/>
              </w:rPr>
              <w:t>年上半年仍同比下降</w:t>
            </w:r>
            <w:r>
              <w:rPr>
                <w:b w:val="0"/>
                <w:sz w:val="16"/>
                <w:szCs w:val="16"/>
              </w:rPr>
              <w:t xml:space="preserve"> 31.5%[6][7][8][9][5][10][40]</w:t>
            </w:r>
          </w:p>
        </w:tc>
        <w:tc>
          <w:tcPr>
            <w:shd w:val="clear" w:color="auto" w:fill="F3F7FB"/>
          </w:tcPr>
          <w:p w14:paraId="061CC42D">
            <w:pPr>
              <w:pStyle w:val="167"/>
              <w:rPr>
                <w:b w:val="0"/>
              </w:rPr>
            </w:pPr>
            <w:r>
              <w:rPr>
                <w:b w:val="0"/>
                <w:sz w:val="16"/>
                <w:szCs w:val="16"/>
              </w:rPr>
              <w:t xml:space="preserve">2025 </w:t>
            </w:r>
            <w:r>
              <w:rPr>
                <w:rFonts w:hint="eastAsia"/>
                <w:b w:val="0"/>
                <w:sz w:val="16"/>
                <w:szCs w:val="16"/>
              </w:rPr>
              <w:t>年政府性基金预算收入总量中包含地方政府发行专项债券筹集收入</w:t>
            </w:r>
            <w:r>
              <w:rPr>
                <w:b w:val="0"/>
                <w:sz w:val="16"/>
                <w:szCs w:val="16"/>
              </w:rPr>
              <w:t xml:space="preserve"> 44000 </w:t>
            </w:r>
            <w:r>
              <w:rPr>
                <w:rFonts w:hint="eastAsia"/>
                <w:b w:val="0"/>
                <w:sz w:val="16"/>
                <w:szCs w:val="16"/>
              </w:rPr>
              <w:t>亿元，规模约为当年国有土地使用权出让收入降额的</w:t>
            </w:r>
            <w:r>
              <w:rPr>
                <w:b w:val="0"/>
                <w:sz w:val="16"/>
                <w:szCs w:val="16"/>
              </w:rPr>
              <w:t xml:space="preserve"> 6.15 </w:t>
            </w:r>
            <w:r>
              <w:rPr>
                <w:rFonts w:hint="eastAsia"/>
                <w:b w:val="0"/>
                <w:sz w:val="16"/>
                <w:szCs w:val="16"/>
              </w:rPr>
              <w:t>倍[34]</w:t>
            </w:r>
          </w:p>
        </w:tc>
        <w:tc>
          <w:tcPr>
            <w:shd w:val="clear" w:color="auto" w:fill="F3F7FB"/>
          </w:tcPr>
          <w:p w14:paraId="67E5094D">
            <w:pPr>
              <w:pStyle w:val="167"/>
              <w:rPr>
                <w:b w:val="0"/>
              </w:rPr>
            </w:pPr>
            <w:r>
              <w:rPr>
                <w:rFonts w:hint="eastAsia"/>
                <w:b w:val="0"/>
                <w:sz w:val="16"/>
                <w:szCs w:val="16"/>
              </w:rPr>
              <w:t>政府性基金预算本级收入和土地收入继续收缩，压低地方广义财力与土地相关项目资金来源[55]</w:t>
            </w:r>
          </w:p>
        </w:tc>
        <w:tc>
          <w:tcPr>
            <w:shd w:val="clear" w:color="auto" w:fill="F3F7FB"/>
          </w:tcPr>
          <w:p w14:paraId="15AD8B0F">
            <w:pPr>
              <w:pStyle w:val="167"/>
              <w:rPr>
                <w:b w:val="0"/>
              </w:rPr>
            </w:pPr>
            <w:r>
              <w:rPr>
                <w:rFonts w:hint="eastAsia"/>
                <w:b w:val="0"/>
                <w:sz w:val="16"/>
                <w:szCs w:val="16"/>
              </w:rPr>
              <w:t>不能把国有土地使用权出让收入并入税收收入；也不能把专项债筹资当作国有土地使用权出让收入或经常性收入恢复[3][32][56]</w:t>
            </w:r>
          </w:p>
        </w:tc>
      </w:tr>
      <w:tr w14:paraId="1228CE53">
        <w:tc>
          <w:p w14:paraId="249CFA00">
            <w:pPr>
              <w:pStyle w:val="167"/>
              <w:rPr>
                <w:b w:val="0"/>
              </w:rPr>
            </w:pPr>
            <w:r>
              <w:rPr>
                <w:rFonts w:hint="eastAsia"/>
                <w:b w:val="0"/>
                <w:sz w:val="16"/>
                <w:szCs w:val="16"/>
              </w:rPr>
              <w:t>地方一般公共预算及中央支持</w:t>
            </w:r>
          </w:p>
        </w:tc>
        <w:tc>
          <w:p w14:paraId="7C7F06FF">
            <w:pPr>
              <w:pStyle w:val="167"/>
              <w:rPr>
                <w:b w:val="0"/>
              </w:rPr>
            </w:pPr>
            <w:r>
              <w:rPr>
                <w:b w:val="0"/>
                <w:sz w:val="16"/>
                <w:szCs w:val="16"/>
              </w:rPr>
              <w:t xml:space="preserve">2025 </w:t>
            </w:r>
            <w:r>
              <w:rPr>
                <w:rFonts w:hint="eastAsia"/>
                <w:b w:val="0"/>
                <w:sz w:val="16"/>
                <w:szCs w:val="16"/>
              </w:rPr>
              <w:t>年地方一般公共预算本级收入</w:t>
            </w:r>
            <w:r>
              <w:rPr>
                <w:b w:val="0"/>
                <w:sz w:val="16"/>
                <w:szCs w:val="16"/>
              </w:rPr>
              <w:t xml:space="preserve"> 122082.26 </w:t>
            </w:r>
            <w:r>
              <w:rPr>
                <w:rFonts w:hint="eastAsia"/>
                <w:b w:val="0"/>
                <w:sz w:val="16"/>
                <w:szCs w:val="16"/>
              </w:rPr>
              <w:t>亿元、增长</w:t>
            </w:r>
            <w:r>
              <w:rPr>
                <w:b w:val="0"/>
                <w:sz w:val="16"/>
                <w:szCs w:val="16"/>
              </w:rPr>
              <w:t xml:space="preserve"> </w:t>
            </w:r>
            <w:r>
              <w:rPr>
                <w:rFonts w:hint="eastAsia"/>
                <w:b w:val="0"/>
                <w:sz w:val="16"/>
                <w:szCs w:val="16"/>
              </w:rPr>
              <w:t>2.4%；中央对地方转移支付收入</w:t>
            </w:r>
            <w:r>
              <w:rPr>
                <w:b w:val="0"/>
                <w:sz w:val="16"/>
                <w:szCs w:val="16"/>
              </w:rPr>
              <w:t xml:space="preserve"> 101925.14 </w:t>
            </w:r>
            <w:r>
              <w:rPr>
                <w:rFonts w:hint="eastAsia"/>
                <w:b w:val="0"/>
                <w:sz w:val="16"/>
                <w:szCs w:val="16"/>
              </w:rPr>
              <w:t>亿元，地方收入总量为</w:t>
            </w:r>
            <w:r>
              <w:rPr>
                <w:b w:val="0"/>
                <w:sz w:val="16"/>
                <w:szCs w:val="16"/>
              </w:rPr>
              <w:t xml:space="preserve"> 236361.18 </w:t>
            </w:r>
            <w:r>
              <w:rPr>
                <w:rFonts w:hint="eastAsia"/>
                <w:b w:val="0"/>
                <w:sz w:val="16"/>
                <w:szCs w:val="16"/>
              </w:rPr>
              <w:t>亿元[34]</w:t>
            </w:r>
          </w:p>
        </w:tc>
        <w:tc>
          <w:p w14:paraId="181FF91F">
            <w:pPr>
              <w:pStyle w:val="167"/>
              <w:rPr>
                <w:b w:val="0"/>
              </w:rPr>
            </w:pPr>
            <w:r>
              <w:rPr>
                <w:rFonts w:hint="eastAsia"/>
                <w:b w:val="0"/>
                <w:sz w:val="16"/>
                <w:szCs w:val="16"/>
              </w:rPr>
              <w:t>中央转移支付</w:t>
            </w:r>
            <w:r>
              <w:rPr>
                <w:b w:val="0"/>
                <w:sz w:val="16"/>
                <w:szCs w:val="16"/>
              </w:rPr>
              <w:t xml:space="preserve"> 2025 </w:t>
            </w:r>
            <w:r>
              <w:rPr>
                <w:rFonts w:hint="eastAsia"/>
                <w:b w:val="0"/>
                <w:sz w:val="16"/>
                <w:szCs w:val="16"/>
              </w:rPr>
              <w:t>年增长</w:t>
            </w:r>
            <w:r>
              <w:rPr>
                <w:b w:val="0"/>
                <w:sz w:val="16"/>
                <w:szCs w:val="16"/>
              </w:rPr>
              <w:t xml:space="preserve"> </w:t>
            </w:r>
            <w:r>
              <w:rPr>
                <w:rFonts w:hint="eastAsia"/>
                <w:b w:val="0"/>
                <w:sz w:val="16"/>
                <w:szCs w:val="16"/>
              </w:rPr>
              <w:t>1.6%，2026</w:t>
            </w:r>
            <w:r>
              <w:rPr>
                <w:b w:val="0"/>
                <w:sz w:val="16"/>
                <w:szCs w:val="16"/>
              </w:rPr>
              <w:t xml:space="preserve"> </w:t>
            </w:r>
            <w:r>
              <w:rPr>
                <w:rFonts w:hint="eastAsia"/>
                <w:b w:val="0"/>
                <w:sz w:val="16"/>
                <w:szCs w:val="16"/>
              </w:rPr>
              <w:t>年预算安排</w:t>
            </w:r>
            <w:r>
              <w:rPr>
                <w:b w:val="0"/>
                <w:sz w:val="16"/>
                <w:szCs w:val="16"/>
              </w:rPr>
              <w:t xml:space="preserve"> 104150 </w:t>
            </w:r>
            <w:r>
              <w:rPr>
                <w:rFonts w:hint="eastAsia"/>
                <w:b w:val="0"/>
                <w:sz w:val="16"/>
                <w:szCs w:val="16"/>
              </w:rPr>
              <w:t>亿元、增长</w:t>
            </w:r>
            <w:r>
              <w:rPr>
                <w:b w:val="0"/>
                <w:sz w:val="16"/>
                <w:szCs w:val="16"/>
              </w:rPr>
              <w:t xml:space="preserve"> </w:t>
            </w:r>
            <w:r>
              <w:rPr>
                <w:rFonts w:hint="eastAsia"/>
                <w:b w:val="0"/>
                <w:sz w:val="16"/>
                <w:szCs w:val="16"/>
              </w:rPr>
              <w:t>2.2%；2025</w:t>
            </w:r>
            <w:r>
              <w:rPr>
                <w:b w:val="0"/>
                <w:sz w:val="16"/>
                <w:szCs w:val="16"/>
              </w:rPr>
              <w:t xml:space="preserve"> </w:t>
            </w:r>
            <w:r>
              <w:rPr>
                <w:rFonts w:hint="eastAsia"/>
                <w:b w:val="0"/>
                <w:sz w:val="16"/>
                <w:szCs w:val="16"/>
              </w:rPr>
              <w:t>年还通过调入资金、结转结余和</w:t>
            </w:r>
            <w:r>
              <w:rPr>
                <w:b w:val="0"/>
                <w:sz w:val="16"/>
                <w:szCs w:val="16"/>
              </w:rPr>
              <w:t xml:space="preserve"> 8000 </w:t>
            </w:r>
            <w:r>
              <w:rPr>
                <w:rFonts w:hint="eastAsia"/>
                <w:b w:val="0"/>
                <w:sz w:val="16"/>
                <w:szCs w:val="16"/>
              </w:rPr>
              <w:t>亿元地方财政赤字维持收支平衡[34]</w:t>
            </w:r>
          </w:p>
        </w:tc>
        <w:tc>
          <w:p w14:paraId="228030E9">
            <w:pPr>
              <w:pStyle w:val="167"/>
              <w:rPr>
                <w:b w:val="0"/>
              </w:rPr>
            </w:pPr>
            <w:r>
              <w:rPr>
                <w:b w:val="0"/>
                <w:sz w:val="16"/>
                <w:szCs w:val="16"/>
              </w:rPr>
              <w:t xml:space="preserve">2025 </w:t>
            </w:r>
            <w:r>
              <w:rPr>
                <w:rFonts w:hint="eastAsia"/>
                <w:b w:val="0"/>
                <w:sz w:val="16"/>
                <w:szCs w:val="16"/>
              </w:rPr>
              <w:t>年全国一般公共预算收入较</w:t>
            </w:r>
            <w:r>
              <w:rPr>
                <w:b w:val="0"/>
                <w:sz w:val="16"/>
                <w:szCs w:val="16"/>
              </w:rPr>
              <w:t xml:space="preserve"> 2024 </w:t>
            </w:r>
            <w:r>
              <w:rPr>
                <w:rFonts w:hint="eastAsia"/>
                <w:b w:val="0"/>
                <w:sz w:val="16"/>
                <w:szCs w:val="16"/>
              </w:rPr>
              <w:t>年下降</w:t>
            </w:r>
            <w:r>
              <w:rPr>
                <w:b w:val="0"/>
                <w:sz w:val="16"/>
                <w:szCs w:val="16"/>
              </w:rPr>
              <w:t xml:space="preserve"> </w:t>
            </w:r>
            <w:r>
              <w:rPr>
                <w:rFonts w:hint="eastAsia"/>
                <w:b w:val="0"/>
                <w:sz w:val="16"/>
                <w:szCs w:val="16"/>
              </w:rPr>
              <w:t>1.7%，非税收入下降</w:t>
            </w:r>
            <w:r>
              <w:rPr>
                <w:b w:val="0"/>
                <w:sz w:val="16"/>
                <w:szCs w:val="16"/>
              </w:rPr>
              <w:t xml:space="preserve"> </w:t>
            </w:r>
            <w:r>
              <w:rPr>
                <w:rFonts w:hint="eastAsia"/>
                <w:b w:val="0"/>
                <w:sz w:val="16"/>
                <w:szCs w:val="16"/>
              </w:rPr>
              <w:t>11.3%；官方预算报告同时承认国有土地使用权出让收入继续回落、收支平衡压力加大、一些地方财政困难[34]</w:t>
            </w:r>
          </w:p>
        </w:tc>
        <w:tc>
          <w:p w14:paraId="487FAD3E">
            <w:pPr>
              <w:pStyle w:val="167"/>
              <w:rPr>
                <w:b w:val="0"/>
              </w:rPr>
            </w:pPr>
            <w:r>
              <w:rPr>
                <w:rFonts w:hint="eastAsia"/>
                <w:b w:val="0"/>
                <w:sz w:val="16"/>
                <w:szCs w:val="16"/>
              </w:rPr>
              <w:t>不能因为本级收入增长就推断房地产冲击已经消失；含转移支付的总收入也不等同于地方自身税基恢复[2][4]</w:t>
            </w:r>
          </w:p>
        </w:tc>
      </w:tr>
      <w:tr w14:paraId="3C63E527">
        <w:tc>
          <w:tcPr>
            <w:shd w:val="clear" w:color="auto" w:fill="F3F7FB"/>
          </w:tcPr>
          <w:p w14:paraId="162223E2">
            <w:pPr>
              <w:pStyle w:val="167"/>
              <w:rPr>
                <w:b w:val="0"/>
              </w:rPr>
            </w:pPr>
            <w:r>
              <w:rPr>
                <w:b w:val="0"/>
                <w:sz w:val="16"/>
                <w:szCs w:val="16"/>
              </w:rPr>
              <w:t xml:space="preserve">2026 </w:t>
            </w:r>
            <w:r>
              <w:rPr>
                <w:rFonts w:hint="eastAsia"/>
                <w:b w:val="0"/>
                <w:sz w:val="16"/>
                <w:szCs w:val="16"/>
              </w:rPr>
              <w:t>年最新执行</w:t>
            </w:r>
          </w:p>
        </w:tc>
        <w:tc>
          <w:tcPr>
            <w:shd w:val="clear" w:color="auto" w:fill="F3F7FB"/>
          </w:tcPr>
          <w:p w14:paraId="223FBC88">
            <w:pPr>
              <w:pStyle w:val="167"/>
              <w:rPr>
                <w:b w:val="0"/>
              </w:rPr>
            </w:pPr>
            <w:r>
              <w:rPr>
                <w:b w:val="0"/>
                <w:sz w:val="16"/>
                <w:szCs w:val="16"/>
              </w:rPr>
              <w:t xml:space="preserve">2026 </w:t>
            </w:r>
            <w:r>
              <w:rPr>
                <w:rFonts w:hint="eastAsia"/>
                <w:b w:val="0"/>
                <w:sz w:val="16"/>
                <w:szCs w:val="16"/>
              </w:rPr>
              <w:t>年上半年全国一般公共预算收入增长</w:t>
            </w:r>
            <w:r>
              <w:rPr>
                <w:b w:val="0"/>
                <w:sz w:val="16"/>
                <w:szCs w:val="16"/>
              </w:rPr>
              <w:t xml:space="preserve"> </w:t>
            </w:r>
            <w:r>
              <w:rPr>
                <w:rFonts w:hint="eastAsia"/>
                <w:b w:val="0"/>
                <w:sz w:val="16"/>
                <w:szCs w:val="16"/>
              </w:rPr>
              <w:t>4.7%，地方一般公共预算本级收入增长</w:t>
            </w:r>
            <w:r>
              <w:rPr>
                <w:b w:val="0"/>
                <w:sz w:val="16"/>
                <w:szCs w:val="16"/>
              </w:rPr>
              <w:t xml:space="preserve"> </w:t>
            </w:r>
            <w:r>
              <w:rPr>
                <w:rFonts w:hint="eastAsia"/>
                <w:b w:val="0"/>
                <w:sz w:val="16"/>
                <w:szCs w:val="16"/>
              </w:rPr>
              <w:t>2.7%；但同期地方政府性基金预算本级收入下降</w:t>
            </w:r>
            <w:r>
              <w:rPr>
                <w:b w:val="0"/>
                <w:sz w:val="16"/>
                <w:szCs w:val="16"/>
              </w:rPr>
              <w:t xml:space="preserve"> </w:t>
            </w:r>
            <w:r>
              <w:rPr>
                <w:rFonts w:hint="eastAsia"/>
                <w:b w:val="0"/>
                <w:sz w:val="16"/>
                <w:szCs w:val="16"/>
              </w:rPr>
              <w:t>25.6%，国有土地使用权出让收入下降</w:t>
            </w:r>
            <w:r>
              <w:rPr>
                <w:b w:val="0"/>
                <w:sz w:val="16"/>
                <w:szCs w:val="16"/>
              </w:rPr>
              <w:t xml:space="preserve"> 31.5%[55]</w:t>
            </w:r>
          </w:p>
        </w:tc>
        <w:tc>
          <w:tcPr>
            <w:shd w:val="clear" w:color="auto" w:fill="F3F7FB"/>
          </w:tcPr>
          <w:p w14:paraId="18FB38F4">
            <w:pPr>
              <w:pStyle w:val="167"/>
              <w:rPr>
                <w:b w:val="0"/>
              </w:rPr>
            </w:pPr>
            <w:r>
              <w:rPr>
                <w:b w:val="0"/>
                <w:sz w:val="16"/>
                <w:szCs w:val="16"/>
              </w:rPr>
              <w:t xml:space="preserve">2026 </w:t>
            </w:r>
            <w:r>
              <w:rPr>
                <w:rFonts w:hint="eastAsia"/>
                <w:b w:val="0"/>
                <w:sz w:val="16"/>
                <w:szCs w:val="16"/>
              </w:rPr>
              <w:t>年预算继续安排地方一般公共预算本级收入、中央转移支付、调入结转结余和地方赤字组合，地方一般公共预算收入总量安排</w:t>
            </w:r>
            <w:r>
              <w:rPr>
                <w:b w:val="0"/>
                <w:sz w:val="16"/>
                <w:szCs w:val="16"/>
              </w:rPr>
              <w:t xml:space="preserve"> 246180 </w:t>
            </w:r>
            <w:r>
              <w:rPr>
                <w:rFonts w:hint="eastAsia"/>
                <w:b w:val="0"/>
                <w:sz w:val="16"/>
                <w:szCs w:val="16"/>
              </w:rPr>
              <w:t>亿元[34][4]</w:t>
            </w:r>
          </w:p>
        </w:tc>
        <w:tc>
          <w:tcPr>
            <w:shd w:val="clear" w:color="auto" w:fill="F3F7FB"/>
          </w:tcPr>
          <w:p w14:paraId="7D91521F">
            <w:pPr>
              <w:pStyle w:val="167"/>
              <w:rPr>
                <w:b w:val="0"/>
              </w:rPr>
            </w:pPr>
            <w:r>
              <w:rPr>
                <w:rFonts w:hint="eastAsia"/>
                <w:b w:val="0"/>
                <w:sz w:val="16"/>
                <w:szCs w:val="16"/>
              </w:rPr>
              <w:t>一般公共预算与政府性基金预算走势分化，说明压力仍集中在土地基金端，而不是等比例表现为本级一般公共预算收入下滑[55]</w:t>
            </w:r>
          </w:p>
        </w:tc>
        <w:tc>
          <w:tcPr>
            <w:shd w:val="clear" w:color="auto" w:fill="F3F7FB"/>
          </w:tcPr>
          <w:p w14:paraId="02AD71A5">
            <w:pPr>
              <w:pStyle w:val="167"/>
              <w:rPr>
                <w:b w:val="0"/>
              </w:rPr>
            </w:pPr>
            <w:r>
              <w:rPr>
                <w:rFonts w:hint="eastAsia"/>
                <w:b w:val="0"/>
                <w:sz w:val="16"/>
                <w:szCs w:val="16"/>
              </w:rPr>
              <w:t>不能只看一般公共预算收入增长就否定土地财政压力，也不能只看基金收入下降就断言地方日常预算立即同比塌陷</w:t>
            </w:r>
          </w:p>
        </w:tc>
      </w:tr>
      <w:tr w14:paraId="5A5CBEFF">
        <w:tc>
          <w:p w14:paraId="2A8EE809">
            <w:pPr>
              <w:pStyle w:val="167"/>
              <w:rPr>
                <w:b w:val="0"/>
              </w:rPr>
            </w:pPr>
            <w:r>
              <w:rPr>
                <w:rFonts w:hint="eastAsia"/>
                <w:b w:val="0"/>
                <w:sz w:val="16"/>
                <w:szCs w:val="16"/>
              </w:rPr>
              <w:t>支出与债务约束</w:t>
            </w:r>
          </w:p>
        </w:tc>
        <w:tc>
          <w:p w14:paraId="1C0CD01C">
            <w:pPr>
              <w:pStyle w:val="167"/>
              <w:rPr>
                <w:b w:val="0"/>
              </w:rPr>
            </w:pPr>
            <w:r>
              <w:rPr>
                <w:b w:val="0"/>
                <w:sz w:val="16"/>
                <w:szCs w:val="16"/>
              </w:rPr>
              <w:t xml:space="preserve">2026 </w:t>
            </w:r>
            <w:r>
              <w:rPr>
                <w:rFonts w:hint="eastAsia"/>
                <w:b w:val="0"/>
                <w:sz w:val="16"/>
                <w:szCs w:val="16"/>
              </w:rPr>
              <w:t>年上半年地方一般公共预算支出</w:t>
            </w:r>
            <w:r>
              <w:rPr>
                <w:b w:val="0"/>
                <w:sz w:val="16"/>
                <w:szCs w:val="16"/>
              </w:rPr>
              <w:t xml:space="preserve"> 122111 </w:t>
            </w:r>
            <w:r>
              <w:rPr>
                <w:rFonts w:hint="eastAsia"/>
                <w:b w:val="0"/>
                <w:sz w:val="16"/>
                <w:szCs w:val="16"/>
              </w:rPr>
              <w:t>亿元、增长</w:t>
            </w:r>
            <w:r>
              <w:rPr>
                <w:b w:val="0"/>
                <w:sz w:val="16"/>
                <w:szCs w:val="16"/>
              </w:rPr>
              <w:t xml:space="preserve"> </w:t>
            </w:r>
            <w:r>
              <w:rPr>
                <w:rFonts w:hint="eastAsia"/>
                <w:b w:val="0"/>
                <w:sz w:val="16"/>
                <w:szCs w:val="16"/>
              </w:rPr>
              <w:t>0.6%；社会保障和就业、卫生健康、债务付息支出仍分别增长</w:t>
            </w:r>
            <w:r>
              <w:rPr>
                <w:b w:val="0"/>
                <w:sz w:val="16"/>
                <w:szCs w:val="16"/>
              </w:rPr>
              <w:t xml:space="preserve"> 7.6%、10.8%、4.5%[55]</w:t>
            </w:r>
          </w:p>
        </w:tc>
        <w:tc>
          <w:p w14:paraId="62E9F243">
            <w:pPr>
              <w:pStyle w:val="167"/>
              <w:rPr>
                <w:b w:val="0"/>
              </w:rPr>
            </w:pPr>
            <w:r>
              <w:rPr>
                <w:b w:val="0"/>
                <w:sz w:val="16"/>
                <w:szCs w:val="16"/>
              </w:rPr>
              <w:t xml:space="preserve">2025 </w:t>
            </w:r>
            <w:r>
              <w:rPr>
                <w:rFonts w:hint="eastAsia"/>
                <w:b w:val="0"/>
                <w:sz w:val="16"/>
                <w:szCs w:val="16"/>
              </w:rPr>
              <w:t>年新增地方政府专项债券</w:t>
            </w:r>
            <w:r>
              <w:rPr>
                <w:b w:val="0"/>
                <w:sz w:val="16"/>
                <w:szCs w:val="16"/>
              </w:rPr>
              <w:t xml:space="preserve"> 4.4 </w:t>
            </w:r>
            <w:r>
              <w:rPr>
                <w:rFonts w:hint="eastAsia"/>
                <w:b w:val="0"/>
                <w:sz w:val="16"/>
                <w:szCs w:val="16"/>
              </w:rPr>
              <w:t>万亿元，支持项目超过</w:t>
            </w:r>
            <w:r>
              <w:rPr>
                <w:b w:val="0"/>
                <w:sz w:val="16"/>
                <w:szCs w:val="16"/>
              </w:rPr>
              <w:t xml:space="preserve"> 4.8 </w:t>
            </w:r>
            <w:r>
              <w:rPr>
                <w:rFonts w:hint="eastAsia"/>
                <w:b w:val="0"/>
                <w:sz w:val="16"/>
                <w:szCs w:val="16"/>
              </w:rPr>
              <w:t>万个；2</w:t>
            </w:r>
            <w:r>
              <w:rPr>
                <w:b w:val="0"/>
                <w:sz w:val="16"/>
                <w:szCs w:val="16"/>
              </w:rPr>
              <w:t xml:space="preserve"> </w:t>
            </w:r>
            <w:r>
              <w:rPr>
                <w:rFonts w:hint="eastAsia"/>
                <w:b w:val="0"/>
                <w:sz w:val="16"/>
                <w:szCs w:val="16"/>
              </w:rPr>
              <w:t>万亿元置换存量隐性债务债券发行完毕，置换后平均利息成本降低</w:t>
            </w:r>
            <w:r>
              <w:rPr>
                <w:b w:val="0"/>
                <w:sz w:val="16"/>
                <w:szCs w:val="16"/>
              </w:rPr>
              <w:t xml:space="preserve"> 2.5 </w:t>
            </w:r>
            <w:r>
              <w:rPr>
                <w:rFonts w:hint="eastAsia"/>
                <w:b w:val="0"/>
                <w:sz w:val="16"/>
                <w:szCs w:val="16"/>
              </w:rPr>
              <w:t>个百分点以上[57][34]</w:t>
            </w:r>
          </w:p>
        </w:tc>
        <w:tc>
          <w:p w14:paraId="61C67D8C">
            <w:pPr>
              <w:pStyle w:val="167"/>
              <w:rPr>
                <w:b w:val="0"/>
              </w:rPr>
            </w:pPr>
            <w:r>
              <w:rPr>
                <w:rFonts w:hint="eastAsia"/>
                <w:b w:val="0"/>
                <w:sz w:val="16"/>
                <w:szCs w:val="16"/>
              </w:rPr>
              <w:t>刚性民生支出、债务付息、清理拖欠企业账款和支出管理要求共同压缩财政腾挪空间[34][55]</w:t>
            </w:r>
          </w:p>
        </w:tc>
        <w:tc>
          <w:p w14:paraId="6C227C69">
            <w:pPr>
              <w:pStyle w:val="167"/>
              <w:rPr>
                <w:b w:val="0"/>
              </w:rPr>
            </w:pPr>
            <w:r>
              <w:rPr>
                <w:rFonts w:hint="eastAsia"/>
                <w:b w:val="0"/>
                <w:sz w:val="16"/>
                <w:szCs w:val="16"/>
              </w:rPr>
              <w:t>不能把支出端紧张直接折算成收入下降比例；它说明收入冲击在预算执行中的约束，而不是另一项收入测算</w:t>
            </w:r>
          </w:p>
        </w:tc>
      </w:tr>
    </w:tbl>
    <w:p w14:paraId="5A296FA7">
      <w:pPr>
        <w:pStyle w:val="4"/>
      </w:pPr>
      <w:bookmarkStart w:id="42" w:name="_Toc1511883247"/>
      <w:bookmarkStart w:id="43" w:name="直接回答量级狭义税收是数千亿元级拖累广义土地基金是更大冲击源"/>
      <w:r>
        <w:rPr>
          <w:rFonts w:hint="eastAsia"/>
        </w:rPr>
        <w:t>直接回答量级：狭义税收是数千亿元级拖累，广义土地基金是更大冲击源</w:t>
      </w:r>
      <w:bookmarkEnd w:id="42"/>
    </w:p>
    <w:p w14:paraId="0C7D116F">
      <w:pPr>
        <w:pStyle w:val="168"/>
      </w:pPr>
      <w:r>
        <w:rPr>
          <w:rFonts w:hint="eastAsia"/>
        </w:rPr>
        <w:t>狭义回答应先落在税收账本：房地产低迷通过交易和开发环节削弱契税、土地增值税等税基，已经形成数千亿元级拖累。财政部年度收支数据中的五项土地和房地产相关税，2025</w:t>
      </w:r>
      <w:r>
        <w:t xml:space="preserve"> </w:t>
      </w:r>
      <w:r>
        <w:rPr>
          <w:rFonts w:hint="eastAsia"/>
        </w:rPr>
        <w:t>年合计为</w:t>
      </w:r>
      <w:r>
        <w:t xml:space="preserve"> 17726 </w:t>
      </w:r>
      <w:r>
        <w:rPr>
          <w:rFonts w:hint="eastAsia"/>
        </w:rPr>
        <w:t>亿元，比</w:t>
      </w:r>
      <w:r>
        <w:t xml:space="preserve"> 2021 </w:t>
      </w:r>
      <w:r>
        <w:rPr>
          <w:rFonts w:hint="eastAsia"/>
        </w:rPr>
        <w:t>年的</w:t>
      </w:r>
      <w:r>
        <w:t xml:space="preserve"> 20793 </w:t>
      </w:r>
      <w:r>
        <w:rPr>
          <w:rFonts w:hint="eastAsia"/>
        </w:rPr>
        <w:t>亿元少</w:t>
      </w:r>
      <w:r>
        <w:t xml:space="preserve"> 3067 </w:t>
      </w:r>
      <w:r>
        <w:rPr>
          <w:rFonts w:hint="eastAsia"/>
        </w:rPr>
        <w:t>亿元，降幅约</w:t>
      </w:r>
      <w:r>
        <w:t xml:space="preserve"> </w:t>
      </w:r>
      <w:r>
        <w:rPr>
          <w:rFonts w:hint="eastAsia"/>
        </w:rPr>
        <w:t>14.8%；其中契税从</w:t>
      </w:r>
      <w:r>
        <w:t xml:space="preserve"> 7428 </w:t>
      </w:r>
      <w:r>
        <w:rPr>
          <w:rFonts w:hint="eastAsia"/>
        </w:rPr>
        <w:t>亿元降至</w:t>
      </w:r>
      <w:r>
        <w:t xml:space="preserve"> 4440 </w:t>
      </w:r>
      <w:r>
        <w:rPr>
          <w:rFonts w:hint="eastAsia"/>
        </w:rPr>
        <w:t>亿元，土地增值税从</w:t>
      </w:r>
      <w:r>
        <w:t xml:space="preserve"> 6896 </w:t>
      </w:r>
      <w:r>
        <w:rPr>
          <w:rFonts w:hint="eastAsia"/>
        </w:rPr>
        <w:t>亿元降至</w:t>
      </w:r>
      <w:r>
        <w:t xml:space="preserve"> 4102 </w:t>
      </w:r>
      <w:r>
        <w:rPr>
          <w:rFonts w:hint="eastAsia"/>
        </w:rPr>
        <w:t>亿元，是下降的主要来源[6][5]。这组数字说明，若只问“政府税收减少”对地方财政的直接影响，公开可量化部分不是几十亿元级，而是数千亿元级。</w:t>
      </w:r>
    </w:p>
    <w:p w14:paraId="05090EDF">
      <w:pPr>
        <w:pStyle w:val="19"/>
      </w:pPr>
      <w:r>
        <w:rPr>
          <w:rFonts w:hint="eastAsia"/>
        </w:rPr>
        <w:t>这个税收拖累相对于地方一般公共预算本级收入已经达到可见权重，但不能解释为所有地方收入的同口径损失率。2026</w:t>
      </w:r>
      <w:r>
        <w:t xml:space="preserve"> </w:t>
      </w:r>
      <w:r>
        <w:rPr>
          <w:rFonts w:hint="eastAsia"/>
        </w:rPr>
        <w:t>年上半年，土地和房地产相关五税合计</w:t>
      </w:r>
      <w:r>
        <w:t xml:space="preserve"> 9185 </w:t>
      </w:r>
      <w:r>
        <w:rPr>
          <w:rFonts w:hint="eastAsia"/>
        </w:rPr>
        <w:t>亿元，约等于同期地方一般公共预算本级收入</w:t>
      </w:r>
      <w:r>
        <w:t xml:space="preserve"> 68807 </w:t>
      </w:r>
      <w:r>
        <w:rPr>
          <w:rFonts w:hint="eastAsia"/>
        </w:rPr>
        <w:t>亿元的</w:t>
      </w:r>
      <w:r>
        <w:t xml:space="preserve"> </w:t>
      </w:r>
      <w:r>
        <w:rPr>
          <w:rFonts w:hint="eastAsia"/>
        </w:rPr>
        <w:t>13.35%；这一比例是把官方分项税额与地方一般公共预算本级收入相除得到的参考规模，而不是财政部直接发布的“房地产影响率”[10]。它的含义是：五项土地和房地产相关税收仍是地方一般公共预算本级收入中的重要组成部分，因此交易和开发税种下行会明显影响地方收入结构；它的边界是，比例本身没有扣除税收返还、跨区缴库或地方执行差异，也没有覆盖未公开拆分的房地产行业共享税种。</w:t>
      </w:r>
    </w:p>
    <w:p w14:paraId="7A74D8D0">
      <w:pPr>
        <w:pStyle w:val="19"/>
      </w:pPr>
      <w:r>
        <w:rPr>
          <w:rFonts w:hint="eastAsia"/>
        </w:rPr>
        <w:t>五税内部的分化使税收冲击不能被简单写成“涉房税全部同步下降”。2026</w:t>
      </w:r>
      <w:r>
        <w:t xml:space="preserve"> </w:t>
      </w:r>
      <w:r>
        <w:rPr>
          <w:rFonts w:hint="eastAsia"/>
        </w:rPr>
        <w:t>年上半年，契税</w:t>
      </w:r>
      <w:r>
        <w:t xml:space="preserve"> 2019 </w:t>
      </w:r>
      <w:r>
        <w:rPr>
          <w:rFonts w:hint="eastAsia"/>
        </w:rPr>
        <w:t>亿元、同比下降</w:t>
      </w:r>
      <w:r>
        <w:t xml:space="preserve"> </w:t>
      </w:r>
      <w:r>
        <w:rPr>
          <w:rFonts w:hint="eastAsia"/>
        </w:rPr>
        <w:t>14.7%，土地增值税</w:t>
      </w:r>
      <w:r>
        <w:t xml:space="preserve"> 2146 </w:t>
      </w:r>
      <w:r>
        <w:rPr>
          <w:rFonts w:hint="eastAsia"/>
        </w:rPr>
        <w:t>亿元、同比下降</w:t>
      </w:r>
      <w:r>
        <w:t xml:space="preserve"> </w:t>
      </w:r>
      <w:r>
        <w:rPr>
          <w:rFonts w:hint="eastAsia"/>
        </w:rPr>
        <w:t>15.3%，耕地占用税</w:t>
      </w:r>
      <w:r>
        <w:t xml:space="preserve"> 830 </w:t>
      </w:r>
      <w:r>
        <w:rPr>
          <w:rFonts w:hint="eastAsia"/>
        </w:rPr>
        <w:t>亿元、同比下降</w:t>
      </w:r>
      <w:r>
        <w:t xml:space="preserve"> </w:t>
      </w:r>
      <w:r>
        <w:rPr>
          <w:rFonts w:hint="eastAsia"/>
        </w:rPr>
        <w:t>3.5%；但房产税</w:t>
      </w:r>
      <w:r>
        <w:t xml:space="preserve"> 2782 </w:t>
      </w:r>
      <w:r>
        <w:rPr>
          <w:rFonts w:hint="eastAsia"/>
        </w:rPr>
        <w:t>亿元、同比增长</w:t>
      </w:r>
      <w:r>
        <w:t xml:space="preserve"> </w:t>
      </w:r>
      <w:r>
        <w:rPr>
          <w:rFonts w:hint="eastAsia"/>
        </w:rPr>
        <w:t>6.3%，城镇土地使用税</w:t>
      </w:r>
      <w:r>
        <w:t xml:space="preserve"> 1408 </w:t>
      </w:r>
      <w:r>
        <w:rPr>
          <w:rFonts w:hint="eastAsia"/>
        </w:rPr>
        <w:t>亿元、同比增长</w:t>
      </w:r>
      <w:r>
        <w:t xml:space="preserve"> </w:t>
      </w:r>
      <w:r>
        <w:rPr>
          <w:rFonts w:hint="eastAsia"/>
        </w:rPr>
        <w:t>2.6%[10]。交易和开发环节的税种继续拖累收入，持有和占用类税种则提供局部对冲；因此，税收端结论应是“交易和开发相关税种显著下行，五税合计相对</w:t>
      </w:r>
      <w:r>
        <w:t xml:space="preserve"> 2021 </w:t>
      </w:r>
      <w:r>
        <w:rPr>
          <w:rFonts w:hint="eastAsia"/>
        </w:rPr>
        <w:t>年减少数千亿元”，而不是“所有房地产相关税均在下降”。</w:t>
      </w:r>
    </w:p>
    <w:p w14:paraId="6ECAB1CF">
      <w:pPr>
        <w:pStyle w:val="19"/>
      </w:pPr>
      <w:r>
        <w:rPr>
          <w:rFonts w:hint="eastAsia"/>
        </w:rPr>
        <w:t>更大的财政压力来自税收之外的土地基金渠道。国有土地使用权出让收入从</w:t>
      </w:r>
      <w:r>
        <w:t xml:space="preserve"> 2021 </w:t>
      </w:r>
      <w:r>
        <w:rPr>
          <w:rFonts w:hint="eastAsia"/>
        </w:rPr>
        <w:t>年的</w:t>
      </w:r>
      <w:r>
        <w:t xml:space="preserve"> 87051 </w:t>
      </w:r>
      <w:r>
        <w:rPr>
          <w:rFonts w:hint="eastAsia"/>
        </w:rPr>
        <w:t>亿元降至</w:t>
      </w:r>
      <w:r>
        <w:t xml:space="preserve"> 2022 </w:t>
      </w:r>
      <w:r>
        <w:rPr>
          <w:rFonts w:hint="eastAsia"/>
        </w:rPr>
        <w:t>年</w:t>
      </w:r>
      <w:r>
        <w:t xml:space="preserve"> 66854 </w:t>
      </w:r>
      <w:r>
        <w:rPr>
          <w:rFonts w:hint="eastAsia"/>
        </w:rPr>
        <w:t>亿元、2023</w:t>
      </w:r>
      <w:r>
        <w:t xml:space="preserve"> </w:t>
      </w:r>
      <w:r>
        <w:rPr>
          <w:rFonts w:hint="eastAsia"/>
        </w:rPr>
        <w:t>年</w:t>
      </w:r>
      <w:r>
        <w:t xml:space="preserve"> 57996 </w:t>
      </w:r>
      <w:r>
        <w:rPr>
          <w:rFonts w:hint="eastAsia"/>
        </w:rPr>
        <w:t>亿元、2024</w:t>
      </w:r>
      <w:r>
        <w:t xml:space="preserve"> </w:t>
      </w:r>
      <w:r>
        <w:rPr>
          <w:rFonts w:hint="eastAsia"/>
        </w:rPr>
        <w:t>年</w:t>
      </w:r>
      <w:r>
        <w:t xml:space="preserve"> 48699 </w:t>
      </w:r>
      <w:r>
        <w:rPr>
          <w:rFonts w:hint="eastAsia"/>
        </w:rPr>
        <w:t>亿元、2025</w:t>
      </w:r>
      <w:r>
        <w:t xml:space="preserve"> </w:t>
      </w:r>
      <w:r>
        <w:rPr>
          <w:rFonts w:hint="eastAsia"/>
        </w:rPr>
        <w:t>年</w:t>
      </w:r>
      <w:r>
        <w:t xml:space="preserve"> 41518 </w:t>
      </w:r>
      <w:r>
        <w:rPr>
          <w:rFonts w:hint="eastAsia"/>
        </w:rPr>
        <w:t>亿元，2022—2025</w:t>
      </w:r>
      <w:r>
        <w:t xml:space="preserve"> </w:t>
      </w:r>
      <w:r>
        <w:rPr>
          <w:rFonts w:hint="eastAsia"/>
        </w:rPr>
        <w:t>年连续下降；2025</w:t>
      </w:r>
      <w:r>
        <w:t xml:space="preserve"> </w:t>
      </w:r>
      <w:r>
        <w:rPr>
          <w:rFonts w:hint="eastAsia"/>
        </w:rPr>
        <w:t>年同比下降</w:t>
      </w:r>
      <w:r>
        <w:t xml:space="preserve"> </w:t>
      </w:r>
      <w:r>
        <w:rPr>
          <w:rFonts w:hint="eastAsia"/>
        </w:rPr>
        <w:t>14.7%，反推较</w:t>
      </w:r>
      <w:r>
        <w:t xml:space="preserve"> 2024 </w:t>
      </w:r>
      <w:r>
        <w:rPr>
          <w:rFonts w:hint="eastAsia"/>
        </w:rPr>
        <w:t>年减少约</w:t>
      </w:r>
      <w:r>
        <w:t xml:space="preserve"> 7155 </w:t>
      </w:r>
      <w:r>
        <w:rPr>
          <w:rFonts w:hint="eastAsia"/>
        </w:rPr>
        <w:t>亿元[6][7][8][9][5][40]。2026</w:t>
      </w:r>
      <w:r>
        <w:t xml:space="preserve"> </w:t>
      </w:r>
      <w:r>
        <w:rPr>
          <w:rFonts w:hint="eastAsia"/>
        </w:rPr>
        <w:t>年上半年，这一收入仍为</w:t>
      </w:r>
      <w:r>
        <w:t xml:space="preserve"> 9778 </w:t>
      </w:r>
      <w:r>
        <w:rPr>
          <w:rFonts w:hint="eastAsia"/>
        </w:rPr>
        <w:t>亿元、同比下降</w:t>
      </w:r>
      <w:r>
        <w:t xml:space="preserve"> </w:t>
      </w:r>
      <w:r>
        <w:rPr>
          <w:rFonts w:hint="eastAsia"/>
        </w:rPr>
        <w:t>31.5%，同时地方政府性基金预算本级收入下降</w:t>
      </w:r>
      <w:r>
        <w:t xml:space="preserve"> </w:t>
      </w:r>
      <w:r>
        <w:rPr>
          <w:rFonts w:hint="eastAsia"/>
        </w:rPr>
        <w:t>25.6%[10]。所以，对“多大程度”的综合回答必须分层：狭义税收端是数千亿元级、约十几个百分点参考规模的拖累；广义土地财政端的年度降额和持续下行幅度更大，但它属于政府性基金预算，不属于税收收入。</w:t>
      </w:r>
    </w:p>
    <w:p w14:paraId="76374D23">
      <w:pPr>
        <w:pStyle w:val="19"/>
      </w:pPr>
      <w:r>
        <w:rPr>
          <w:rFonts w:hint="eastAsia"/>
        </w:rPr>
        <w:t>国有土地使用权出让收入的财政分类决定了它不能与涉房税收直接相加为“税收减少”。土地出让收支全额纳入地方政府性基金预算管理，收入缴入地方国库，支出通过地方政府性基金预算安排，实行收支两条线；国有土地使用权出让收入可作为广义地方财力冲击的核心变量，却不能记作地方税收收入[3][32]。因此，房地产低迷对地方财政的真实压力大于狭义税收口径，但若把国有土地使用权出让收入直接当作税收，又会高估“政府税收减少”本身的影响。</w:t>
      </w:r>
    </w:p>
    <w:bookmarkEnd w:id="43"/>
    <w:p w14:paraId="7BFD5222">
      <w:pPr>
        <w:pStyle w:val="4"/>
      </w:pPr>
      <w:bookmarkStart w:id="44" w:name="_Toc1195221025"/>
      <w:bookmarkStart w:id="45" w:name="总收入没有同步塌陷原因是转移支付调入和债务融资在缓冲而非恢复税基"/>
      <w:r>
        <w:rPr>
          <w:rFonts w:hint="eastAsia"/>
        </w:rPr>
        <w:t>总收入没有同步塌陷，原因是转移支付、调入和债务融资在缓冲而非恢复税基</w:t>
      </w:r>
      <w:bookmarkEnd w:id="44"/>
    </w:p>
    <w:p w14:paraId="460616D3">
      <w:pPr>
        <w:pStyle w:val="168"/>
      </w:pPr>
      <w:r>
        <w:rPr>
          <w:rFonts w:hint="eastAsia"/>
        </w:rPr>
        <w:t>地方一般公共预算本级收入没有随涉房税和国有土地使用权出让收入等比例下滑，首先是因为财政账本中存在中央转移支付、调入资金、结转结余和赤字安排。2025</w:t>
      </w:r>
      <w:r>
        <w:t xml:space="preserve"> </w:t>
      </w:r>
      <w:r>
        <w:rPr>
          <w:rFonts w:hint="eastAsia"/>
        </w:rPr>
        <w:t>年地方一般公共预算收入为</w:t>
      </w:r>
      <w:r>
        <w:t xml:space="preserve"> 224007.4 </w:t>
      </w:r>
      <w:r>
        <w:rPr>
          <w:rFonts w:hint="eastAsia"/>
        </w:rPr>
        <w:t>亿元，其中本级收入</w:t>
      </w:r>
      <w:r>
        <w:t xml:space="preserve"> 122082.26 </w:t>
      </w:r>
      <w:r>
        <w:rPr>
          <w:rFonts w:hint="eastAsia"/>
        </w:rPr>
        <w:t>亿元、增长</w:t>
      </w:r>
      <w:r>
        <w:t xml:space="preserve"> </w:t>
      </w:r>
      <w:r>
        <w:rPr>
          <w:rFonts w:hint="eastAsia"/>
        </w:rPr>
        <w:t>2.4%，中央对地方转移支付收入</w:t>
      </w:r>
      <w:r>
        <w:t xml:space="preserve"> 101925.14 </w:t>
      </w:r>
      <w:r>
        <w:rPr>
          <w:rFonts w:hint="eastAsia"/>
        </w:rPr>
        <w:t>亿元；加上从地方预算稳定调节基金、政府性基金预算、国有资本经营预算调入资金及使用结转结余</w:t>
      </w:r>
      <w:r>
        <w:t xml:space="preserve"> 12353.78 </w:t>
      </w:r>
      <w:r>
        <w:rPr>
          <w:rFonts w:hint="eastAsia"/>
        </w:rPr>
        <w:t>亿元后，地方一般公共预算收入总量为</w:t>
      </w:r>
      <w:r>
        <w:t xml:space="preserve"> 236361.18 </w:t>
      </w:r>
      <w:r>
        <w:rPr>
          <w:rFonts w:hint="eastAsia"/>
        </w:rPr>
        <w:t>亿元，地方财政赤字</w:t>
      </w:r>
      <w:r>
        <w:t xml:space="preserve"> 8000 </w:t>
      </w:r>
      <w:r>
        <w:rPr>
          <w:rFonts w:hint="eastAsia"/>
        </w:rPr>
        <w:t>亿元[34]。这说明地方财政的可用总盘子不是单靠本级税收决定，房地产收入冲击会被上级补助和预算调剂部分吸收。</w:t>
      </w:r>
    </w:p>
    <w:p w14:paraId="36AC1BC8">
      <w:pPr>
        <w:pStyle w:val="19"/>
      </w:pPr>
      <w:r>
        <w:rPr>
          <w:rFonts w:hint="eastAsia"/>
        </w:rPr>
        <w:t>中央转移支付的规模足以改变短期收支表现，但不足以说明房地产相关收入已被完全抵消。2025</w:t>
      </w:r>
      <w:r>
        <w:t xml:space="preserve"> </w:t>
      </w:r>
      <w:r>
        <w:rPr>
          <w:rFonts w:hint="eastAsia"/>
        </w:rPr>
        <w:t>年中央对地方转移支付</w:t>
      </w:r>
      <w:r>
        <w:t xml:space="preserve"> 101925.14 </w:t>
      </w:r>
      <w:r>
        <w:rPr>
          <w:rFonts w:hint="eastAsia"/>
        </w:rPr>
        <w:t>亿元、完成预算</w:t>
      </w:r>
      <w:r>
        <w:t xml:space="preserve"> </w:t>
      </w:r>
      <w:r>
        <w:rPr>
          <w:rFonts w:hint="eastAsia"/>
        </w:rPr>
        <w:t>98.6%、增长</w:t>
      </w:r>
      <w:r>
        <w:t xml:space="preserve"> </w:t>
      </w:r>
      <w:r>
        <w:rPr>
          <w:rFonts w:hint="eastAsia"/>
        </w:rPr>
        <w:t>1.6%，其中一般性转移支付</w:t>
      </w:r>
      <w:r>
        <w:t xml:space="preserve"> 92475.98 </w:t>
      </w:r>
      <w:r>
        <w:rPr>
          <w:rFonts w:hint="eastAsia"/>
        </w:rPr>
        <w:t>亿元、专项转移支付</w:t>
      </w:r>
      <w:r>
        <w:t xml:space="preserve"> 9449.16 </w:t>
      </w:r>
      <w:r>
        <w:rPr>
          <w:rFonts w:hint="eastAsia"/>
        </w:rPr>
        <w:t>亿元[34]。按官方预算执行口径反推，2025</w:t>
      </w:r>
      <w:r>
        <w:t xml:space="preserve"> </w:t>
      </w:r>
      <w:r>
        <w:rPr>
          <w:rFonts w:hint="eastAsia"/>
        </w:rPr>
        <w:t>年转移支付增量约</w:t>
      </w:r>
      <w:r>
        <w:t xml:space="preserve"> 1605 </w:t>
      </w:r>
      <w:r>
        <w:rPr>
          <w:rFonts w:hint="eastAsia"/>
        </w:rPr>
        <w:t>亿元，约相当于国有土地使用权出让收入约</w:t>
      </w:r>
      <w:r>
        <w:t xml:space="preserve"> 7155 </w:t>
      </w:r>
      <w:r>
        <w:rPr>
          <w:rFonts w:hint="eastAsia"/>
        </w:rPr>
        <w:t>亿元降额的</w:t>
      </w:r>
      <w:r>
        <w:t xml:space="preserve"> </w:t>
      </w:r>
      <w:r>
        <w:rPr>
          <w:rFonts w:hint="eastAsia"/>
        </w:rPr>
        <w:t>22%；这个对照说明中央支持确实部分缓冲土地收入下行，却并不构成一比一填补。与此同时，全国一般公共预算收入</w:t>
      </w:r>
      <w:r>
        <w:t xml:space="preserve"> 216044.88 </w:t>
      </w:r>
      <w:r>
        <w:rPr>
          <w:rFonts w:hint="eastAsia"/>
        </w:rPr>
        <w:t>亿元，比</w:t>
      </w:r>
      <w:r>
        <w:t xml:space="preserve"> 2024 </w:t>
      </w:r>
      <w:r>
        <w:rPr>
          <w:rFonts w:hint="eastAsia"/>
        </w:rPr>
        <w:t>年下降</w:t>
      </w:r>
      <w:r>
        <w:t xml:space="preserve"> </w:t>
      </w:r>
      <w:r>
        <w:rPr>
          <w:rFonts w:hint="eastAsia"/>
        </w:rPr>
        <w:t>1.7%；税收收入</w:t>
      </w:r>
      <w:r>
        <w:t xml:space="preserve"> 176363.23 </w:t>
      </w:r>
      <w:r>
        <w:rPr>
          <w:rFonts w:hint="eastAsia"/>
        </w:rPr>
        <w:t>亿元、增长</w:t>
      </w:r>
      <w:r>
        <w:t xml:space="preserve"> </w:t>
      </w:r>
      <w:r>
        <w:rPr>
          <w:rFonts w:hint="eastAsia"/>
        </w:rPr>
        <w:t>0.8%，非税收入</w:t>
      </w:r>
      <w:r>
        <w:t xml:space="preserve"> 39681.65 </w:t>
      </w:r>
      <w:r>
        <w:rPr>
          <w:rFonts w:hint="eastAsia"/>
        </w:rPr>
        <w:t>亿元、下降</w:t>
      </w:r>
      <w:r>
        <w:t xml:space="preserve"> </w:t>
      </w:r>
      <w:r>
        <w:rPr>
          <w:rFonts w:hint="eastAsia"/>
        </w:rPr>
        <w:t>11.3%，且非税下降主要与上年一次性安排中央单位上缴专项收益抬高基数有关[34]。非税总量在全国口径下没有形成正向缓冲，公开材料也不足以把非税变化拆成罚没、资产盘活或其他可持续分项。</w:t>
      </w:r>
    </w:p>
    <w:p w14:paraId="3A42D4E6">
      <w:pPr>
        <w:pStyle w:val="19"/>
      </w:pPr>
      <w:r>
        <w:rPr>
          <w:rFonts w:hint="eastAsia"/>
        </w:rPr>
        <w:t>专项债和置换债缓冲的是融资、项目和债务风险，不是房地产税基恢复。2025</w:t>
      </w:r>
      <w:r>
        <w:t xml:space="preserve"> </w:t>
      </w:r>
      <w:r>
        <w:rPr>
          <w:rFonts w:hint="eastAsia"/>
        </w:rPr>
        <w:t>年新增地方政府专项债券</w:t>
      </w:r>
      <w:r>
        <w:t xml:space="preserve"> 4.4 </w:t>
      </w:r>
      <w:r>
        <w:rPr>
          <w:rFonts w:hint="eastAsia"/>
        </w:rPr>
        <w:t>万亿元，支持项目超过</w:t>
      </w:r>
      <w:r>
        <w:t xml:space="preserve"> 4.8 </w:t>
      </w:r>
      <w:r>
        <w:rPr>
          <w:rFonts w:hint="eastAsia"/>
        </w:rPr>
        <w:t>万个；同年用于置换存量隐性债务的</w:t>
      </w:r>
      <w:r>
        <w:t xml:space="preserve"> 2 </w:t>
      </w:r>
      <w:r>
        <w:rPr>
          <w:rFonts w:hint="eastAsia"/>
        </w:rPr>
        <w:t>万亿元地方政府债券全部发行完毕，各地置换后债务平均利息成本降低</w:t>
      </w:r>
      <w:r>
        <w:t xml:space="preserve"> 2.5 </w:t>
      </w:r>
      <w:r>
        <w:rPr>
          <w:rFonts w:hint="eastAsia"/>
        </w:rPr>
        <w:t>个百分点以上，中央对地方转移支付超过</w:t>
      </w:r>
      <w:r>
        <w:t xml:space="preserve"> 10 </w:t>
      </w:r>
      <w:r>
        <w:rPr>
          <w:rFonts w:hint="eastAsia"/>
        </w:rPr>
        <w:t>万亿元，用于推动地方下沉财力和强化基层“三保”保障[57][34]。这些安排提高了地方短期承受能力，也改善了部分债务成本，但它们不是房地产交易、开发和土地出让活动自然恢复产生的财政收入。</w:t>
      </w:r>
    </w:p>
    <w:p w14:paraId="66219B9A">
      <w:pPr>
        <w:pStyle w:val="19"/>
      </w:pPr>
      <w:r>
        <w:rPr>
          <w:rFonts w:hint="eastAsia"/>
        </w:rPr>
        <w:t>专项债的制度边界进一步限制了“缓冲即收入恢复”的推论。专项债是省级政府为有一定收益的公益性项目发行、以项目对应政府性基金或专项收入还本付息的政府债券，单只专项债应以单项政府性基金或专项收入为偿债来源[56]。国务院办公厅关于专项债管理的文件还明确，专项债不得用于经常性支出，严禁用于发工资、养老金、单位运行经费和债务利息；虽然文件允许专项债用于土地储备、回收符合条件的闲置存量土地以及收购存量商品房用作保障性住房，但这仍是融资和专项用途安排，而不是经常性税收或国有土地使用权出让收入恢复[58]。</w:t>
      </w:r>
    </w:p>
    <w:p w14:paraId="2000C6D7">
      <w:pPr>
        <w:pStyle w:val="19"/>
      </w:pPr>
      <w:r>
        <w:rPr>
          <w:rFonts w:hint="eastAsia"/>
        </w:rPr>
        <w:t>因此，地方财政总收入没有同步塌陷，不能被理解为房地产低迷影响很小。更稳妥的判断是：中央转移支付、预算调入、结转结余、专项债和置换债把房地产相关收入下降对年度预算执行的冲击向后、向债务和基金账本分散了；它们降低了短期现金流和预算平衡压力，但没有消除涉房税基、国有土地使用权出让收入和地方自身财力的下行压力。</w:t>
      </w:r>
    </w:p>
    <w:bookmarkEnd w:id="45"/>
    <w:p w14:paraId="1D4BC1C6">
      <w:pPr>
        <w:pStyle w:val="4"/>
      </w:pPr>
      <w:bookmarkStart w:id="46" w:name="_Toc517733137"/>
      <w:bookmarkStart w:id="47" w:name="最新执行和预算安排显示压力仍在延续但中央支持提高了短期可承受性"/>
      <w:r>
        <w:rPr>
          <w:rFonts w:hint="eastAsia"/>
        </w:rPr>
        <w:t>最新执行和预算安排显示压力仍在延续，但中央支持提高了短期可承受性</w:t>
      </w:r>
      <w:bookmarkEnd w:id="46"/>
    </w:p>
    <w:p w14:paraId="2DE226CF">
      <w:pPr>
        <w:pStyle w:val="168"/>
      </w:pPr>
      <w:r>
        <w:t xml:space="preserve">2026 </w:t>
      </w:r>
      <w:r>
        <w:rPr>
          <w:rFonts w:hint="eastAsia"/>
        </w:rPr>
        <w:t>年上半年数据呈现明显的账本分化：一般公共预算收入恢复增长，土地基金端仍在快速收缩。全国一般公共预算收入</w:t>
      </w:r>
      <w:r>
        <w:t xml:space="preserve"> 121047 </w:t>
      </w:r>
      <w:r>
        <w:rPr>
          <w:rFonts w:hint="eastAsia"/>
        </w:rPr>
        <w:t>亿元、同比增长</w:t>
      </w:r>
      <w:r>
        <w:t xml:space="preserve"> </w:t>
      </w:r>
      <w:r>
        <w:rPr>
          <w:rFonts w:hint="eastAsia"/>
        </w:rPr>
        <w:t>4.7%，其中税收收入</w:t>
      </w:r>
      <w:r>
        <w:t xml:space="preserve"> 97865 </w:t>
      </w:r>
      <w:r>
        <w:rPr>
          <w:rFonts w:hint="eastAsia"/>
        </w:rPr>
        <w:t>亿元、增长</w:t>
      </w:r>
      <w:r>
        <w:t xml:space="preserve"> </w:t>
      </w:r>
      <w:r>
        <w:rPr>
          <w:rFonts w:hint="eastAsia"/>
        </w:rPr>
        <w:t>5.3%，非税收入</w:t>
      </w:r>
      <w:r>
        <w:t xml:space="preserve"> 23182 </w:t>
      </w:r>
      <w:r>
        <w:rPr>
          <w:rFonts w:hint="eastAsia"/>
        </w:rPr>
        <w:t>亿元、增长</w:t>
      </w:r>
      <w:r>
        <w:t xml:space="preserve"> </w:t>
      </w:r>
      <w:r>
        <w:rPr>
          <w:rFonts w:hint="eastAsia"/>
        </w:rPr>
        <w:t>2.3%；地方一般公共预算本级收入</w:t>
      </w:r>
      <w:r>
        <w:t xml:space="preserve"> 68807 </w:t>
      </w:r>
      <w:r>
        <w:rPr>
          <w:rFonts w:hint="eastAsia"/>
        </w:rPr>
        <w:t>亿元、增长</w:t>
      </w:r>
      <w:r>
        <w:t xml:space="preserve"> </w:t>
      </w:r>
      <w:r>
        <w:rPr>
          <w:rFonts w:hint="eastAsia"/>
        </w:rPr>
        <w:t>2.7%[55]。同一时期，全国政府性基金预算收入</w:t>
      </w:r>
      <w:r>
        <w:t xml:space="preserve"> 15244 </w:t>
      </w:r>
      <w:r>
        <w:rPr>
          <w:rFonts w:hint="eastAsia"/>
        </w:rPr>
        <w:t>亿元、下降</w:t>
      </w:r>
      <w:r>
        <w:t xml:space="preserve"> </w:t>
      </w:r>
      <w:r>
        <w:rPr>
          <w:rFonts w:hint="eastAsia"/>
        </w:rPr>
        <w:t>21.6%，地方政府性基金预算本级收入</w:t>
      </w:r>
      <w:r>
        <w:t xml:space="preserve"> 12847 </w:t>
      </w:r>
      <w:r>
        <w:rPr>
          <w:rFonts w:hint="eastAsia"/>
        </w:rPr>
        <w:t>亿元、下降</w:t>
      </w:r>
      <w:r>
        <w:t xml:space="preserve"> </w:t>
      </w:r>
      <w:r>
        <w:rPr>
          <w:rFonts w:hint="eastAsia"/>
        </w:rPr>
        <w:t>25.6%，其中国有土地使用权出让收入</w:t>
      </w:r>
      <w:r>
        <w:t xml:space="preserve"> 9778 </w:t>
      </w:r>
      <w:r>
        <w:rPr>
          <w:rFonts w:hint="eastAsia"/>
        </w:rPr>
        <w:t>亿元、下降</w:t>
      </w:r>
      <w:r>
        <w:t xml:space="preserve"> </w:t>
      </w:r>
      <w:r>
        <w:rPr>
          <w:rFonts w:hint="eastAsia"/>
        </w:rPr>
        <w:t>31.5%[55]。这组对照说明，房地产低迷的压力仍主要压在土地基金端，而不是等比例地表现为地方本级一般公共预算收入下滑。</w:t>
      </w:r>
    </w:p>
    <w:p w14:paraId="0C222C97">
      <w:pPr>
        <w:pStyle w:val="19"/>
      </w:pPr>
      <w:r>
        <w:t xml:space="preserve">2026 </w:t>
      </w:r>
      <w:r>
        <w:rPr>
          <w:rFonts w:hint="eastAsia"/>
        </w:rPr>
        <w:t>年预算安排继续用中央转移支付、调入资金和赤字维持地方支出能力。预算草案安排地方一般公共预算本级收入</w:t>
      </w:r>
      <w:r>
        <w:t xml:space="preserve"> 125030 </w:t>
      </w:r>
      <w:r>
        <w:rPr>
          <w:rFonts w:hint="eastAsia"/>
        </w:rPr>
        <w:t>亿元、增长</w:t>
      </w:r>
      <w:r>
        <w:t xml:space="preserve"> </w:t>
      </w:r>
      <w:r>
        <w:rPr>
          <w:rFonts w:hint="eastAsia"/>
        </w:rPr>
        <w:t>2.4%，加上中央对地方转移支付收入</w:t>
      </w:r>
      <w:r>
        <w:t xml:space="preserve"> 104150 </w:t>
      </w:r>
      <w:r>
        <w:rPr>
          <w:rFonts w:hint="eastAsia"/>
        </w:rPr>
        <w:t>亿元、地方财政调入资金及使用结转结余</w:t>
      </w:r>
      <w:r>
        <w:t xml:space="preserve"> 17000 </w:t>
      </w:r>
      <w:r>
        <w:rPr>
          <w:rFonts w:hint="eastAsia"/>
        </w:rPr>
        <w:t>亿元后，地方一般公共预算收入总量为</w:t>
      </w:r>
      <w:r>
        <w:t xml:space="preserve"> 246180 </w:t>
      </w:r>
      <w:r>
        <w:rPr>
          <w:rFonts w:hint="eastAsia"/>
        </w:rPr>
        <w:t>亿元；地方一般公共预算支出</w:t>
      </w:r>
      <w:r>
        <w:t xml:space="preserve"> 254180 </w:t>
      </w:r>
      <w:r>
        <w:rPr>
          <w:rFonts w:hint="eastAsia"/>
        </w:rPr>
        <w:t>亿元、增长</w:t>
      </w:r>
      <w:r>
        <w:t xml:space="preserve"> </w:t>
      </w:r>
      <w:r>
        <w:rPr>
          <w:rFonts w:hint="eastAsia"/>
        </w:rPr>
        <w:t>4%，地方财政赤字</w:t>
      </w:r>
      <w:r>
        <w:t xml:space="preserve"> 8000 </w:t>
      </w:r>
      <w:r>
        <w:rPr>
          <w:rFonts w:hint="eastAsia"/>
        </w:rPr>
        <w:t>亿元[34][4]。政府性基金预算方面，地方政府性基金预算本级收入预计</w:t>
      </w:r>
      <w:r>
        <w:t xml:space="preserve"> 52644.32 </w:t>
      </w:r>
      <w:r>
        <w:rPr>
          <w:rFonts w:hint="eastAsia"/>
        </w:rPr>
        <w:t>亿元、与上年基本持平，加中央政府性基金转移支付和专项债收入后，收入总量安排为</w:t>
      </w:r>
      <w:r>
        <w:t xml:space="preserve"> 108517.27 </w:t>
      </w:r>
      <w:r>
        <w:rPr>
          <w:rFonts w:hint="eastAsia"/>
        </w:rPr>
        <w:t>亿元[4]。这些安排表明政策层面并未假设国有土地使用权出让收入自然恢复，而是继续通过上级支持和融资性收入维持预算总量。</w:t>
      </w:r>
    </w:p>
    <w:p w14:paraId="4CBA47BA">
      <w:pPr>
        <w:pStyle w:val="19"/>
      </w:pPr>
      <w:r>
        <w:rPr>
          <w:rFonts w:hint="eastAsia"/>
        </w:rPr>
        <w:t>官方预算报告本身也把土地收入继续回落列为财政压力来源。报告指出，受多重因素影响，一般公共预算收入下滑、国有土地使用权出让收入继续回落、财政收支平衡压力加大、一些地方财政困难，并同时提到财政支出僵化固化、部分政府投资项目管理和资金使用不规范、个别地方新增隐债和虚假化债等问题[34]。这使结论必须处在中间位置：一般公共预算和中央支持提高了短期可承受性，但土地财政压力没有因预算平衡安排而消失。</w:t>
      </w:r>
    </w:p>
    <w:bookmarkEnd w:id="47"/>
    <w:p w14:paraId="13C61801">
      <w:pPr>
        <w:pStyle w:val="4"/>
      </w:pPr>
      <w:bookmarkStart w:id="48" w:name="_Toc2084579562"/>
      <w:bookmarkStart w:id="49" w:name="财政压力从收入端传导到支出端刚性支出和付息增长限制了缓冲空间"/>
      <w:r>
        <w:rPr>
          <w:rFonts w:hint="eastAsia"/>
        </w:rPr>
        <w:t>财政压力从收入端传导到支出端：刚性支出和付息增长限制了缓冲空间</w:t>
      </w:r>
      <w:bookmarkEnd w:id="48"/>
    </w:p>
    <w:p w14:paraId="274D2FE7">
      <w:pPr>
        <w:pStyle w:val="168"/>
      </w:pPr>
      <w:r>
        <w:rPr>
          <w:rFonts w:hint="eastAsia"/>
        </w:rPr>
        <w:t>房地产相关收入下降之所以对地方政府形成持续压力，是因为收入端收缩发生在刚性支出和债务付息仍需安排的背景下。2026</w:t>
      </w:r>
      <w:r>
        <w:t xml:space="preserve"> </w:t>
      </w:r>
      <w:r>
        <w:rPr>
          <w:rFonts w:hint="eastAsia"/>
        </w:rPr>
        <w:t>年上半年，全国一般公共预算支出</w:t>
      </w:r>
      <w:r>
        <w:t xml:space="preserve"> 143329 </w:t>
      </w:r>
      <w:r>
        <w:rPr>
          <w:rFonts w:hint="eastAsia"/>
        </w:rPr>
        <w:t>亿元、同比增长</w:t>
      </w:r>
      <w:r>
        <w:t xml:space="preserve"> </w:t>
      </w:r>
      <w:r>
        <w:rPr>
          <w:rFonts w:hint="eastAsia"/>
        </w:rPr>
        <w:t>1.5%，地方一般公共预算支出</w:t>
      </w:r>
      <w:r>
        <w:t xml:space="preserve"> 122111 </w:t>
      </w:r>
      <w:r>
        <w:rPr>
          <w:rFonts w:hint="eastAsia"/>
        </w:rPr>
        <w:t>亿元、增长</w:t>
      </w:r>
      <w:r>
        <w:t xml:space="preserve"> </w:t>
      </w:r>
      <w:r>
        <w:rPr>
          <w:rFonts w:hint="eastAsia"/>
        </w:rPr>
        <w:t>0.6%[55]。在主要支出科目中，社会保障和就业支出</w:t>
      </w:r>
      <w:r>
        <w:t xml:space="preserve"> 26360 </w:t>
      </w:r>
      <w:r>
        <w:rPr>
          <w:rFonts w:hint="eastAsia"/>
        </w:rPr>
        <w:t>亿元、增长</w:t>
      </w:r>
      <w:r>
        <w:t xml:space="preserve"> </w:t>
      </w:r>
      <w:r>
        <w:rPr>
          <w:rFonts w:hint="eastAsia"/>
        </w:rPr>
        <w:t>7.6%，卫生健康支出</w:t>
      </w:r>
      <w:r>
        <w:t xml:space="preserve"> 12191 </w:t>
      </w:r>
      <w:r>
        <w:rPr>
          <w:rFonts w:hint="eastAsia"/>
        </w:rPr>
        <w:t>亿元、增长</w:t>
      </w:r>
      <w:r>
        <w:t xml:space="preserve"> </w:t>
      </w:r>
      <w:r>
        <w:rPr>
          <w:rFonts w:hint="eastAsia"/>
        </w:rPr>
        <w:t>10.8%，债务付息支出</w:t>
      </w:r>
      <w:r>
        <w:t xml:space="preserve"> 6991 </w:t>
      </w:r>
      <w:r>
        <w:rPr>
          <w:rFonts w:hint="eastAsia"/>
        </w:rPr>
        <w:t>亿元、增长</w:t>
      </w:r>
      <w:r>
        <w:t xml:space="preserve"> </w:t>
      </w:r>
      <w:r>
        <w:rPr>
          <w:rFonts w:hint="eastAsia"/>
        </w:rPr>
        <w:t>4.5%；但城乡社区、农林水、交通运输等支出分别下降</w:t>
      </w:r>
      <w:r>
        <w:t xml:space="preserve"> 2%、8.6% </w:t>
      </w:r>
      <w:r>
        <w:rPr>
          <w:rFonts w:hint="eastAsia"/>
        </w:rPr>
        <w:t>和</w:t>
      </w:r>
      <w:r>
        <w:t xml:space="preserve"> </w:t>
      </w:r>
      <w:r>
        <w:rPr>
          <w:rFonts w:hint="eastAsia"/>
        </w:rPr>
        <w:t>2.6%[55]。当土地基金端同期仍明显下行时，预算压力会表现为支出排序和项目空间被压缩，而不只是收入表上一项同比下降。</w:t>
      </w:r>
    </w:p>
    <w:p w14:paraId="20987706">
      <w:pPr>
        <w:pStyle w:val="19"/>
      </w:pPr>
      <w:r>
        <w:t xml:space="preserve">2025 </w:t>
      </w:r>
      <w:r>
        <w:rPr>
          <w:rFonts w:hint="eastAsia"/>
        </w:rPr>
        <w:t>年预算执行也显示支出管理已经成为财政应对的一部分。国务院预算报告称，各地区各部门依法依规组织收入、应收尽收，同时加强财政支出管理、能省则省；全国一般公共预算支出</w:t>
      </w:r>
      <w:r>
        <w:t xml:space="preserve"> 287395.42 </w:t>
      </w:r>
      <w:r>
        <w:rPr>
          <w:rFonts w:hint="eastAsia"/>
        </w:rPr>
        <w:t>亿元、增长</w:t>
      </w:r>
      <w:r>
        <w:t xml:space="preserve"> </w:t>
      </w:r>
      <w:r>
        <w:rPr>
          <w:rFonts w:hint="eastAsia"/>
        </w:rPr>
        <w:t>1%，部分原因是压减非刚性非重点支出，以及部分据实结算支出低于年初预计[34]。这说明缓冲房地产相关收入下降并非没有代价：财政可以通过压减非刚性支出、调整项目节奏和使用债务工具维持基本平衡，但这些做法会消耗未来预算弹性。</w:t>
      </w:r>
    </w:p>
    <w:p w14:paraId="6F0976BB">
      <w:pPr>
        <w:pStyle w:val="19"/>
      </w:pPr>
      <w:r>
        <w:rPr>
          <w:rFonts w:hint="eastAsia"/>
        </w:rPr>
        <w:t>清理拖欠企业账款与专项债安排之间的联系，也反映了收入冲击向现金流和政府信用约束传导。2026</w:t>
      </w:r>
      <w:r>
        <w:t xml:space="preserve"> </w:t>
      </w:r>
      <w:r>
        <w:rPr>
          <w:rFonts w:hint="eastAsia"/>
        </w:rPr>
        <w:t>年预算草案提出统筹安排一定规模专项债券额度，加力推进清理拖欠企业账款工作[34]。这并不意味着拖欠完全由房地产低迷造成，也不能把清欠额度折算为国有土地使用权出让收入损失；它更适合作为压力落点证据，说明在土地基金收入继续收缩、债务付息和民生支出仍增长时，地方财政需要更多工具处理存量支付义务。</w:t>
      </w:r>
    </w:p>
    <w:p w14:paraId="78512EAD">
      <w:pPr>
        <w:pStyle w:val="19"/>
      </w:pPr>
      <w:r>
        <w:rPr>
          <w:rFonts w:hint="eastAsia"/>
        </w:rPr>
        <w:t>支出端证据把“影响程度”的含义从收入损失扩展为财政约束，但不能替代收入测算。五项土地和房地产相关税收减少和国有土地使用权出让收入下降说明收入来源受损；社会保障、卫生健康、债务付息和清欠安排说明这些收入损失会与刚性支出共同挤压预算腾挪空间。公开材料没有提供省市级公共服务、基建项目延期、拖欠清偿或“三保”支出被压缩的完整案例清单，因此支出端只能支持“缓冲空间受限”的判断，不能被写成某一地区或某一公共服务项目已经受到特定比例挤压。</w:t>
      </w:r>
    </w:p>
    <w:bookmarkEnd w:id="49"/>
    <w:p w14:paraId="31B9E94D">
      <w:pPr>
        <w:pStyle w:val="4"/>
      </w:pPr>
      <w:bookmarkStart w:id="50" w:name="_Toc1480481376"/>
      <w:bookmarkStart w:id="51" w:name="结论边界冲击被部分对冲但不能证明已被完全抵消"/>
      <w:r>
        <w:rPr>
          <w:rFonts w:hint="eastAsia"/>
        </w:rPr>
        <w:t>结论边界：冲击被部分对冲，但不能证明已被完全抵消</w:t>
      </w:r>
      <w:bookmarkEnd w:id="50"/>
    </w:p>
    <w:p w14:paraId="56F8757E">
      <w:pPr>
        <w:pStyle w:val="168"/>
      </w:pPr>
      <w:r>
        <w:rPr>
          <w:rFonts w:hint="eastAsia"/>
        </w:rPr>
        <w:t>围绕房地产低迷冲击是否已被缓冲，官方数据和机构观点给出的是互补而非相互替代的证据。财政部新闻发布会强调，2025</w:t>
      </w:r>
      <w:r>
        <w:t xml:space="preserve"> </w:t>
      </w:r>
      <w:r>
        <w:rPr>
          <w:rFonts w:hint="eastAsia"/>
        </w:rPr>
        <w:t>年地方一般公共预算本级收入</w:t>
      </w:r>
      <w:r>
        <w:t xml:space="preserve"> 12.21 </w:t>
      </w:r>
      <w:r>
        <w:rPr>
          <w:rFonts w:hint="eastAsia"/>
        </w:rPr>
        <w:t>万亿元、比</w:t>
      </w:r>
      <w:r>
        <w:t xml:space="preserve"> 2024 </w:t>
      </w:r>
      <w:r>
        <w:rPr>
          <w:rFonts w:hint="eastAsia"/>
        </w:rPr>
        <w:t>年增长</w:t>
      </w:r>
      <w:r>
        <w:t xml:space="preserve"> </w:t>
      </w:r>
      <w:r>
        <w:rPr>
          <w:rFonts w:hint="eastAsia"/>
        </w:rPr>
        <w:t>2.4%，31</w:t>
      </w:r>
      <w:r>
        <w:t xml:space="preserve"> </w:t>
      </w:r>
      <w:r>
        <w:rPr>
          <w:rFonts w:hint="eastAsia"/>
        </w:rPr>
        <w:t>个省级地区中</w:t>
      </w:r>
      <w:r>
        <w:t xml:space="preserve"> 27 </w:t>
      </w:r>
      <w:r>
        <w:rPr>
          <w:rFonts w:hint="eastAsia"/>
        </w:rPr>
        <w:t>个地区财政收入同比增长；同时，2025</w:t>
      </w:r>
      <w:r>
        <w:t xml:space="preserve"> </w:t>
      </w:r>
      <w:r>
        <w:rPr>
          <w:rFonts w:hint="eastAsia"/>
        </w:rPr>
        <w:t>年全国政府性基金预算收入</w:t>
      </w:r>
      <w:r>
        <w:t xml:space="preserve"> 5.77 </w:t>
      </w:r>
      <w:r>
        <w:rPr>
          <w:rFonts w:hint="eastAsia"/>
        </w:rPr>
        <w:t>万亿元、下降</w:t>
      </w:r>
      <w:r>
        <w:t xml:space="preserve"> </w:t>
      </w:r>
      <w:r>
        <w:rPr>
          <w:rFonts w:hint="eastAsia"/>
        </w:rPr>
        <w:t>7%，政府性基金预算支出增长</w:t>
      </w:r>
      <w:r>
        <w:t xml:space="preserve"> </w:t>
      </w:r>
      <w:r>
        <w:rPr>
          <w:rFonts w:hint="eastAsia"/>
        </w:rPr>
        <w:t>11.3%，主要来自债券资金加快使用[40]。官方口径说明一般公共预算执行并未出现全国性失速，但同一材料也显示政府性基金预算收入仍在下降、支出增长依赖债券资金。</w:t>
      </w:r>
    </w:p>
    <w:p w14:paraId="2346E90A">
      <w:pPr>
        <w:pStyle w:val="19"/>
      </w:pPr>
      <w:r>
        <w:rPr>
          <w:rFonts w:hint="eastAsia"/>
        </w:rPr>
        <w:t>机构研究进一步解释了缓冲机制和压力延续的两面。工银国际研究认为，在房地产深度调整和土地财政难以为继背景下，地方政府更多依赖中央转移支付和专项债融资，这些工具对冲地方财力缺口并支撑化债[59]。中诚信/人大CMF研究则提示，在大规模扩容及置换推进下，地方政府债券付息压力加大，财政走弱加剧地方流动性压力；其材料还提到</w:t>
      </w:r>
      <w:r>
        <w:t xml:space="preserve"> 2025 </w:t>
      </w:r>
      <w:r>
        <w:rPr>
          <w:rFonts w:hint="eastAsia"/>
        </w:rPr>
        <w:t>年地方政府债券付息增速或达</w:t>
      </w:r>
      <w:r>
        <w:t xml:space="preserve"> </w:t>
      </w:r>
      <w:r>
        <w:rPr>
          <w:rFonts w:hint="eastAsia"/>
        </w:rPr>
        <w:t>12.1%，城投有息债务、政府拖欠款和利息压力仍突出[60]。这些观点来自机构研究和转载渠道，适合说明市场对对冲与压力并存的分析视角，正式量级仍应以财政部和国务院预算报告的官方数据为基准。</w:t>
      </w:r>
    </w:p>
    <w:p w14:paraId="49241E13">
      <w:pPr>
        <w:pStyle w:val="19"/>
      </w:pPr>
      <w:r>
        <w:rPr>
          <w:rFonts w:hint="eastAsia"/>
        </w:rPr>
        <w:t>最安全的结论是分口径、有条件的。狭义税收端，公开五税显示</w:t>
      </w:r>
      <w:r>
        <w:t xml:space="preserve"> 2025 </w:t>
      </w:r>
      <w:r>
        <w:rPr>
          <w:rFonts w:hint="eastAsia"/>
        </w:rPr>
        <w:t>年较</w:t>
      </w:r>
      <w:r>
        <w:t xml:space="preserve"> 2021 </w:t>
      </w:r>
      <w:r>
        <w:rPr>
          <w:rFonts w:hint="eastAsia"/>
        </w:rPr>
        <w:t>年少约</w:t>
      </w:r>
      <w:r>
        <w:t xml:space="preserve"> 3067 </w:t>
      </w:r>
      <w:r>
        <w:rPr>
          <w:rFonts w:hint="eastAsia"/>
        </w:rPr>
        <w:t>亿元，2026</w:t>
      </w:r>
      <w:r>
        <w:t xml:space="preserve"> </w:t>
      </w:r>
      <w:r>
        <w:rPr>
          <w:rFonts w:hint="eastAsia"/>
        </w:rPr>
        <w:t>年上半年仍约相当于地方一般公共预算本级收入的</w:t>
      </w:r>
      <w:r>
        <w:t xml:space="preserve"> </w:t>
      </w:r>
      <w:r>
        <w:rPr>
          <w:rFonts w:hint="eastAsia"/>
        </w:rPr>
        <w:t>13.35%，交易和开发税种继续下降[6][5][10]。广义土地财政端，2025</w:t>
      </w:r>
      <w:r>
        <w:t xml:space="preserve"> </w:t>
      </w:r>
      <w:r>
        <w:rPr>
          <w:rFonts w:hint="eastAsia"/>
        </w:rPr>
        <w:t>年国有土地使用权出让收入较</w:t>
      </w:r>
      <w:r>
        <w:t xml:space="preserve"> 2024 </w:t>
      </w:r>
      <w:r>
        <w:rPr>
          <w:rFonts w:hint="eastAsia"/>
        </w:rPr>
        <w:t>年少约</w:t>
      </w:r>
      <w:r>
        <w:t xml:space="preserve"> 7155 </w:t>
      </w:r>
      <w:r>
        <w:rPr>
          <w:rFonts w:hint="eastAsia"/>
        </w:rPr>
        <w:t>亿元，2026</w:t>
      </w:r>
      <w:r>
        <w:t xml:space="preserve"> </w:t>
      </w:r>
      <w:r>
        <w:rPr>
          <w:rFonts w:hint="eastAsia"/>
        </w:rPr>
        <w:t>年上半年仍下降</w:t>
      </w:r>
      <w:r>
        <w:t xml:space="preserve"> </w:t>
      </w:r>
      <w:r>
        <w:rPr>
          <w:rFonts w:hint="eastAsia"/>
        </w:rPr>
        <w:t>31.5%，冲击规模和持续性均更突出[40][55]。含转移支付和融资安排的预算端，中央转移支付、调入资金、专项债和置换债显著提高短期承受能力，但专项债依法不是经常性收入，非税收入全国总量也没有在</w:t>
      </w:r>
      <w:r>
        <w:t xml:space="preserve"> 2025 </w:t>
      </w:r>
      <w:r>
        <w:rPr>
          <w:rFonts w:hint="eastAsia"/>
        </w:rPr>
        <w:t>年形成正向缓冲[34][56][58]。</w:t>
      </w:r>
    </w:p>
    <w:p w14:paraId="1C7632D3">
      <w:pPr>
        <w:pStyle w:val="19"/>
      </w:pPr>
      <w:r>
        <w:rPr>
          <w:rFonts w:hint="eastAsia"/>
        </w:rPr>
        <w:t>口径边界决定了最终答案不能被压缩为一个单一百分比。地方各级一般公共预算收入编制本身包括本级收入、调入资金、上级税收返还和转移支付、下级上解收入、预算稳定调节基金调入等项目；含中央转移支付的地方一般公共预算收入不等同于地方一般公共预算本级收入[2][4]。政府收入分类中“非税收入”包含政府性基金收入这一类别，但财政执行中的一般公共预算、政府性基金预算和转移支付分别属于不同账本；地方政府性基金预算本级收入也不等同于其中列示的国有土地使用权出让收入总额[1][5]。因此，房地产低迷对地方财政收入的影响程度应表述为：对狭义地方税收是数千亿元级、以交易和开发税种为主的拖累；对广义地方财力是更大的土地基金冲击；对含转移支付和债务融资后的年度预算，是被部分缓冲但未被证明完全抵消的压力。</w:t>
      </w:r>
    </w:p>
    <w:bookmarkEnd w:id="41"/>
    <w:bookmarkEnd w:id="51"/>
    <w:p w14:paraId="1334141A">
      <w:pPr>
        <w:pStyle w:val="3"/>
      </w:pPr>
      <w:bookmarkStart w:id="52" w:name="_Toc1704952290"/>
      <w:bookmarkStart w:id="53" w:name="参考文献"/>
      <w:r>
        <w:rPr>
          <w:rFonts w:hint="eastAsia"/>
        </w:rPr>
        <w:t>参考文献</w:t>
      </w:r>
      <w:bookmarkEnd w:id="52"/>
    </w:p>
    <w:p w14:paraId="2F92BA1F">
      <w:pPr>
        <w:pStyle w:val="167"/>
        <w:numPr>
          <w:ilvl w:val="0"/>
          <w:numId w:val="8"/>
        </w:numPr>
      </w:pPr>
      <w:r>
        <w:fldChar w:fldCharType="begin"/>
      </w:r>
      <w:r>
        <w:instrText xml:space="preserve"> HYPERLINK "https://www.mof.gov.cn/zhuantihuigu/zhongguocaizhengjibenqingkuang/caizhengshouru/200905/t20090505_139500.htm" \h </w:instrText>
      </w:r>
      <w:r>
        <w:fldChar w:fldCharType="separate"/>
      </w:r>
      <w:r>
        <w:rPr>
          <w:rFonts w:hint="eastAsia"/>
        </w:rPr>
        <w:t>政府收入分类</w:t>
      </w:r>
      <w:r>
        <w:rPr>
          <w:rFonts w:hint="eastAsia"/>
        </w:rPr>
        <w:fldChar w:fldCharType="end"/>
      </w:r>
    </w:p>
    <w:p w14:paraId="18AE85D3">
      <w:pPr>
        <w:pStyle w:val="167"/>
        <w:numPr>
          <w:ilvl w:val="0"/>
          <w:numId w:val="8"/>
        </w:numPr>
      </w:pPr>
      <w:r>
        <w:fldChar w:fldCharType="begin"/>
      </w:r>
      <w:r>
        <w:instrText xml:space="preserve"> HYPERLINK "https://www.gov.cn/zhengce/content/2020-08/20/content_5536179.htm" \h </w:instrText>
      </w:r>
      <w:r>
        <w:fldChar w:fldCharType="separate"/>
      </w:r>
      <w:r>
        <w:rPr>
          <w:rFonts w:hint="eastAsia"/>
        </w:rPr>
        <w:t>中华人民共和国预算法实施条例</w:t>
      </w:r>
      <w:r>
        <w:rPr>
          <w:rFonts w:hint="eastAsia"/>
        </w:rPr>
        <w:fldChar w:fldCharType="end"/>
      </w:r>
    </w:p>
    <w:p w14:paraId="5EAF9F4A">
      <w:pPr>
        <w:pStyle w:val="167"/>
        <w:numPr>
          <w:ilvl w:val="0"/>
          <w:numId w:val="8"/>
        </w:numPr>
      </w:pPr>
      <w:r>
        <w:fldChar w:fldCharType="begin"/>
      </w:r>
      <w:r>
        <w:instrText xml:space="preserve"> HYPERLINK "https://www.mof.gov.cn/gkml/caizhengwengao/caizhengbuwengao2007/caizhengbuwengao20075/200805/t20080519_26378.htm" \h </w:instrText>
      </w:r>
      <w:r>
        <w:fldChar w:fldCharType="separate"/>
      </w:r>
      <w:r>
        <w:rPr>
          <w:rFonts w:hint="eastAsia"/>
        </w:rPr>
        <w:t>财政部</w:t>
      </w:r>
      <w:r>
        <w:t xml:space="preserve"> </w:t>
      </w:r>
      <w:r>
        <w:rPr>
          <w:rFonts w:hint="eastAsia"/>
        </w:rPr>
        <w:t>国土资源部</w:t>
      </w:r>
      <w:r>
        <w:t xml:space="preserve"> </w:t>
      </w:r>
      <w:r>
        <w:rPr>
          <w:rFonts w:hint="eastAsia"/>
        </w:rPr>
        <w:t>中国人民银行关于印发《国有土地使用权出让收支管理办法》的通知</w:t>
      </w:r>
      <w:r>
        <w:rPr>
          <w:rFonts w:hint="eastAsia"/>
        </w:rPr>
        <w:fldChar w:fldCharType="end"/>
      </w:r>
    </w:p>
    <w:p w14:paraId="60412DC1">
      <w:pPr>
        <w:pStyle w:val="167"/>
        <w:numPr>
          <w:ilvl w:val="0"/>
          <w:numId w:val="8"/>
        </w:numPr>
      </w:pPr>
      <w:r>
        <w:fldChar w:fldCharType="begin"/>
      </w:r>
      <w:r>
        <w:instrText xml:space="preserve"> HYPERLINK "https://www.mof.gov.cn/zhengwuxinxi/caizhengxinwen/202603/t20260316_3985331.htm" \h </w:instrText>
      </w:r>
      <w:r>
        <w:fldChar w:fldCharType="separate"/>
      </w:r>
      <w:r>
        <w:rPr>
          <w:rFonts w:hint="eastAsia"/>
        </w:rPr>
        <w:t>关于2025年中央和地方预算执行情况与2026年中央和地方预算草案的报告</w:t>
      </w:r>
      <w:r>
        <w:rPr>
          <w:rFonts w:hint="eastAsia"/>
        </w:rPr>
        <w:fldChar w:fldCharType="end"/>
      </w:r>
    </w:p>
    <w:p w14:paraId="67354A47">
      <w:pPr>
        <w:pStyle w:val="167"/>
        <w:numPr>
          <w:ilvl w:val="0"/>
          <w:numId w:val="8"/>
        </w:numPr>
      </w:pPr>
      <w:r>
        <w:fldChar w:fldCharType="begin"/>
      </w:r>
      <w:r>
        <w:instrText xml:space="preserve"> HYPERLINK "https://gks.mof.gov.cn/tongjishuju/202601/t20260130_3982923.htm" \h </w:instrText>
      </w:r>
      <w:r>
        <w:fldChar w:fldCharType="separate"/>
      </w:r>
      <w:r>
        <w:rPr>
          <w:rFonts w:hint="eastAsia"/>
        </w:rPr>
        <w:t>2025年财政收支情况</w:t>
      </w:r>
      <w:r>
        <w:rPr>
          <w:rFonts w:hint="eastAsia"/>
        </w:rPr>
        <w:fldChar w:fldCharType="end"/>
      </w:r>
    </w:p>
    <w:p w14:paraId="6B384B60">
      <w:pPr>
        <w:pStyle w:val="167"/>
        <w:numPr>
          <w:ilvl w:val="0"/>
          <w:numId w:val="8"/>
        </w:numPr>
      </w:pPr>
      <w:r>
        <w:fldChar w:fldCharType="begin"/>
      </w:r>
      <w:r>
        <w:instrText xml:space="preserve"> HYPERLINK "https://gks.mof.gov.cn/tongjishuju/202201/t20220128_3785692.htm" \h </w:instrText>
      </w:r>
      <w:r>
        <w:fldChar w:fldCharType="separate"/>
      </w:r>
      <w:r>
        <w:rPr>
          <w:rFonts w:hint="eastAsia"/>
        </w:rPr>
        <w:t>2021年财政收支情况</w:t>
      </w:r>
      <w:r>
        <w:rPr>
          <w:rFonts w:hint="eastAsia"/>
        </w:rPr>
        <w:fldChar w:fldCharType="end"/>
      </w:r>
    </w:p>
    <w:p w14:paraId="5B9BE83B">
      <w:pPr>
        <w:pStyle w:val="167"/>
        <w:numPr>
          <w:ilvl w:val="0"/>
          <w:numId w:val="8"/>
        </w:numPr>
      </w:pPr>
      <w:r>
        <w:fldChar w:fldCharType="begin"/>
      </w:r>
      <w:r>
        <w:instrText xml:space="preserve"> HYPERLINK "https://gks.mof.gov.cn/tongjishuju/202301/t20230130_3864368.htm" \h </w:instrText>
      </w:r>
      <w:r>
        <w:fldChar w:fldCharType="separate"/>
      </w:r>
      <w:r>
        <w:rPr>
          <w:rFonts w:hint="eastAsia"/>
        </w:rPr>
        <w:t>2022年财政收支情况</w:t>
      </w:r>
      <w:r>
        <w:rPr>
          <w:rFonts w:hint="eastAsia"/>
        </w:rPr>
        <w:fldChar w:fldCharType="end"/>
      </w:r>
    </w:p>
    <w:p w14:paraId="6F67308A">
      <w:pPr>
        <w:pStyle w:val="167"/>
        <w:numPr>
          <w:ilvl w:val="0"/>
          <w:numId w:val="8"/>
        </w:numPr>
      </w:pPr>
      <w:r>
        <w:fldChar w:fldCharType="begin"/>
      </w:r>
      <w:r>
        <w:instrText xml:space="preserve"> HYPERLINK "https://gks.mof.gov.cn/tongjishuju/202402/t20240201_3928009.htm" \h </w:instrText>
      </w:r>
      <w:r>
        <w:fldChar w:fldCharType="separate"/>
      </w:r>
      <w:r>
        <w:rPr>
          <w:rFonts w:hint="eastAsia"/>
        </w:rPr>
        <w:t>2023年财政收支情况</w:t>
      </w:r>
      <w:r>
        <w:rPr>
          <w:rFonts w:hint="eastAsia"/>
        </w:rPr>
        <w:fldChar w:fldCharType="end"/>
      </w:r>
    </w:p>
    <w:p w14:paraId="4800A2FE">
      <w:pPr>
        <w:pStyle w:val="167"/>
        <w:numPr>
          <w:ilvl w:val="0"/>
          <w:numId w:val="8"/>
        </w:numPr>
      </w:pPr>
      <w:r>
        <w:fldChar w:fldCharType="begin"/>
      </w:r>
      <w:r>
        <w:instrText xml:space="preserve"> HYPERLINK "https://gks.mof.gov.cn/tongjishuju/202501/t20250124_3955083.htm" \h </w:instrText>
      </w:r>
      <w:r>
        <w:fldChar w:fldCharType="separate"/>
      </w:r>
      <w:r>
        <w:rPr>
          <w:rFonts w:hint="eastAsia"/>
        </w:rPr>
        <w:t>2024年财政收支情况</w:t>
      </w:r>
      <w:r>
        <w:rPr>
          <w:rFonts w:hint="eastAsia"/>
        </w:rPr>
        <w:fldChar w:fldCharType="end"/>
      </w:r>
    </w:p>
    <w:p w14:paraId="152071C8">
      <w:pPr>
        <w:pStyle w:val="167"/>
        <w:numPr>
          <w:ilvl w:val="0"/>
          <w:numId w:val="8"/>
        </w:numPr>
      </w:pPr>
      <w:r>
        <w:fldChar w:fldCharType="begin"/>
      </w:r>
      <w:r>
        <w:instrText xml:space="preserve"> HYPERLINK "https://gks.mof.gov.cn/tongjishuju/202607/t20260722_3993943.htm" \h </w:instrText>
      </w:r>
      <w:r>
        <w:fldChar w:fldCharType="separate"/>
      </w:r>
      <w:r>
        <w:rPr>
          <w:rFonts w:hint="eastAsia"/>
        </w:rPr>
        <w:t>2026年上半年财政收支情况</w:t>
      </w:r>
      <w:r>
        <w:rPr>
          <w:rFonts w:hint="eastAsia"/>
        </w:rPr>
        <w:fldChar w:fldCharType="end"/>
      </w:r>
    </w:p>
    <w:p w14:paraId="4F8BD925">
      <w:pPr>
        <w:pStyle w:val="167"/>
        <w:numPr>
          <w:ilvl w:val="0"/>
          <w:numId w:val="8"/>
        </w:numPr>
      </w:pPr>
      <w:r>
        <w:fldChar w:fldCharType="begin"/>
      </w:r>
      <w:r>
        <w:instrText xml:space="preserve"> HYPERLINK "https://www.stats.gov.cn/sj/ndsj/2022/html/C07-02.jpg" \h </w:instrText>
      </w:r>
      <w:r>
        <w:fldChar w:fldCharType="separate"/>
      </w:r>
      <w:r>
        <w:rPr>
          <w:rFonts w:hint="eastAsia"/>
        </w:rPr>
        <w:t>中国统计年鉴2022：7-2</w:t>
      </w:r>
      <w:r>
        <w:t xml:space="preserve"> </w:t>
      </w:r>
      <w:r>
        <w:rPr>
          <w:rFonts w:hint="eastAsia"/>
        </w:rPr>
        <w:t>中央和地方一般公共预算主要收入项目（2021年）</w:t>
      </w:r>
      <w:r>
        <w:rPr>
          <w:rFonts w:hint="eastAsia"/>
        </w:rPr>
        <w:fldChar w:fldCharType="end"/>
      </w:r>
    </w:p>
    <w:p w14:paraId="4CCF9008">
      <w:pPr>
        <w:pStyle w:val="167"/>
        <w:numPr>
          <w:ilvl w:val="0"/>
          <w:numId w:val="8"/>
        </w:numPr>
      </w:pPr>
      <w:r>
        <w:fldChar w:fldCharType="begin"/>
      </w:r>
      <w:r>
        <w:instrText xml:space="preserve"> HYPERLINK "https://www.stats.gov.cn/sj/ndsj/2023/html/C07-02.jpg" \h </w:instrText>
      </w:r>
      <w:r>
        <w:fldChar w:fldCharType="separate"/>
      </w:r>
      <w:r>
        <w:rPr>
          <w:rFonts w:hint="eastAsia"/>
        </w:rPr>
        <w:t>中国统计年鉴2023：7-2</w:t>
      </w:r>
      <w:r>
        <w:t xml:space="preserve"> </w:t>
      </w:r>
      <w:r>
        <w:rPr>
          <w:rFonts w:hint="eastAsia"/>
        </w:rPr>
        <w:t>中央和地方一般公共预算主要收入项目（2022年）</w:t>
      </w:r>
      <w:r>
        <w:rPr>
          <w:rFonts w:hint="eastAsia"/>
        </w:rPr>
        <w:fldChar w:fldCharType="end"/>
      </w:r>
    </w:p>
    <w:p w14:paraId="0C8DD095">
      <w:pPr>
        <w:pStyle w:val="167"/>
        <w:numPr>
          <w:ilvl w:val="0"/>
          <w:numId w:val="8"/>
        </w:numPr>
      </w:pPr>
      <w:r>
        <w:fldChar w:fldCharType="begin"/>
      </w:r>
      <w:r>
        <w:instrText xml:space="preserve"> HYPERLINK "https://www.stats.gov.cn/sj/ndsj/2024/html/C07-02.jpg" \h </w:instrText>
      </w:r>
      <w:r>
        <w:fldChar w:fldCharType="separate"/>
      </w:r>
      <w:r>
        <w:rPr>
          <w:rFonts w:hint="eastAsia"/>
        </w:rPr>
        <w:t>中国统计年鉴2024：7-2</w:t>
      </w:r>
      <w:r>
        <w:t xml:space="preserve"> </w:t>
      </w:r>
      <w:r>
        <w:rPr>
          <w:rFonts w:hint="eastAsia"/>
        </w:rPr>
        <w:t>中央和地方一般公共预算主要收入项目（2023年）</w:t>
      </w:r>
      <w:r>
        <w:rPr>
          <w:rFonts w:hint="eastAsia"/>
        </w:rPr>
        <w:fldChar w:fldCharType="end"/>
      </w:r>
    </w:p>
    <w:p w14:paraId="7B6C1FE0">
      <w:pPr>
        <w:pStyle w:val="167"/>
        <w:numPr>
          <w:ilvl w:val="0"/>
          <w:numId w:val="8"/>
        </w:numPr>
      </w:pPr>
      <w:r>
        <w:fldChar w:fldCharType="begin"/>
      </w:r>
      <w:r>
        <w:instrText xml:space="preserve"> HYPERLINK "https://www.stats.gov.cn/sj/ndsj/2025/html/C07-02.jpg" \h </w:instrText>
      </w:r>
      <w:r>
        <w:fldChar w:fldCharType="separate"/>
      </w:r>
      <w:r>
        <w:rPr>
          <w:rFonts w:hint="eastAsia"/>
        </w:rPr>
        <w:t>中国统计年鉴2025：7-2</w:t>
      </w:r>
      <w:r>
        <w:t xml:space="preserve"> </w:t>
      </w:r>
      <w:r>
        <w:rPr>
          <w:rFonts w:hint="eastAsia"/>
        </w:rPr>
        <w:t>中央和地方一般公共预算主要收入项目（2024年）</w:t>
      </w:r>
      <w:r>
        <w:rPr>
          <w:rFonts w:hint="eastAsia"/>
        </w:rPr>
        <w:fldChar w:fldCharType="end"/>
      </w:r>
    </w:p>
    <w:p w14:paraId="7CE630F3">
      <w:pPr>
        <w:pStyle w:val="167"/>
        <w:numPr>
          <w:ilvl w:val="0"/>
          <w:numId w:val="8"/>
        </w:numPr>
      </w:pPr>
      <w:r>
        <w:fldChar w:fldCharType="begin"/>
      </w:r>
      <w:r>
        <w:instrText xml:space="preserve"> HYPERLINK "https://www.gov.cn/zhengce/content/2008-03/28/content_2412.htm" \h </w:instrText>
      </w:r>
      <w:r>
        <w:fldChar w:fldCharType="separate"/>
      </w:r>
      <w:r>
        <w:rPr>
          <w:rFonts w:hint="eastAsia"/>
        </w:rPr>
        <w:t>国务院办公厅关于规范国有土地使用权出让收支管理的通知</w:t>
      </w:r>
      <w:r>
        <w:rPr>
          <w:rFonts w:hint="eastAsia"/>
        </w:rPr>
        <w:fldChar w:fldCharType="end"/>
      </w:r>
    </w:p>
    <w:p w14:paraId="6C9B5D1E">
      <w:pPr>
        <w:pStyle w:val="167"/>
        <w:numPr>
          <w:ilvl w:val="0"/>
          <w:numId w:val="8"/>
        </w:numPr>
      </w:pPr>
      <w:r>
        <w:fldChar w:fldCharType="begin"/>
      </w:r>
      <w:r>
        <w:instrText xml:space="preserve"> HYPERLINK "https://www.stats.gov.cn/sj/zxfb/202302/t20230203_1901340.html" \h </w:instrText>
      </w:r>
      <w:r>
        <w:fldChar w:fldCharType="separate"/>
      </w:r>
      <w:r>
        <w:rPr>
          <w:rFonts w:hint="eastAsia"/>
        </w:rPr>
        <w:t>2021年全国房地产开发投资增长4.4%</w:t>
      </w:r>
      <w:r>
        <w:t xml:space="preserve"> - </w:t>
      </w:r>
      <w:r>
        <w:rPr>
          <w:rFonts w:hint="eastAsia"/>
        </w:rPr>
        <w:t>国家统计局</w:t>
      </w:r>
      <w:r>
        <w:rPr>
          <w:rFonts w:hint="eastAsia"/>
        </w:rPr>
        <w:fldChar w:fldCharType="end"/>
      </w:r>
    </w:p>
    <w:p w14:paraId="4A22C843">
      <w:pPr>
        <w:pStyle w:val="167"/>
        <w:numPr>
          <w:ilvl w:val="0"/>
          <w:numId w:val="8"/>
        </w:numPr>
      </w:pPr>
      <w:r>
        <w:fldChar w:fldCharType="begin"/>
      </w:r>
      <w:r>
        <w:instrText xml:space="preserve"> HYPERLINK "https://www.stats.gov.cn/sj/zxfb/202501/t20250117_1958328.html" \h </w:instrText>
      </w:r>
      <w:r>
        <w:fldChar w:fldCharType="separate"/>
      </w:r>
      <w:r>
        <w:rPr>
          <w:rFonts w:hint="eastAsia"/>
        </w:rPr>
        <w:t>2024年全国房地产市场基本情况</w:t>
      </w:r>
      <w:r>
        <w:t xml:space="preserve"> - </w:t>
      </w:r>
      <w:r>
        <w:rPr>
          <w:rFonts w:hint="eastAsia"/>
        </w:rPr>
        <w:t>国家统计局</w:t>
      </w:r>
      <w:r>
        <w:rPr>
          <w:rFonts w:hint="eastAsia"/>
        </w:rPr>
        <w:fldChar w:fldCharType="end"/>
      </w:r>
    </w:p>
    <w:p w14:paraId="0445216A">
      <w:pPr>
        <w:pStyle w:val="167"/>
        <w:numPr>
          <w:ilvl w:val="0"/>
          <w:numId w:val="8"/>
        </w:numPr>
      </w:pPr>
      <w:r>
        <w:fldChar w:fldCharType="begin"/>
      </w:r>
      <w:r>
        <w:instrText xml:space="preserve"> HYPERLINK "https://www.stats.gov.cn/sj/zxfb/202601/t20260119_1962324.html" \h </w:instrText>
      </w:r>
      <w:r>
        <w:fldChar w:fldCharType="separate"/>
      </w:r>
      <w:r>
        <w:rPr>
          <w:rFonts w:hint="eastAsia"/>
        </w:rPr>
        <w:t>2025年全国房地产市场基本情况</w:t>
      </w:r>
      <w:r>
        <w:t xml:space="preserve"> - </w:t>
      </w:r>
      <w:r>
        <w:rPr>
          <w:rFonts w:hint="eastAsia"/>
        </w:rPr>
        <w:t>国家统计局</w:t>
      </w:r>
      <w:r>
        <w:rPr>
          <w:rFonts w:hint="eastAsia"/>
        </w:rPr>
        <w:fldChar w:fldCharType="end"/>
      </w:r>
    </w:p>
    <w:p w14:paraId="6B4A2FEE">
      <w:pPr>
        <w:pStyle w:val="167"/>
        <w:numPr>
          <w:ilvl w:val="0"/>
          <w:numId w:val="8"/>
        </w:numPr>
      </w:pPr>
      <w:r>
        <w:fldChar w:fldCharType="begin"/>
      </w:r>
      <w:r>
        <w:instrText xml:space="preserve"> HYPERLINK "https://www.stats.gov.cn/sj/zxfb/202607/t20260715_1964126.html" \h </w:instrText>
      </w:r>
      <w:r>
        <w:fldChar w:fldCharType="separate"/>
      </w:r>
      <w:r>
        <w:rPr>
          <w:rFonts w:hint="eastAsia"/>
        </w:rPr>
        <w:t>2026年1—6月份全国房地产市场基本情况</w:t>
      </w:r>
      <w:r>
        <w:t xml:space="preserve"> - </w:t>
      </w:r>
      <w:r>
        <w:rPr>
          <w:rFonts w:hint="eastAsia"/>
        </w:rPr>
        <w:t>国家统计局</w:t>
      </w:r>
      <w:r>
        <w:rPr>
          <w:rFonts w:hint="eastAsia"/>
        </w:rPr>
        <w:fldChar w:fldCharType="end"/>
      </w:r>
    </w:p>
    <w:p w14:paraId="3E3E4A1E">
      <w:pPr>
        <w:pStyle w:val="167"/>
        <w:numPr>
          <w:ilvl w:val="0"/>
          <w:numId w:val="8"/>
        </w:numPr>
      </w:pPr>
      <w:r>
        <w:fldChar w:fldCharType="begin"/>
      </w:r>
      <w:r>
        <w:instrText xml:space="preserve"> HYPERLINK "https://fgk.chinatax.gov.cn/zcfgk/c100009/c5193053/content.html" \h </w:instrText>
      </w:r>
      <w:r>
        <w:fldChar w:fldCharType="separate"/>
      </w:r>
      <w:r>
        <w:rPr>
          <w:rFonts w:hint="eastAsia"/>
        </w:rPr>
        <w:t>中华人民共和国契税法</w:t>
      </w:r>
      <w:r>
        <w:rPr>
          <w:rFonts w:hint="eastAsia"/>
        </w:rPr>
        <w:fldChar w:fldCharType="end"/>
      </w:r>
    </w:p>
    <w:p w14:paraId="18114F45">
      <w:pPr>
        <w:pStyle w:val="167"/>
        <w:numPr>
          <w:ilvl w:val="0"/>
          <w:numId w:val="8"/>
        </w:numPr>
      </w:pPr>
      <w:r>
        <w:fldChar w:fldCharType="begin"/>
      </w:r>
      <w:r>
        <w:instrText xml:space="preserve"> HYPERLINK "https://12366.chinatax.gov.cn/bzds/089/089-5-1.html" \h </w:instrText>
      </w:r>
      <w:r>
        <w:fldChar w:fldCharType="separate"/>
      </w:r>
      <w:r>
        <w:rPr>
          <w:rFonts w:hint="eastAsia"/>
        </w:rPr>
        <w:t>《中华人民共和国土地增值税暂行条例》</w:t>
      </w:r>
      <w:r>
        <w:rPr>
          <w:rFonts w:hint="eastAsia"/>
        </w:rPr>
        <w:fldChar w:fldCharType="end"/>
      </w:r>
    </w:p>
    <w:p w14:paraId="0734F124">
      <w:pPr>
        <w:pStyle w:val="167"/>
        <w:numPr>
          <w:ilvl w:val="0"/>
          <w:numId w:val="8"/>
        </w:numPr>
      </w:pPr>
      <w:r>
        <w:fldChar w:fldCharType="begin"/>
      </w:r>
      <w:r>
        <w:instrText xml:space="preserve"> HYPERLINK "https://fgk.chinatax.gov.cn/zcfgk/c100010/c5196866/content.html" \h </w:instrText>
      </w:r>
      <w:r>
        <w:fldChar w:fldCharType="separate"/>
      </w:r>
      <w:r>
        <w:rPr>
          <w:rFonts w:hint="eastAsia"/>
        </w:rPr>
        <w:t>房产税暂行条例</w:t>
      </w:r>
      <w:r>
        <w:rPr>
          <w:rFonts w:hint="eastAsia"/>
        </w:rPr>
        <w:fldChar w:fldCharType="end"/>
      </w:r>
    </w:p>
    <w:p w14:paraId="665C8484">
      <w:pPr>
        <w:pStyle w:val="167"/>
        <w:numPr>
          <w:ilvl w:val="0"/>
          <w:numId w:val="8"/>
        </w:numPr>
      </w:pPr>
      <w:r>
        <w:fldChar w:fldCharType="begin"/>
      </w:r>
      <w:r>
        <w:instrText xml:space="preserve"> HYPERLINK "https://www.gov.cn/gongbao/content/2011/content_1860823.htm" \h </w:instrText>
      </w:r>
      <w:r>
        <w:fldChar w:fldCharType="separate"/>
      </w:r>
      <w:r>
        <w:rPr>
          <w:rFonts w:hint="eastAsia"/>
        </w:rPr>
        <w:t>城镇土地使用税暂行条例__增刊2011·1国务院公报_中国政府网</w:t>
      </w:r>
      <w:r>
        <w:rPr>
          <w:rFonts w:hint="eastAsia"/>
        </w:rPr>
        <w:fldChar w:fldCharType="end"/>
      </w:r>
    </w:p>
    <w:p w14:paraId="35AF3419">
      <w:pPr>
        <w:pStyle w:val="167"/>
        <w:numPr>
          <w:ilvl w:val="0"/>
          <w:numId w:val="8"/>
        </w:numPr>
      </w:pPr>
      <w:r>
        <w:fldChar w:fldCharType="begin"/>
      </w:r>
      <w:r>
        <w:instrText xml:space="preserve"> HYPERLINK "https://12366.chinatax.gov.cn/bzds/098/098-5-1.html" \h </w:instrText>
      </w:r>
      <w:r>
        <w:fldChar w:fldCharType="separate"/>
      </w:r>
      <w:r>
        <w:rPr>
          <w:rFonts w:hint="eastAsia"/>
        </w:rPr>
        <w:t>《中华人民共和国耕地占用税法》</w:t>
      </w:r>
      <w:r>
        <w:rPr>
          <w:rFonts w:hint="eastAsia"/>
        </w:rPr>
        <w:fldChar w:fldCharType="end"/>
      </w:r>
    </w:p>
    <w:p w14:paraId="2CC3C533">
      <w:pPr>
        <w:pStyle w:val="167"/>
        <w:numPr>
          <w:ilvl w:val="0"/>
          <w:numId w:val="8"/>
        </w:numPr>
      </w:pPr>
      <w:r>
        <w:fldChar w:fldCharType="begin"/>
      </w:r>
      <w:r>
        <w:instrText xml:space="preserve"> HYPERLINK "http://fgk.mof.gov.cn/ui/src/views/law_html/79254.html" \h </w:instrText>
      </w:r>
      <w:r>
        <w:fldChar w:fldCharType="separate"/>
      </w:r>
      <w:r>
        <w:rPr>
          <w:rFonts w:hint="eastAsia"/>
        </w:rPr>
        <w:t>关于实行分税制财政管理体制的决定（国发〔1993〕85号）-</w:t>
      </w:r>
      <w:r>
        <w:t xml:space="preserve"> </w:t>
      </w:r>
      <w:r>
        <w:rPr>
          <w:rFonts w:hint="eastAsia"/>
        </w:rPr>
        <w:t>财政部法规库</w:t>
      </w:r>
      <w:r>
        <w:rPr>
          <w:rFonts w:hint="eastAsia"/>
        </w:rPr>
        <w:fldChar w:fldCharType="end"/>
      </w:r>
    </w:p>
    <w:p w14:paraId="22EBFD8C">
      <w:pPr>
        <w:pStyle w:val="167"/>
        <w:numPr>
          <w:ilvl w:val="0"/>
          <w:numId w:val="8"/>
        </w:numPr>
      </w:pPr>
      <w:r>
        <w:fldChar w:fldCharType="begin"/>
      </w:r>
      <w:r>
        <w:instrText xml:space="preserve"> HYPERLINK "https://www.gov.cn/zhengce/content/2016-04/30/content_5069490.htm" \h </w:instrText>
      </w:r>
      <w:r>
        <w:fldChar w:fldCharType="separate"/>
      </w:r>
      <w:r>
        <w:rPr>
          <w:rFonts w:hint="eastAsia"/>
        </w:rPr>
        <w:t>国务院关于印发全面推开营改增试点后调整中央与地方增值税收入划分过渡方案的通知</w:t>
      </w:r>
      <w:r>
        <w:rPr>
          <w:rFonts w:hint="eastAsia"/>
        </w:rPr>
        <w:fldChar w:fldCharType="end"/>
      </w:r>
    </w:p>
    <w:p w14:paraId="4EC328FE">
      <w:pPr>
        <w:pStyle w:val="167"/>
        <w:numPr>
          <w:ilvl w:val="0"/>
          <w:numId w:val="8"/>
        </w:numPr>
      </w:pPr>
      <w:r>
        <w:fldChar w:fldCharType="begin"/>
      </w:r>
      <w:r>
        <w:instrText xml:space="preserve"> HYPERLINK "https://www.gov.cn/gongbao/content/2002/content_61880.htm" \h </w:instrText>
      </w:r>
      <w:r>
        <w:fldChar w:fldCharType="separate"/>
      </w:r>
      <w:r>
        <w:rPr>
          <w:rFonts w:hint="eastAsia"/>
        </w:rPr>
        <w:t>国务院关于印发所得税收入分享改革方案的通知</w:t>
      </w:r>
      <w:r>
        <w:t xml:space="preserve"> </w:t>
      </w:r>
      <w:r>
        <w:rPr>
          <w:rFonts w:hint="eastAsia"/>
        </w:rPr>
        <w:t>所得税收入分享改革方案</w:t>
      </w:r>
      <w:r>
        <w:rPr>
          <w:rFonts w:hint="eastAsia"/>
        </w:rPr>
        <w:fldChar w:fldCharType="end"/>
      </w:r>
    </w:p>
    <w:p w14:paraId="03481293">
      <w:pPr>
        <w:pStyle w:val="167"/>
        <w:numPr>
          <w:ilvl w:val="0"/>
          <w:numId w:val="8"/>
        </w:numPr>
      </w:pPr>
      <w:r>
        <w:fldChar w:fldCharType="begin"/>
      </w:r>
      <w:r>
        <w:instrText xml:space="preserve"> HYPERLINK "https://www.gov.cn/zhengce/content/2008-03/28/content_2006.htm" \h </w:instrText>
      </w:r>
      <w:r>
        <w:fldChar w:fldCharType="separate"/>
      </w:r>
      <w:r>
        <w:rPr>
          <w:rFonts w:hint="eastAsia"/>
        </w:rPr>
        <w:t>国务院关于明确中央与地方所得税收入分享比例的通知</w:t>
      </w:r>
      <w:r>
        <w:rPr>
          <w:rFonts w:hint="eastAsia"/>
        </w:rPr>
        <w:fldChar w:fldCharType="end"/>
      </w:r>
    </w:p>
    <w:p w14:paraId="739E2FF6">
      <w:pPr>
        <w:pStyle w:val="167"/>
        <w:numPr>
          <w:ilvl w:val="0"/>
          <w:numId w:val="8"/>
        </w:numPr>
      </w:pPr>
      <w:r>
        <w:fldChar w:fldCharType="begin"/>
      </w:r>
      <w:r>
        <w:instrText xml:space="preserve"> HYPERLINK "https://www.gov.cn/zhengce/zhengceku/202411/content_6986750.htm" \h </w:instrText>
      </w:r>
      <w:r>
        <w:fldChar w:fldCharType="separate"/>
      </w:r>
      <w:r>
        <w:rPr>
          <w:rFonts w:hint="eastAsia"/>
        </w:rPr>
        <w:t>关于促进房地产市场平稳健康发展有关税收政策的公告</w:t>
      </w:r>
      <w:r>
        <w:rPr>
          <w:rFonts w:hint="eastAsia"/>
        </w:rPr>
        <w:fldChar w:fldCharType="end"/>
      </w:r>
    </w:p>
    <w:p w14:paraId="0893987E">
      <w:pPr>
        <w:pStyle w:val="167"/>
        <w:numPr>
          <w:ilvl w:val="0"/>
          <w:numId w:val="8"/>
        </w:numPr>
      </w:pPr>
      <w:r>
        <w:fldChar w:fldCharType="begin"/>
      </w:r>
      <w:r>
        <w:instrText xml:space="preserve"> HYPERLINK "https://www.gov.cn/zhengce/zhengceku/202411/content_6986756.htm" \h </w:instrText>
      </w:r>
      <w:r>
        <w:fldChar w:fldCharType="separate"/>
      </w:r>
      <w:r>
        <w:rPr>
          <w:rFonts w:hint="eastAsia"/>
        </w:rPr>
        <w:t>国家税务总局关于降低土地增值税预征率下限的公告</w:t>
      </w:r>
      <w:r>
        <w:rPr>
          <w:rFonts w:hint="eastAsia"/>
        </w:rPr>
        <w:fldChar w:fldCharType="end"/>
      </w:r>
    </w:p>
    <w:p w14:paraId="52BE9EB7">
      <w:pPr>
        <w:pStyle w:val="167"/>
        <w:numPr>
          <w:ilvl w:val="0"/>
          <w:numId w:val="8"/>
        </w:numPr>
      </w:pPr>
      <w:r>
        <w:fldChar w:fldCharType="begin"/>
      </w:r>
      <w:r>
        <w:instrText xml:space="preserve"> HYPERLINK "https://www.yicai.com/news/101921100.html" \h </w:instrText>
      </w:r>
      <w:r>
        <w:fldChar w:fldCharType="separate"/>
      </w:r>
      <w:r>
        <w:rPr>
          <w:rFonts w:hint="eastAsia"/>
        </w:rPr>
        <w:t>房地产业调整，对地方财政收入影响有多大|财税益侃</w:t>
      </w:r>
      <w:r>
        <w:rPr>
          <w:rFonts w:hint="eastAsia"/>
        </w:rPr>
        <w:fldChar w:fldCharType="end"/>
      </w:r>
    </w:p>
    <w:p w14:paraId="38FDC38D">
      <w:pPr>
        <w:pStyle w:val="167"/>
        <w:numPr>
          <w:ilvl w:val="0"/>
          <w:numId w:val="8"/>
        </w:numPr>
      </w:pPr>
      <w:r>
        <w:fldChar w:fldCharType="begin"/>
      </w:r>
      <w:r>
        <w:instrText xml:space="preserve"> HYPERLINK "https://www.mof.gov.cn/zhuantihuigu/czjbqk2011/czsr2011/201208/t20120831_679821.htm" \h </w:instrText>
      </w:r>
      <w:r>
        <w:fldChar w:fldCharType="separate"/>
      </w:r>
      <w:r>
        <w:rPr>
          <w:rFonts w:hint="eastAsia"/>
        </w:rPr>
        <w:t>全国土地出让收入管理及使用情况</w:t>
      </w:r>
      <w:r>
        <w:rPr>
          <w:rFonts w:hint="eastAsia"/>
        </w:rPr>
        <w:fldChar w:fldCharType="end"/>
      </w:r>
    </w:p>
    <w:p w14:paraId="61C6C5AA">
      <w:pPr>
        <w:pStyle w:val="167"/>
        <w:numPr>
          <w:ilvl w:val="0"/>
          <w:numId w:val="8"/>
        </w:numPr>
      </w:pPr>
      <w:r>
        <w:fldChar w:fldCharType="begin"/>
      </w:r>
      <w:r>
        <w:instrText xml:space="preserve"> HYPERLINK "https://www.gov.cn/xinwen/2023-03/01/content_5743987.htm" \h </w:instrText>
      </w:r>
      <w:r>
        <w:fldChar w:fldCharType="separate"/>
      </w:r>
      <w:r>
        <w:rPr>
          <w:rFonts w:hint="eastAsia"/>
        </w:rPr>
        <w:t>国务院新闻办就财政贯彻落实党的二十大重大决策部署有关情况举行发布会</w:t>
      </w:r>
      <w:r>
        <w:rPr>
          <w:rFonts w:hint="eastAsia"/>
        </w:rPr>
        <w:fldChar w:fldCharType="end"/>
      </w:r>
    </w:p>
    <w:p w14:paraId="0A1BAF26">
      <w:pPr>
        <w:pStyle w:val="167"/>
        <w:numPr>
          <w:ilvl w:val="0"/>
          <w:numId w:val="8"/>
        </w:numPr>
      </w:pPr>
      <w:r>
        <w:fldChar w:fldCharType="begin"/>
      </w:r>
      <w:r>
        <w:instrText xml:space="preserve"> HYPERLINK "https://www.gov.cn/yaowen/liebiao/202603/content_7062689.htm" \h </w:instrText>
      </w:r>
      <w:r>
        <w:fldChar w:fldCharType="separate"/>
      </w:r>
      <w:r>
        <w:rPr>
          <w:rFonts w:hint="eastAsia"/>
        </w:rPr>
        <w:t>关于2025年中央和地方预算执行情况与2026年中央和地方预算草案的报告</w:t>
      </w:r>
      <w:r>
        <w:rPr>
          <w:rFonts w:hint="eastAsia"/>
        </w:rPr>
        <w:fldChar w:fldCharType="end"/>
      </w:r>
    </w:p>
    <w:p w14:paraId="18320869">
      <w:pPr>
        <w:pStyle w:val="167"/>
        <w:numPr>
          <w:ilvl w:val="0"/>
          <w:numId w:val="8"/>
        </w:numPr>
      </w:pPr>
      <w:r>
        <w:fldChar w:fldCharType="begin"/>
      </w:r>
      <w:r>
        <w:instrText xml:space="preserve"> HYPERLINK "https://finance.sina.cn/2022-03-24/detail-imcwiwss7768320.d.html" \h </w:instrText>
      </w:r>
      <w:r>
        <w:fldChar w:fldCharType="separate"/>
      </w:r>
      <w:r>
        <w:rPr>
          <w:rFonts w:hint="eastAsia"/>
        </w:rPr>
        <w:t>广发固收</w:t>
      </w:r>
      <w:r>
        <w:t xml:space="preserve"> | </w:t>
      </w:r>
      <w:r>
        <w:rPr>
          <w:rFonts w:hint="eastAsia"/>
        </w:rPr>
        <w:t>城投解惑系列之二十九：解密土地出让金与土地财政收入关系</w:t>
      </w:r>
      <w:r>
        <w:rPr>
          <w:rFonts w:hint="eastAsia"/>
        </w:rPr>
        <w:fldChar w:fldCharType="end"/>
      </w:r>
    </w:p>
    <w:p w14:paraId="201B9CCA">
      <w:pPr>
        <w:pStyle w:val="167"/>
        <w:numPr>
          <w:ilvl w:val="0"/>
          <w:numId w:val="8"/>
        </w:numPr>
      </w:pPr>
      <w:r>
        <w:fldChar w:fldCharType="begin"/>
      </w:r>
      <w:r>
        <w:instrText xml:space="preserve"> HYPERLINK "https://data.eastmoney.com/report/zw_industry.jshtml?infocode=AP202508121726030664" \h </w:instrText>
      </w:r>
      <w:r>
        <w:fldChar w:fldCharType="separate"/>
      </w:r>
      <w:r>
        <w:rPr>
          <w:rFonts w:hint="eastAsia"/>
        </w:rPr>
        <w:t>2025年7月中国房地产土地市场数据点评：规划建面波动下降，溢价率水平显著提高</w:t>
      </w:r>
      <w:r>
        <w:rPr>
          <w:rFonts w:hint="eastAsia"/>
        </w:rPr>
        <w:fldChar w:fldCharType="end"/>
      </w:r>
    </w:p>
    <w:p w14:paraId="0D652351">
      <w:pPr>
        <w:pStyle w:val="167"/>
        <w:numPr>
          <w:ilvl w:val="0"/>
          <w:numId w:val="8"/>
        </w:numPr>
      </w:pPr>
      <w:r>
        <w:fldChar w:fldCharType="begin"/>
      </w:r>
      <w:r>
        <w:instrText xml:space="preserve"> HYPERLINK "https://data.eastmoney.com/report/zw_industry.jshtml?infocode=AP202512291810438636" \h </w:instrText>
      </w:r>
      <w:r>
        <w:fldChar w:fldCharType="separate"/>
      </w:r>
      <w:r>
        <w:rPr>
          <w:rFonts w:hint="eastAsia"/>
        </w:rPr>
        <w:t>2025全国土地市场年报-研究报告正文</w:t>
      </w:r>
      <w:r>
        <w:rPr>
          <w:rFonts w:hint="eastAsia"/>
        </w:rPr>
        <w:fldChar w:fldCharType="end"/>
      </w:r>
    </w:p>
    <w:p w14:paraId="45FFBFB9">
      <w:pPr>
        <w:pStyle w:val="167"/>
        <w:numPr>
          <w:ilvl w:val="0"/>
          <w:numId w:val="8"/>
        </w:numPr>
      </w:pPr>
      <w:r>
        <w:fldChar w:fldCharType="begin"/>
      </w:r>
      <w:r>
        <w:instrText xml:space="preserve"> HYPERLINK "https://www.zhitongcaijing.com/content/detail/1375044.html" \h </w:instrText>
      </w:r>
      <w:r>
        <w:fldChar w:fldCharType="separate"/>
      </w:r>
      <w:r>
        <w:rPr>
          <w:rFonts w:hint="eastAsia"/>
        </w:rPr>
        <w:t>克而瑞地产研究：11月土地成交规模同比延续缩量</w:t>
      </w:r>
      <w:r>
        <w:t xml:space="preserve"> </w:t>
      </w:r>
      <w:r>
        <w:rPr>
          <w:rFonts w:hint="eastAsia"/>
        </w:rPr>
        <w:t>平均溢价率迎来回升</w:t>
      </w:r>
      <w:r>
        <w:rPr>
          <w:rFonts w:hint="eastAsia"/>
        </w:rPr>
        <w:fldChar w:fldCharType="end"/>
      </w:r>
    </w:p>
    <w:p w14:paraId="619618C2">
      <w:pPr>
        <w:pStyle w:val="167"/>
        <w:numPr>
          <w:ilvl w:val="0"/>
          <w:numId w:val="8"/>
        </w:numPr>
      </w:pPr>
      <w:r>
        <w:fldChar w:fldCharType="begin"/>
      </w:r>
      <w:r>
        <w:instrText xml:space="preserve"> HYPERLINK "https://m.yicai.com/news/103033893.html" \h </w:instrText>
      </w:r>
      <w:r>
        <w:fldChar w:fldCharType="separate"/>
      </w:r>
      <w:r>
        <w:rPr>
          <w:rFonts w:hint="eastAsia"/>
        </w:rPr>
        <w:t>地方卖地收入比四年前少了约4.6万亿，今年多省预计增长</w:t>
      </w:r>
      <w:r>
        <w:rPr>
          <w:rFonts w:hint="eastAsia"/>
        </w:rPr>
        <w:fldChar w:fldCharType="end"/>
      </w:r>
    </w:p>
    <w:p w14:paraId="16B75FA2">
      <w:pPr>
        <w:pStyle w:val="167"/>
        <w:numPr>
          <w:ilvl w:val="0"/>
          <w:numId w:val="8"/>
        </w:numPr>
      </w:pPr>
      <w:r>
        <w:fldChar w:fldCharType="begin"/>
      </w:r>
      <w:r>
        <w:instrText xml:space="preserve"> HYPERLINK "https://www.mof.gov.cn/zhengwuxinxi/caizhengxinwen/202601/t20260130_3983013.htm" \h </w:instrText>
      </w:r>
      <w:r>
        <w:fldChar w:fldCharType="separate"/>
      </w:r>
      <w:r>
        <w:rPr>
          <w:rFonts w:hint="eastAsia"/>
        </w:rPr>
        <w:t>2025年度财政收支情况新闻发布会文字实录</w:t>
      </w:r>
      <w:r>
        <w:rPr>
          <w:rFonts w:hint="eastAsia"/>
        </w:rPr>
        <w:fldChar w:fldCharType="end"/>
      </w:r>
    </w:p>
    <w:p w14:paraId="24153949">
      <w:pPr>
        <w:pStyle w:val="167"/>
        <w:numPr>
          <w:ilvl w:val="0"/>
          <w:numId w:val="8"/>
        </w:numPr>
      </w:pPr>
      <w:r>
        <w:fldChar w:fldCharType="begin"/>
      </w:r>
      <w:r>
        <w:instrText xml:space="preserve"> HYPERLINK "https://www.sohu.com/a/876881830_480400" \h </w:instrText>
      </w:r>
      <w:r>
        <w:fldChar w:fldCharType="separate"/>
      </w:r>
      <w:r>
        <w:rPr>
          <w:rFonts w:hint="eastAsia"/>
        </w:rPr>
        <w:t>土地财政何去何从？</w:t>
      </w:r>
      <w:r>
        <w:rPr>
          <w:rFonts w:hint="eastAsia"/>
        </w:rPr>
        <w:fldChar w:fldCharType="end"/>
      </w:r>
    </w:p>
    <w:p w14:paraId="7DEAB964">
      <w:pPr>
        <w:pStyle w:val="167"/>
        <w:numPr>
          <w:ilvl w:val="0"/>
          <w:numId w:val="8"/>
        </w:numPr>
      </w:pPr>
      <w:r>
        <w:fldChar w:fldCharType="begin"/>
      </w:r>
      <w:r>
        <w:instrText xml:space="preserve"> HYPERLINK "https://czt.zj.gov.cn/cms_files/jcms1/web1791/site/attach/0/3654009b550243329c482696e47c6ce9.pdf" \h </w:instrText>
      </w:r>
      <w:r>
        <w:fldChar w:fldCharType="separate"/>
      </w:r>
      <w:r>
        <w:rPr>
          <w:rFonts w:hint="eastAsia"/>
        </w:rPr>
        <w:t>关于2024年全省和省级预算执行情况及2025年全省和省级预算草案的报告</w:t>
      </w:r>
      <w:r>
        <w:rPr>
          <w:rFonts w:hint="eastAsia"/>
        </w:rPr>
        <w:fldChar w:fldCharType="end"/>
      </w:r>
    </w:p>
    <w:p w14:paraId="7C941449">
      <w:pPr>
        <w:pStyle w:val="167"/>
        <w:numPr>
          <w:ilvl w:val="0"/>
          <w:numId w:val="8"/>
        </w:numPr>
      </w:pPr>
      <w:r>
        <w:fldChar w:fldCharType="begin"/>
      </w:r>
      <w:r>
        <w:instrText xml:space="preserve"> HYPERLINK "https://czt.sc.gov.cn/scczt/c102371/2025/2/12/be2e20b813fb436280c21c4d737a5c11.shtml" \h </w:instrText>
      </w:r>
      <w:r>
        <w:fldChar w:fldCharType="separate"/>
      </w:r>
      <w:r>
        <w:rPr>
          <w:rFonts w:hint="eastAsia"/>
        </w:rPr>
        <w:t>四川省2024年预算执行情况和2025年预算草案的报告及相关表格</w:t>
      </w:r>
      <w:r>
        <w:rPr>
          <w:rFonts w:hint="eastAsia"/>
        </w:rPr>
        <w:fldChar w:fldCharType="end"/>
      </w:r>
    </w:p>
    <w:p w14:paraId="33645728">
      <w:pPr>
        <w:pStyle w:val="167"/>
        <w:numPr>
          <w:ilvl w:val="0"/>
          <w:numId w:val="8"/>
        </w:numPr>
      </w:pPr>
      <w:r>
        <w:fldChar w:fldCharType="begin"/>
      </w:r>
      <w:r>
        <w:instrText xml:space="preserve"> HYPERLINK "https://czt.guizhou.gov.cn/zwgk/zfxxgk/fdzdgknr/zcfg/wjca/202502/t20250210_86789389.html" \h </w:instrText>
      </w:r>
      <w:r>
        <w:fldChar w:fldCharType="separate"/>
      </w:r>
      <w:r>
        <w:rPr>
          <w:rFonts w:hint="eastAsia"/>
        </w:rPr>
        <w:t>贵州省2024年预算执行情况和2025年预算草案的报告</w:t>
      </w:r>
      <w:r>
        <w:rPr>
          <w:rFonts w:hint="eastAsia"/>
        </w:rPr>
        <w:fldChar w:fldCharType="end"/>
      </w:r>
    </w:p>
    <w:p w14:paraId="7D45C348">
      <w:pPr>
        <w:pStyle w:val="167"/>
        <w:numPr>
          <w:ilvl w:val="0"/>
          <w:numId w:val="8"/>
        </w:numPr>
      </w:pPr>
      <w:r>
        <w:fldChar w:fldCharType="begin"/>
      </w:r>
      <w:r>
        <w:instrText xml:space="preserve"> HYPERLINK "https://czj.sh.gov.cn/zys_8908/czsj_9054/zfyjs/yjsbg_9056/20250124/xxfboswf0000003119.html" \h </w:instrText>
      </w:r>
      <w:r>
        <w:fldChar w:fldCharType="separate"/>
      </w:r>
      <w:r>
        <w:rPr>
          <w:rFonts w:hint="eastAsia"/>
        </w:rPr>
        <w:t>关于上海市2024年预算执行情况和2025年预算草案的报告</w:t>
      </w:r>
      <w:r>
        <w:rPr>
          <w:rFonts w:hint="eastAsia"/>
        </w:rPr>
        <w:fldChar w:fldCharType="end"/>
      </w:r>
    </w:p>
    <w:p w14:paraId="48DE0E25">
      <w:pPr>
        <w:pStyle w:val="167"/>
        <w:numPr>
          <w:ilvl w:val="0"/>
          <w:numId w:val="8"/>
        </w:numPr>
      </w:pPr>
      <w:r>
        <w:fldChar w:fldCharType="begin"/>
      </w:r>
      <w:r>
        <w:instrText xml:space="preserve"> HYPERLINK "https://www.jsrd.gov.cn/hyzl/srdh/d_12427/dhwj/202501/t20250120_1247254.shtml" \h </w:instrText>
      </w:r>
      <w:r>
        <w:fldChar w:fldCharType="separate"/>
      </w:r>
      <w:r>
        <w:rPr>
          <w:rFonts w:hint="eastAsia"/>
        </w:rPr>
        <w:t>关于江苏省2024年预算执行情况与2025年预算草案的审查结果报告</w:t>
      </w:r>
      <w:r>
        <w:rPr>
          <w:rFonts w:hint="eastAsia"/>
        </w:rPr>
        <w:fldChar w:fldCharType="end"/>
      </w:r>
    </w:p>
    <w:p w14:paraId="7000F2D7">
      <w:pPr>
        <w:pStyle w:val="167"/>
        <w:numPr>
          <w:ilvl w:val="0"/>
          <w:numId w:val="8"/>
        </w:numPr>
      </w:pPr>
      <w:r>
        <w:fldChar w:fldCharType="begin"/>
      </w:r>
      <w:r>
        <w:instrText xml:space="preserve"> HYPERLINK "https://szfb.sz.gov.cn/zwgk/zjxx/zfyjs/content/post_12075786.html" \h </w:instrText>
      </w:r>
      <w:r>
        <w:fldChar w:fldCharType="separate"/>
      </w:r>
      <w:r>
        <w:rPr>
          <w:rFonts w:hint="eastAsia"/>
        </w:rPr>
        <w:t>关于深圳市2024年预算执行情况和2025年预算草案的报告</w:t>
      </w:r>
      <w:r>
        <w:rPr>
          <w:rFonts w:hint="eastAsia"/>
        </w:rPr>
        <w:fldChar w:fldCharType="end"/>
      </w:r>
    </w:p>
    <w:p w14:paraId="5704A8A2">
      <w:pPr>
        <w:pStyle w:val="167"/>
        <w:numPr>
          <w:ilvl w:val="0"/>
          <w:numId w:val="8"/>
        </w:numPr>
      </w:pPr>
      <w:r>
        <w:fldChar w:fldCharType="begin"/>
      </w:r>
      <w:r>
        <w:instrText xml:space="preserve"> HYPERLINK "https://www.hangzhou.gov.cn/art/2025/6/13/art_1229063410_4362953.html" \h </w:instrText>
      </w:r>
      <w:r>
        <w:fldChar w:fldCharType="separate"/>
      </w:r>
      <w:r>
        <w:rPr>
          <w:rFonts w:hint="eastAsia"/>
        </w:rPr>
        <w:t>关于杭州市及市本级2024年预算执行情况和2025年预算草案的报告</w:t>
      </w:r>
      <w:r>
        <w:rPr>
          <w:rFonts w:hint="eastAsia"/>
        </w:rPr>
        <w:fldChar w:fldCharType="end"/>
      </w:r>
    </w:p>
    <w:p w14:paraId="4D20D1EC">
      <w:pPr>
        <w:pStyle w:val="167"/>
        <w:numPr>
          <w:ilvl w:val="0"/>
          <w:numId w:val="8"/>
        </w:numPr>
      </w:pPr>
      <w:r>
        <w:fldChar w:fldCharType="begin"/>
      </w:r>
      <w:r>
        <w:instrText xml:space="preserve"> HYPERLINK "https://czj.gz.gov.cn/attachment/7/7778/7778560/10159294.pdf" \h </w:instrText>
      </w:r>
      <w:r>
        <w:fldChar w:fldCharType="separate"/>
      </w:r>
      <w:r>
        <w:rPr>
          <w:rFonts w:hint="eastAsia"/>
        </w:rPr>
        <w:t>广州市2024年预算执行情况和2025年预算草案</w:t>
      </w:r>
      <w:r>
        <w:rPr>
          <w:rFonts w:hint="eastAsia"/>
        </w:rPr>
        <w:fldChar w:fldCharType="end"/>
      </w:r>
    </w:p>
    <w:p w14:paraId="28A85A56">
      <w:pPr>
        <w:pStyle w:val="167"/>
        <w:numPr>
          <w:ilvl w:val="0"/>
          <w:numId w:val="8"/>
        </w:numPr>
      </w:pPr>
      <w:r>
        <w:fldChar w:fldCharType="begin"/>
      </w:r>
      <w:r>
        <w:instrText xml:space="preserve"> HYPERLINK "https://czj.cq.gov.cn/zwgk_268/fdzdgknr/ysjs/yszx/202501/t20250122_14196199.html" \h </w:instrText>
      </w:r>
      <w:r>
        <w:fldChar w:fldCharType="separate"/>
      </w:r>
      <w:r>
        <w:rPr>
          <w:rFonts w:hint="eastAsia"/>
        </w:rPr>
        <w:t>2024年重庆市财政预算执行情况</w:t>
      </w:r>
      <w:r>
        <w:rPr>
          <w:rFonts w:hint="eastAsia"/>
        </w:rPr>
        <w:fldChar w:fldCharType="end"/>
      </w:r>
    </w:p>
    <w:p w14:paraId="00442AF2">
      <w:pPr>
        <w:pStyle w:val="167"/>
        <w:numPr>
          <w:ilvl w:val="0"/>
          <w:numId w:val="8"/>
        </w:numPr>
      </w:pPr>
      <w:r>
        <w:fldChar w:fldCharType="begin"/>
      </w:r>
      <w:r>
        <w:instrText xml:space="preserve"> HYPERLINK "https://czj.beijing.gov.cn/zwxx/czsj/czyjs/202501/P020250124650364597274.pdf" \h </w:instrText>
      </w:r>
      <w:r>
        <w:fldChar w:fldCharType="separate"/>
      </w:r>
      <w:r>
        <w:rPr>
          <w:rFonts w:hint="eastAsia"/>
        </w:rPr>
        <w:t>关于北京市2024年预算执行情况和2025年预算的报告</w:t>
      </w:r>
      <w:r>
        <w:rPr>
          <w:rFonts w:hint="eastAsia"/>
        </w:rPr>
        <w:fldChar w:fldCharType="end"/>
      </w:r>
    </w:p>
    <w:p w14:paraId="49E2CD4D">
      <w:pPr>
        <w:pStyle w:val="167"/>
        <w:numPr>
          <w:ilvl w:val="0"/>
          <w:numId w:val="8"/>
        </w:numPr>
      </w:pPr>
      <w:r>
        <w:fldChar w:fldCharType="begin"/>
      </w:r>
      <w:r>
        <w:instrText xml:space="preserve"> HYPERLINK "https://www.shanxi.gov.cn/zfxxgk/zfxxgkzl/fdzdgknr/czxx/sjczyjshsgjfyjs/202505/P020250516623097133518.pdf" \h </w:instrText>
      </w:r>
      <w:r>
        <w:fldChar w:fldCharType="separate"/>
      </w:r>
      <w:r>
        <w:rPr>
          <w:rFonts w:hint="eastAsia"/>
        </w:rPr>
        <w:t>关于山西省2024年全省和省本级预算执行情况与2025年全省和省本级预算草案的报告</w:t>
      </w:r>
      <w:r>
        <w:rPr>
          <w:rFonts w:hint="eastAsia"/>
        </w:rPr>
        <w:fldChar w:fldCharType="end"/>
      </w:r>
    </w:p>
    <w:p w14:paraId="626DC3A6">
      <w:pPr>
        <w:pStyle w:val="167"/>
        <w:numPr>
          <w:ilvl w:val="0"/>
          <w:numId w:val="8"/>
        </w:numPr>
      </w:pPr>
      <w:r>
        <w:fldChar w:fldCharType="begin"/>
      </w:r>
      <w:r>
        <w:instrText xml:space="preserve"> HYPERLINK "https://czj.ningbo.gov.cn/art/2025/1/27/art_1229536668_58890128.html" \h </w:instrText>
      </w:r>
      <w:r>
        <w:fldChar w:fldCharType="separate"/>
      </w:r>
      <w:r>
        <w:rPr>
          <w:rFonts w:hint="eastAsia"/>
        </w:rPr>
        <w:t>宁波市2024年财政预算执行情况</w:t>
      </w:r>
      <w:r>
        <w:rPr>
          <w:rFonts w:hint="eastAsia"/>
        </w:rPr>
        <w:fldChar w:fldCharType="end"/>
      </w:r>
    </w:p>
    <w:p w14:paraId="6A4E79B6">
      <w:pPr>
        <w:pStyle w:val="167"/>
        <w:numPr>
          <w:ilvl w:val="0"/>
          <w:numId w:val="8"/>
        </w:numPr>
      </w:pPr>
      <w:r>
        <w:fldChar w:fldCharType="begin"/>
      </w:r>
      <w:r>
        <w:instrText xml:space="preserve"> HYPERLINK "https://www.suzhou.gov.cn/szsrmzf/czyjsbg/202502/e4d4339343ca471ca41096fa89b006bf/files/e38f102f6f3941189a6887fb35929d52.pdf" \h </w:instrText>
      </w:r>
      <w:r>
        <w:fldChar w:fldCharType="separate"/>
      </w:r>
      <w:r>
        <w:rPr>
          <w:rFonts w:hint="eastAsia"/>
        </w:rPr>
        <w:t>苏州市二〇二四年预算执行情况</w:t>
      </w:r>
      <w:r>
        <w:t xml:space="preserve"> </w:t>
      </w:r>
      <w:r>
        <w:rPr>
          <w:rFonts w:hint="eastAsia"/>
        </w:rPr>
        <w:t>二〇二五年预算草案</w:t>
      </w:r>
      <w:r>
        <w:rPr>
          <w:rFonts w:hint="eastAsia"/>
        </w:rPr>
        <w:fldChar w:fldCharType="end"/>
      </w:r>
    </w:p>
    <w:p w14:paraId="6D91F74E">
      <w:pPr>
        <w:pStyle w:val="167"/>
        <w:numPr>
          <w:ilvl w:val="0"/>
          <w:numId w:val="8"/>
        </w:numPr>
      </w:pPr>
      <w:r>
        <w:fldChar w:fldCharType="begin"/>
      </w:r>
      <w:r>
        <w:instrText xml:space="preserve"> HYPERLINK "http://gks.mof.gov.cn/tongjishuju/202607/t20260722_3993943.htm" \h </w:instrText>
      </w:r>
      <w:r>
        <w:fldChar w:fldCharType="separate"/>
      </w:r>
      <w:r>
        <w:rPr>
          <w:rFonts w:hint="eastAsia"/>
        </w:rPr>
        <w:t>2026年上半年财政收支情况</w:t>
      </w:r>
      <w:r>
        <w:rPr>
          <w:rFonts w:hint="eastAsia"/>
        </w:rPr>
        <w:fldChar w:fldCharType="end"/>
      </w:r>
    </w:p>
    <w:p w14:paraId="1BF15990">
      <w:pPr>
        <w:pStyle w:val="167"/>
        <w:numPr>
          <w:ilvl w:val="0"/>
          <w:numId w:val="8"/>
        </w:numPr>
      </w:pPr>
      <w:r>
        <w:fldChar w:fldCharType="begin"/>
      </w:r>
      <w:r>
        <w:instrText xml:space="preserve"> HYPERLINK "https://www.gov.cn/gongbao/content/2015/content_2883246.htm" \h </w:instrText>
      </w:r>
      <w:r>
        <w:fldChar w:fldCharType="separate"/>
      </w:r>
      <w:r>
        <w:rPr>
          <w:rFonts w:hint="eastAsia"/>
        </w:rPr>
        <w:t>财政部关于印发《地方政府专项债券发行管理暂行办法》的通知</w:t>
      </w:r>
      <w:r>
        <w:t xml:space="preserve"> </w:t>
      </w:r>
      <w:r>
        <w:rPr>
          <w:rFonts w:hint="eastAsia"/>
        </w:rPr>
        <w:t>地方政府专项债券发行管理暂行办法</w:t>
      </w:r>
      <w:r>
        <w:rPr>
          <w:rFonts w:hint="eastAsia"/>
        </w:rPr>
        <w:fldChar w:fldCharType="end"/>
      </w:r>
    </w:p>
    <w:p w14:paraId="6A98148B">
      <w:pPr>
        <w:pStyle w:val="167"/>
        <w:numPr>
          <w:ilvl w:val="0"/>
          <w:numId w:val="8"/>
        </w:numPr>
      </w:pPr>
      <w:r>
        <w:fldChar w:fldCharType="begin"/>
      </w:r>
      <w:r>
        <w:instrText xml:space="preserve"> HYPERLINK "https://www.mof.gov.cn/zhengwuxinxi/caizhengxinwen/202603/t20260317_3985436.htm" \h </w:instrText>
      </w:r>
      <w:r>
        <w:fldChar w:fldCharType="separate"/>
      </w:r>
      <w:r>
        <w:rPr>
          <w:rFonts w:hint="eastAsia"/>
        </w:rPr>
        <w:t>2025年中国财政政策执行情况报告</w:t>
      </w:r>
      <w:r>
        <w:rPr>
          <w:rFonts w:hint="eastAsia"/>
        </w:rPr>
        <w:fldChar w:fldCharType="end"/>
      </w:r>
    </w:p>
    <w:p w14:paraId="44EC293F">
      <w:pPr>
        <w:pStyle w:val="167"/>
        <w:numPr>
          <w:ilvl w:val="0"/>
          <w:numId w:val="8"/>
        </w:numPr>
      </w:pPr>
      <w:r>
        <w:fldChar w:fldCharType="begin"/>
      </w:r>
      <w:r>
        <w:instrText xml:space="preserve"> HYPERLINK "https://www.gov.cn/zhengce/content/202412/content_6994502.htm" \h </w:instrText>
      </w:r>
      <w:r>
        <w:fldChar w:fldCharType="separate"/>
      </w:r>
      <w:r>
        <w:rPr>
          <w:rFonts w:hint="eastAsia"/>
        </w:rPr>
        <w:t>国务院办公厅关于优化完善地方政府专项债券管理机制的意见</w:t>
      </w:r>
      <w:r>
        <w:rPr>
          <w:rFonts w:hint="eastAsia"/>
        </w:rPr>
        <w:fldChar w:fldCharType="end"/>
      </w:r>
    </w:p>
    <w:p w14:paraId="428505FA">
      <w:pPr>
        <w:pStyle w:val="167"/>
        <w:numPr>
          <w:ilvl w:val="0"/>
          <w:numId w:val="8"/>
        </w:numPr>
      </w:pPr>
      <w:r>
        <w:fldChar w:fldCharType="begin"/>
      </w:r>
      <w:r>
        <w:instrText xml:space="preserve"> HYPERLINK "https://stock.finance.sina.com.cn/stock/go.php/vReport_Show/kind/10/rptid/824295467494/index.phtml" \h </w:instrText>
      </w:r>
      <w:r>
        <w:fldChar w:fldCharType="separate"/>
      </w:r>
      <w:r>
        <w:rPr>
          <w:rFonts w:hint="eastAsia"/>
        </w:rPr>
        <w:t>固收专题报告：地方政府负债结构显著改变城投债务风险趋降</w:t>
      </w:r>
      <w:r>
        <w:rPr>
          <w:rFonts w:hint="eastAsia"/>
        </w:rPr>
        <w:fldChar w:fldCharType="end"/>
      </w:r>
    </w:p>
    <w:p w14:paraId="77DB75C0">
      <w:pPr>
        <w:pStyle w:val="167"/>
        <w:numPr>
          <w:ilvl w:val="0"/>
          <w:numId w:val="8"/>
        </w:numPr>
      </w:pPr>
      <w:r>
        <w:fldChar w:fldCharType="begin"/>
      </w:r>
      <w:r>
        <w:instrText xml:space="preserve"> HYPERLINK "https://finance.sina.com.cn/cj/2025-07-29/doc-inficsmt4670073.shtml" \h </w:instrText>
      </w:r>
      <w:r>
        <w:fldChar w:fldCharType="separate"/>
      </w:r>
      <w:r>
        <w:rPr>
          <w:rFonts w:hint="eastAsia"/>
        </w:rPr>
        <w:t>袁海霞等：2025年上半年地方债务领域政策梳理与下阶段建议</w:t>
      </w:r>
      <w:r>
        <w:rPr>
          <w:rFonts w:hint="eastAsia"/>
        </w:rPr>
        <w:fldChar w:fldCharType="end"/>
      </w:r>
    </w:p>
    <w:bookmarkEnd w:id="53"/>
    <w:sectPr>
      <w:headerReference r:id="rId5" w:type="default"/>
      <w:footerReference r:id="rId6" w:type="default"/>
      <w:pgSz w:w="11906" w:h="16838"/>
      <w:pgMar w:top="1134" w:right="1020" w:bottom="1077" w:left="1020" w:header="510" w:footer="51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Aptos Display">
    <w:altName w:val="Helvetica Neue"/>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964A41">
    <w:pPr>
      <w:pStyle w:val="24"/>
      <w:jc w:val="right"/>
    </w:pPr>
    <w:r>
      <w:rPr>
        <w:rFonts w:ascii="Aptos" w:hAnsi="Aptos"/>
        <w:color w:val="667085"/>
        <w:sz w:val="16"/>
      </w:rPr>
      <w:t xml:space="preserve">DEEP RESEARCH  ·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1E5EBC">
    <w:pPr>
      <w:pStyle w:val="25"/>
      <w:pBdr>
        <w:bottom w:val="single" w:color="D8E0E8" w:sz="4" w:space="4"/>
      </w:pBdr>
      <w:jc w:val="left"/>
    </w:pPr>
    <w:r>
      <w:rPr>
        <w:rFonts w:ascii="Aptos" w:hAnsi="Aptos"/>
        <w:b/>
        <w:color w:val="667085"/>
        <w:sz w:val="16"/>
      </w:rPr>
      <w:t>DEEP RESEARCH  ·  深度研究报告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7">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C7FA9EDD"/>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336" w:lineRule="auto"/>
    </w:pPr>
    <w:rPr>
      <w:rFonts w:ascii="Aptos" w:hAnsi="Aptos" w:eastAsia="宋体" w:cstheme="minorBidi"/>
      <w:color w:val="243447"/>
      <w:sz w:val="20"/>
      <w:szCs w:val="22"/>
      <w:lang w:val="en-US" w:eastAsia="zh-CN" w:bidi="ar-SA"/>
    </w:rPr>
  </w:style>
  <w:style w:type="paragraph" w:styleId="3">
    <w:name w:val="heading 1"/>
    <w:basedOn w:val="1"/>
    <w:next w:val="1"/>
    <w:link w:val="140"/>
    <w:qFormat/>
    <w:uiPriority w:val="9"/>
    <w:pPr>
      <w:keepNext/>
      <w:keepLines/>
      <w:pageBreakBefore/>
      <w:pBdr>
        <w:bottom w:val="single" w:color="D8E0E8" w:sz="4" w:space="4"/>
      </w:pBdr>
      <w:spacing w:before="440" w:after="220"/>
      <w:outlineLvl w:val="0"/>
    </w:pPr>
    <w:rPr>
      <w:rFonts w:asciiTheme="majorHAnsi" w:hAnsiTheme="majorHAnsi" w:eastAsiaTheme="majorEastAsia" w:cstheme="majorBidi"/>
      <w:b/>
      <w:bCs/>
      <w:color w:val="17324D"/>
      <w:sz w:val="36"/>
      <w:szCs w:val="28"/>
    </w:rPr>
  </w:style>
  <w:style w:type="paragraph" w:styleId="4">
    <w:name w:val="heading 2"/>
    <w:basedOn w:val="1"/>
    <w:next w:val="1"/>
    <w:link w:val="141"/>
    <w:unhideWhenUsed/>
    <w:qFormat/>
    <w:uiPriority w:val="9"/>
    <w:pPr>
      <w:keepNext/>
      <w:keepLines/>
      <w:spacing w:before="320" w:after="160"/>
      <w:outlineLvl w:val="1"/>
    </w:pPr>
    <w:rPr>
      <w:rFonts w:asciiTheme="majorHAnsi" w:hAnsiTheme="majorHAnsi" w:eastAsiaTheme="majorEastAsia" w:cstheme="majorBidi"/>
      <w:b/>
      <w:bCs/>
      <w:color w:val="2563A8"/>
      <w:sz w:val="27"/>
      <w:szCs w:val="26"/>
    </w:rPr>
  </w:style>
  <w:style w:type="paragraph" w:styleId="5">
    <w:name w:val="heading 3"/>
    <w:basedOn w:val="1"/>
    <w:next w:val="1"/>
    <w:link w:val="142"/>
    <w:unhideWhenUsed/>
    <w:qFormat/>
    <w:uiPriority w:val="9"/>
    <w:pPr>
      <w:keepNext/>
      <w:keepLines/>
      <w:spacing w:before="240" w:after="120"/>
      <w:outlineLvl w:val="2"/>
    </w:pPr>
    <w:rPr>
      <w:rFonts w:asciiTheme="majorHAnsi" w:hAnsiTheme="majorHAnsi" w:eastAsiaTheme="majorEastAsia" w:cstheme="majorBidi"/>
      <w:b/>
      <w:bCs/>
      <w:color w:val="17324D"/>
      <w:sz w:val="23"/>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40" w:line="336" w:lineRule="auto"/>
    </w:pPr>
    <w:rPr>
      <w:rFonts w:ascii="Aptos" w:hAnsi="Aptos" w:eastAsia="宋体"/>
      <w:color w:val="243447"/>
      <w:sz w:val="20"/>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pPr>
      <w:spacing w:after="240"/>
      <w:jc w:val="left"/>
    </w:pPr>
    <w:rPr>
      <w:rFonts w:asciiTheme="majorHAnsi" w:hAnsiTheme="majorHAnsi" w:eastAsiaTheme="majorEastAsia" w:cstheme="majorBidi"/>
      <w:i/>
      <w:iCs/>
      <w:color w:val="667085"/>
      <w:spacing w:val="15"/>
      <w:sz w:val="26"/>
      <w:szCs w:val="24"/>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keepNext/>
      <w:pBdr>
        <w:top w:val="single" w:color="0E7490" w:sz="28" w:space="4"/>
        <w:bottom w:val="single" w:color="4F81BD" w:themeColor="accent1" w:sz="8" w:space="4"/>
      </w:pBdr>
      <w:spacing w:before="160" w:after="360" w:line="240" w:lineRule="auto"/>
      <w:contextualSpacing/>
      <w:jc w:val="left"/>
    </w:pPr>
    <w:rPr>
      <w:rFonts w:asciiTheme="majorHAnsi" w:hAnsiTheme="majorHAnsi" w:eastAsiaTheme="majorEastAsia" w:cstheme="majorBidi"/>
      <w:b/>
      <w:color w:val="17324D"/>
      <w:spacing w:val="5"/>
      <w:kern w:val="28"/>
      <w:sz w:val="54"/>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zh-CN"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pPr>
      <w:spacing w:before="120" w:after="120"/>
      <w:ind w:left="454" w:right="454"/>
    </w:pPr>
    <w:rPr>
      <w:rFonts w:ascii="Aptos" w:hAnsi="Aptos" w:eastAsia="宋体"/>
      <w:i/>
      <w:iCs/>
      <w:color w:val="475467"/>
      <w:sz w:val="19"/>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pageBreakBefore/>
      <w:spacing w:after="320"/>
      <w:outlineLvl w:val="9"/>
    </w:pPr>
    <w:rPr>
      <w:rFonts w:ascii="Aptos Display" w:hAnsi="Aptos Display" w:eastAsia="微软雅黑"/>
      <w:color w:val="17324D"/>
      <w:sz w:val="44"/>
    </w:rPr>
  </w:style>
  <w:style w:type="paragraph" w:customStyle="1" w:styleId="166">
    <w:name w:val="Date"/>
    <w:basedOn w:val="1"/>
    <w:uiPriority w:val="0"/>
    <w:pPr>
      <w:jc w:val="left"/>
    </w:pPr>
    <w:rPr>
      <w:rFonts w:ascii="Aptos" w:hAnsi="Aptos" w:eastAsia="微软雅黑"/>
      <w:color w:val="667085"/>
      <w:sz w:val="18"/>
    </w:rPr>
  </w:style>
  <w:style w:type="paragraph" w:customStyle="1" w:styleId="167">
    <w:name w:val="Compact"/>
    <w:basedOn w:val="1"/>
    <w:uiPriority w:val="0"/>
    <w:pPr>
      <w:spacing w:after="60" w:line="300" w:lineRule="auto"/>
    </w:pPr>
    <w:rPr>
      <w:rFonts w:ascii="Aptos" w:hAnsi="Aptos" w:eastAsia="宋体"/>
      <w:color w:val="243447"/>
      <w:sz w:val="18"/>
    </w:rPr>
  </w:style>
  <w:style w:type="paragraph" w:customStyle="1" w:styleId="168">
    <w:name w:val="First Paragraph"/>
    <w:basedOn w:val="1"/>
    <w:uiPriority w:val="0"/>
    <w:pPr>
      <w:spacing w:after="140" w:line="336" w:lineRule="auto"/>
    </w:pPr>
    <w:rPr>
      <w:rFonts w:ascii="Aptos" w:hAnsi="Aptos" w:eastAsia="宋体"/>
      <w:color w:val="243447"/>
      <w:sz w:val="20"/>
    </w:rPr>
  </w:style>
  <w:style w:type="table" w:customStyle="1" w:styleId="169">
    <w:name w:val="Table"/>
    <w:uiPriority w:val="0"/>
    <w:rPr>
      <w:rFonts w:ascii="Aptos" w:hAnsi="Aptos" w:eastAsia="微软雅黑"/>
      <w:color w:val="243447"/>
      <w:sz w:val="16"/>
    </w:rPr>
    <w:tblPr>
      <w:tblBorders>
        <w:top w:val="single" w:color="D8E0E8" w:sz="4" w:space="0"/>
        <w:left w:val="single" w:color="D8E0E8" w:sz="4" w:space="0"/>
        <w:bottom w:val="single" w:color="D8E0E8" w:sz="4" w:space="0"/>
        <w:right w:val="single" w:color="D8E0E8" w:sz="4" w:space="0"/>
        <w:insideH w:val="single" w:color="D8E0E8" w:sz="4" w:space="0"/>
        <w:insideV w:val="single" w:color="D8E0E8" w:sz="4" w:space="0"/>
      </w:tblBorders>
      <w:tblCellMar>
        <w:top w:w="80" w:type="dxa"/>
        <w:left w:w="90" w:type="dxa"/>
        <w:bottom w:w="80" w:type="dxa"/>
        <w:right w:w="90" w:type="dxa"/>
      </w:tblCellMar>
    </w:tblPr>
    <w:tblStylePr w:type="firstRow">
      <w:rPr>
        <w:b/>
        <w:color w:val="FFFFFF"/>
      </w:rPr>
      <w:tcPr>
        <w:shd w:val="clear" w:color="auto" w:fill="17324D"/>
      </w:tcPr>
    </w:tblStylePr>
    <w:tblStylePr w:type="band1Horz">
      <w:tcPr>
        <w:shd w:val="clear" w:color="auto" w:fill="F3F7FB"/>
      </w:tcPr>
    </w:tblStylePr>
  </w:style>
  <w:style w:type="paragraph" w:customStyle="1" w:styleId="170">
    <w:name w:val="Source Code"/>
    <w:basedOn w:val="1"/>
    <w:uiPriority w:val="0"/>
    <w:pPr>
      <w:wordWrap w:val="0"/>
    </w:pPr>
  </w:style>
  <w:style w:type="character" w:customStyle="1" w:styleId="171">
    <w:name w:val="KeywordTok"/>
    <w:uiPriority w:val="0"/>
    <w:rPr>
      <w:b/>
      <w:color w:val="007020"/>
    </w:rPr>
  </w:style>
  <w:style w:type="character" w:customStyle="1" w:styleId="172">
    <w:name w:val="DataTypeTok"/>
    <w:uiPriority w:val="0"/>
    <w:rPr>
      <w:color w:val="902000"/>
    </w:rPr>
  </w:style>
  <w:style w:type="character" w:customStyle="1" w:styleId="173">
    <w:name w:val="DecValTok"/>
    <w:uiPriority w:val="0"/>
    <w:rPr>
      <w:color w:val="40A070"/>
    </w:rPr>
  </w:style>
  <w:style w:type="character" w:customStyle="1" w:styleId="174">
    <w:name w:val="BaseNTok"/>
    <w:uiPriority w:val="0"/>
    <w:rPr>
      <w:color w:val="40A070"/>
    </w:rPr>
  </w:style>
  <w:style w:type="character" w:customStyle="1" w:styleId="175">
    <w:name w:val="FloatTok"/>
    <w:uiPriority w:val="0"/>
    <w:rPr>
      <w:color w:val="40A070"/>
    </w:rPr>
  </w:style>
  <w:style w:type="character" w:customStyle="1" w:styleId="176">
    <w:name w:val="ConstantTok"/>
    <w:uiPriority w:val="0"/>
    <w:rPr>
      <w:color w:val="880000"/>
    </w:rPr>
  </w:style>
  <w:style w:type="character" w:customStyle="1" w:styleId="177">
    <w:name w:val="CharTok"/>
    <w:uiPriority w:val="0"/>
    <w:rPr>
      <w:color w:val="4070A0"/>
    </w:rPr>
  </w:style>
  <w:style w:type="character" w:customStyle="1" w:styleId="178">
    <w:name w:val="SpecialCharTok"/>
    <w:uiPriority w:val="0"/>
    <w:rPr>
      <w:color w:val="4070A0"/>
    </w:rPr>
  </w:style>
  <w:style w:type="character" w:customStyle="1" w:styleId="179">
    <w:name w:val="StringTok"/>
    <w:uiPriority w:val="0"/>
    <w:rPr>
      <w:color w:val="4070A0"/>
    </w:rPr>
  </w:style>
  <w:style w:type="character" w:customStyle="1" w:styleId="180">
    <w:name w:val="VerbatimStringTok"/>
    <w:uiPriority w:val="0"/>
    <w:rPr>
      <w:color w:val="4070A0"/>
    </w:rPr>
  </w:style>
  <w:style w:type="character" w:customStyle="1" w:styleId="181">
    <w:name w:val="SpecialStringTok"/>
    <w:uiPriority w:val="0"/>
    <w:rPr>
      <w:color w:val="BB6688"/>
    </w:rPr>
  </w:style>
  <w:style w:type="character" w:customStyle="1" w:styleId="182">
    <w:name w:val="ImportTok"/>
    <w:uiPriority w:val="0"/>
    <w:rPr>
      <w:b/>
      <w:color w:val="008000"/>
    </w:rPr>
  </w:style>
  <w:style w:type="character" w:customStyle="1" w:styleId="183">
    <w:name w:val="CommentTok"/>
    <w:uiPriority w:val="0"/>
    <w:rPr>
      <w:i/>
      <w:color w:val="60A0B0"/>
    </w:rPr>
  </w:style>
  <w:style w:type="character" w:customStyle="1" w:styleId="184">
    <w:name w:val="DocumentationTok"/>
    <w:uiPriority w:val="0"/>
    <w:rPr>
      <w:i/>
      <w:color w:val="BA2121"/>
    </w:rPr>
  </w:style>
  <w:style w:type="character" w:customStyle="1" w:styleId="185">
    <w:name w:val="AnnotationTok"/>
    <w:uiPriority w:val="0"/>
    <w:rPr>
      <w:b/>
      <w:i/>
      <w:color w:val="60A0B0"/>
    </w:rPr>
  </w:style>
  <w:style w:type="character" w:customStyle="1" w:styleId="186">
    <w:name w:val="CommentVarTok"/>
    <w:uiPriority w:val="0"/>
    <w:rPr>
      <w:b/>
      <w:i/>
      <w:color w:val="60A0B0"/>
    </w:rPr>
  </w:style>
  <w:style w:type="character" w:customStyle="1" w:styleId="187">
    <w:name w:val="OtherTok"/>
    <w:uiPriority w:val="0"/>
    <w:rPr>
      <w:color w:val="007020"/>
    </w:rPr>
  </w:style>
  <w:style w:type="character" w:customStyle="1" w:styleId="188">
    <w:name w:val="FunctionTok"/>
    <w:uiPriority w:val="0"/>
    <w:rPr>
      <w:color w:val="06287E"/>
    </w:rPr>
  </w:style>
  <w:style w:type="character" w:customStyle="1" w:styleId="189">
    <w:name w:val="VariableTok"/>
    <w:uiPriority w:val="0"/>
    <w:rPr>
      <w:color w:val="19177C"/>
    </w:rPr>
  </w:style>
  <w:style w:type="character" w:customStyle="1" w:styleId="190">
    <w:name w:val="ControlFlowTok"/>
    <w:uiPriority w:val="0"/>
    <w:rPr>
      <w:b/>
      <w:color w:val="007020"/>
    </w:rPr>
  </w:style>
  <w:style w:type="character" w:customStyle="1" w:styleId="191">
    <w:name w:val="OperatorTok"/>
    <w:uiPriority w:val="0"/>
    <w:rPr>
      <w:color w:val="666666"/>
    </w:rPr>
  </w:style>
  <w:style w:type="character" w:customStyle="1" w:styleId="192">
    <w:name w:val="BuiltInTok"/>
    <w:uiPriority w:val="0"/>
    <w:rPr>
      <w:color w:val="008000"/>
    </w:rPr>
  </w:style>
  <w:style w:type="character" w:customStyle="1" w:styleId="193">
    <w:name w:val="ExtensionTok"/>
    <w:uiPriority w:val="0"/>
  </w:style>
  <w:style w:type="character" w:customStyle="1" w:styleId="194">
    <w:name w:val="PreprocessorTok"/>
    <w:uiPriority w:val="0"/>
    <w:rPr>
      <w:color w:val="BC7A00"/>
    </w:rPr>
  </w:style>
  <w:style w:type="character" w:customStyle="1" w:styleId="195">
    <w:name w:val="AttributeTok"/>
    <w:uiPriority w:val="0"/>
    <w:rPr>
      <w:color w:val="7D9029"/>
    </w:rPr>
  </w:style>
  <w:style w:type="character" w:customStyle="1" w:styleId="196">
    <w:name w:val="RegionMarkerTok"/>
    <w:uiPriority w:val="0"/>
  </w:style>
  <w:style w:type="character" w:customStyle="1" w:styleId="197">
    <w:name w:val="InformationTok"/>
    <w:uiPriority w:val="0"/>
    <w:rPr>
      <w:b/>
      <w:i/>
      <w:color w:val="60A0B0"/>
    </w:rPr>
  </w:style>
  <w:style w:type="character" w:customStyle="1" w:styleId="198">
    <w:name w:val="WarningTok"/>
    <w:uiPriority w:val="0"/>
    <w:rPr>
      <w:b/>
      <w:i/>
      <w:color w:val="60A0B0"/>
    </w:rPr>
  </w:style>
  <w:style w:type="character" w:customStyle="1" w:styleId="199">
    <w:name w:val="AlertTok"/>
    <w:uiPriority w:val="0"/>
    <w:rPr>
      <w:b/>
      <w:color w:val="FF0000"/>
    </w:rPr>
  </w:style>
  <w:style w:type="character" w:customStyle="1" w:styleId="200">
    <w:name w:val="ErrorTok"/>
    <w:uiPriority w:val="0"/>
    <w:rPr>
      <w:b/>
      <w:color w:val="FF0000"/>
    </w:rPr>
  </w:style>
  <w:style w:type="character" w:customStyle="1" w:styleId="201">
    <w:name w:val="NormalTok"/>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0</TotalTime>
  <ScaleCrop>false</ScaleCrop>
  <LinksUpToDate>false</LinksUpToDate>
  <CharactersWithSpaces>0</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2026-08-17T10:39:00Z</dcterms:created>
  <dc:creator>gaofei1</dc:creator>
  <cp:lastModifiedBy>gaofei1</cp:lastModifiedBy>
  <dcterms:modified xsi:type="dcterms:W3CDTF">2026-08-17T10:42:47Z</dcterms:modified>
  <dc:title>房地产低迷对地方财政收入的影响：税收拖累、土地基金冲击与预算缓冲</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2026年8月17日</vt:lpwstr>
  </property>
  <property fmtid="{D5CDD505-2E9C-101B-9397-08002B2CF9AE}" pid="3" name="subtitle">
    <vt:lpwstr>深度研究报告</vt:lpwstr>
  </property>
  <property fmtid="{D5CDD505-2E9C-101B-9397-08002B2CF9AE}" pid="4" name="KSOProductBuildVer">
    <vt:lpwstr>2052-12.1.26050.26050</vt:lpwstr>
  </property>
  <property fmtid="{D5CDD505-2E9C-101B-9397-08002B2CF9AE}" pid="5" name="ICV">
    <vt:lpwstr>E3144D7D12569B142775826A667557F8_42</vt:lpwstr>
  </property>
</Properties>
</file>