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9694" w14:textId="5525F666" w:rsidR="00FF1A65" w:rsidRDefault="009B1EBD">
      <w:pPr>
        <w:rPr>
          <w:lang w:val="en-GB"/>
        </w:rPr>
      </w:pPr>
      <w:r>
        <w:rPr>
          <w:lang w:val="en-GB"/>
        </w:rPr>
        <w:t>PROJECT DOCUMENTATION</w:t>
      </w:r>
    </w:p>
    <w:p w14:paraId="30801135" w14:textId="0D803C1E" w:rsidR="009B1EBD" w:rsidRDefault="00EF43E9" w:rsidP="00EF43E9">
      <w:pPr>
        <w:pStyle w:val="ListParagraph"/>
        <w:jc w:val="left"/>
        <w:rPr>
          <w:b/>
          <w:bCs/>
          <w:color w:val="EE0000"/>
          <w:lang w:val="en-GB"/>
        </w:rPr>
      </w:pPr>
      <w:r w:rsidRPr="00EF43E9">
        <w:rPr>
          <w:b/>
          <w:bCs/>
          <w:color w:val="EE0000"/>
          <w:lang w:val="en-GB"/>
        </w:rPr>
        <w:t>PROJECT OVERVIEW</w:t>
      </w:r>
    </w:p>
    <w:p w14:paraId="77A0E179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 xml:space="preserve">Credit Risk Prediction Platform — Tech </w:t>
      </w:r>
      <w:proofErr w:type="spellStart"/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Reyal</w:t>
      </w:r>
      <w:proofErr w:type="spellEnd"/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 xml:space="preserve"> Ltd</w:t>
      </w:r>
    </w:p>
    <w:p w14:paraId="71F6C54E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 xml:space="preserve">Tech </w:t>
      </w:r>
      <w:proofErr w:type="spellStart"/>
      <w:r w:rsidRPr="00D86364">
        <w:rPr>
          <w:rFonts w:eastAsia="Times New Roman" w:cs="Times New Roman"/>
          <w:szCs w:val="24"/>
          <w:lang w:val="en-GB" w:eastAsia="en-GB"/>
        </w:rPr>
        <w:t>Reyal</w:t>
      </w:r>
      <w:proofErr w:type="spellEnd"/>
      <w:r w:rsidRPr="00D86364">
        <w:rPr>
          <w:rFonts w:eastAsia="Times New Roman" w:cs="Times New Roman"/>
          <w:szCs w:val="24"/>
          <w:lang w:val="en-GB" w:eastAsia="en-GB"/>
        </w:rPr>
        <w:t xml:space="preserve"> Ltd is building a production-ready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Credit Risk Prediction Application</w:t>
      </w:r>
      <w:r w:rsidRPr="00D86364">
        <w:rPr>
          <w:rFonts w:eastAsia="Times New Roman" w:cs="Times New Roman"/>
          <w:szCs w:val="24"/>
          <w:lang w:val="en-GB" w:eastAsia="en-GB"/>
        </w:rPr>
        <w:t xml:space="preserve"> for </w:t>
      </w:r>
      <w:proofErr w:type="spellStart"/>
      <w:r w:rsidRPr="00D86364">
        <w:rPr>
          <w:rFonts w:eastAsia="Times New Roman" w:cs="Times New Roman"/>
          <w:szCs w:val="24"/>
          <w:lang w:val="en-GB" w:eastAsia="en-GB"/>
        </w:rPr>
        <w:t>fintechs</w:t>
      </w:r>
      <w:proofErr w:type="spellEnd"/>
      <w:r w:rsidRPr="00D86364">
        <w:rPr>
          <w:rFonts w:eastAsia="Times New Roman" w:cs="Times New Roman"/>
          <w:szCs w:val="24"/>
          <w:lang w:val="en-GB" w:eastAsia="en-GB"/>
        </w:rPr>
        <w:t xml:space="preserve">, lenders, credit unions, and BNPL providers to make faster, safer, and more consistent lending decisions. The platform combines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probability-of-default modelling</w:t>
      </w:r>
      <w:r w:rsidRPr="00D86364">
        <w:rPr>
          <w:rFonts w:eastAsia="Times New Roman" w:cs="Times New Roman"/>
          <w:szCs w:val="24"/>
          <w:lang w:val="en-GB" w:eastAsia="en-GB"/>
        </w:rPr>
        <w:t xml:space="preserve">,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scorecard-style risk bands</w:t>
      </w:r>
      <w:r w:rsidRPr="00D86364">
        <w:rPr>
          <w:rFonts w:eastAsia="Times New Roman" w:cs="Times New Roman"/>
          <w:szCs w:val="24"/>
          <w:lang w:val="en-GB" w:eastAsia="en-GB"/>
        </w:rPr>
        <w:t xml:space="preserve">,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policy decisioning</w:t>
      </w:r>
      <w:r w:rsidRPr="00D86364">
        <w:rPr>
          <w:rFonts w:eastAsia="Times New Roman" w:cs="Times New Roman"/>
          <w:szCs w:val="24"/>
          <w:lang w:val="en-GB" w:eastAsia="en-GB"/>
        </w:rPr>
        <w:t xml:space="preserve">, and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model explainability</w:t>
      </w:r>
      <w:r w:rsidRPr="00D86364">
        <w:rPr>
          <w:rFonts w:eastAsia="Times New Roman" w:cs="Times New Roman"/>
          <w:szCs w:val="24"/>
          <w:lang w:val="en-GB" w:eastAsia="en-GB"/>
        </w:rPr>
        <w:t xml:space="preserve"> to deliver underwriting outcomes that are interpretable, auditable, and operationally usable.</w:t>
      </w:r>
    </w:p>
    <w:p w14:paraId="22FC4656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 xml:space="preserve">At its core, the solution takes applicant/account data (e.g., affordability, credit behaviour, utilisation, repayment performance, exposure attributes) and produces a compact set of decision outputs for both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individual decisions</w:t>
      </w:r>
      <w:r w:rsidRPr="00D86364">
        <w:rPr>
          <w:rFonts w:eastAsia="Times New Roman" w:cs="Times New Roman"/>
          <w:szCs w:val="24"/>
          <w:lang w:val="en-GB" w:eastAsia="en-GB"/>
        </w:rPr>
        <w:t xml:space="preserve"> and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portfolio-level risk management</w:t>
      </w:r>
      <w:r w:rsidRPr="00D86364">
        <w:rPr>
          <w:rFonts w:eastAsia="Times New Roman" w:cs="Times New Roman"/>
          <w:szCs w:val="24"/>
          <w:lang w:val="en-GB" w:eastAsia="en-GB"/>
        </w:rPr>
        <w:t>. The design is modular, allowing institutions to plug in their own data sources, policies, and risk appetite while maintaining transparent governance for model risk and regulatory compliance.</w:t>
      </w:r>
    </w:p>
    <w:p w14:paraId="4323149A" w14:textId="77777777" w:rsidR="00D86364" w:rsidRPr="00D86364" w:rsidRDefault="00D86364" w:rsidP="00D86364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pict w14:anchorId="7BF314C8">
          <v:rect id="_x0000_i1033" style="width:0;height:1.5pt" o:hralign="center" o:hrstd="t" o:hr="t" fillcolor="#a0a0a0" stroked="f"/>
        </w:pict>
      </w:r>
    </w:p>
    <w:p w14:paraId="33DA3D19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D86364">
        <w:rPr>
          <w:rFonts w:eastAsia="Times New Roman" w:cs="Times New Roman"/>
          <w:b/>
          <w:bCs/>
          <w:sz w:val="36"/>
          <w:szCs w:val="36"/>
          <w:lang w:val="en-GB" w:eastAsia="en-GB"/>
        </w:rPr>
        <w:t>What the Platform Produces Per Applicant / Account</w:t>
      </w:r>
    </w:p>
    <w:p w14:paraId="5666CA2A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1) Probability of Default (PD)</w:t>
      </w:r>
    </w:p>
    <w:p w14:paraId="40667E2E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 xml:space="preserve">The model estimates the likelihood that an applicant will default within a defined horizon (e.g., </w:t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12 months</w:t>
      </w:r>
      <w:r w:rsidRPr="00D86364">
        <w:rPr>
          <w:rFonts w:eastAsia="Times New Roman" w:cs="Times New Roman"/>
          <w:szCs w:val="24"/>
          <w:lang w:val="en-GB" w:eastAsia="en-GB"/>
        </w:rPr>
        <w:t>).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</w:t>
      </w:r>
      <w:r w:rsidRPr="00D86364">
        <w:rPr>
          <w:rFonts w:ascii="Courier New" w:eastAsia="Times New Roman" w:hAnsi="Courier New" w:cs="Courier New"/>
          <w:sz w:val="20"/>
          <w:szCs w:val="20"/>
          <w:lang w:val="en-GB" w:eastAsia="en-GB"/>
        </w:rPr>
        <w:t>PD = 3.2%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approve/decline decisions, risk-based pricing, credit limit setting, and portfolio risk estimation.</w:t>
      </w:r>
    </w:p>
    <w:p w14:paraId="37038B25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2) Risk Score / Scorecard Band</w:t>
      </w:r>
    </w:p>
    <w:p w14:paraId="1DFDDB84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Applicants are mapped to an easily interpretable score or banding system.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</w:t>
      </w:r>
      <w:r w:rsidRPr="00D86364">
        <w:rPr>
          <w:rFonts w:ascii="Courier New" w:eastAsia="Times New Roman" w:hAnsi="Courier New" w:cs="Courier New"/>
          <w:sz w:val="20"/>
          <w:szCs w:val="20"/>
          <w:lang w:val="en-GB" w:eastAsia="en-GB"/>
        </w:rPr>
        <w:t>Score = 620</w:t>
      </w:r>
      <w:r w:rsidRPr="00D86364">
        <w:rPr>
          <w:rFonts w:eastAsia="Times New Roman" w:cs="Times New Roman"/>
          <w:szCs w:val="24"/>
          <w:lang w:val="en-GB" w:eastAsia="en-GB"/>
        </w:rPr>
        <w:t xml:space="preserve"> or </w:t>
      </w:r>
      <w:r w:rsidRPr="00D86364">
        <w:rPr>
          <w:rFonts w:ascii="Courier New" w:eastAsia="Times New Roman" w:hAnsi="Courier New" w:cs="Courier New"/>
          <w:sz w:val="20"/>
          <w:szCs w:val="20"/>
          <w:lang w:val="en-GB" w:eastAsia="en-GB"/>
        </w:rPr>
        <w:t>Band = A–E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consistent underwriting, segmentation, and policy rules (e.g., minimum band thresholds per product).</w:t>
      </w:r>
    </w:p>
    <w:p w14:paraId="2EDB1EF6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3) Decision Recommendation (Approve / Refer / Decline)</w:t>
      </w:r>
    </w:p>
    <w:p w14:paraId="273F8C33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A policy engine combines PD and risk bands with affordability and business rules to recommend an action.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</w:t>
      </w:r>
      <w:r w:rsidRPr="00D86364">
        <w:rPr>
          <w:rFonts w:ascii="Courier New" w:eastAsia="Times New Roman" w:hAnsi="Courier New" w:cs="Courier New"/>
          <w:sz w:val="20"/>
          <w:szCs w:val="20"/>
          <w:lang w:val="en-GB" w:eastAsia="en-GB"/>
        </w:rPr>
        <w:t>Decision = Refer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reducing manual review workload, improving speed and consistency, and ensuring standardised decisioning across channels.</w:t>
      </w:r>
    </w:p>
    <w:p w14:paraId="4BF24948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4) Expected Loss (EL) and related metrics</w:t>
      </w:r>
    </w:p>
    <w:p w14:paraId="28F2374F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lastRenderedPageBreak/>
        <w:t>The platform computes risk metrics aligned to credit risk frameworks such as IFRS 9: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EL = PD × LGD × EAD</w:t>
      </w:r>
      <w:r w:rsidRPr="00D86364">
        <w:rPr>
          <w:rFonts w:eastAsia="Times New Roman" w:cs="Times New Roman"/>
          <w:szCs w:val="24"/>
          <w:lang w:val="en-GB" w:eastAsia="en-GB"/>
        </w:rPr>
        <w:t xml:space="preserve"> (optionally supporting scenario-based stress adjustments).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provisioning, capital planning, and portfolio strategy.</w:t>
      </w:r>
    </w:p>
    <w:p w14:paraId="6F40979B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5) Pricing Inputs (Risk-based pricing)</w:t>
      </w:r>
    </w:p>
    <w:p w14:paraId="1C050135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The service generates pricing guidance from PD/EL, such as a risk premium or recommended APR range.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</w:t>
      </w:r>
      <w:r w:rsidRPr="00D86364">
        <w:rPr>
          <w:rFonts w:ascii="Courier New" w:eastAsia="Times New Roman" w:hAnsi="Courier New" w:cs="Courier New"/>
          <w:sz w:val="20"/>
          <w:szCs w:val="20"/>
          <w:lang w:val="en-GB" w:eastAsia="en-GB"/>
        </w:rPr>
        <w:t>Recommended APR uplift = +2.1%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balancing growth and profitability, reducing adverse selection, and maintaining competitive pricing.</w:t>
      </w:r>
    </w:p>
    <w:p w14:paraId="070C1750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6) Early Warning Signals / Monitoring Flags</w:t>
      </w:r>
    </w:p>
    <w:p w14:paraId="75E70F5B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For existing accounts, the system identifies deterioration trends and triggers watchlist flags.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“Risk rising”, “Payment stress”, “Utilisation spike”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proactive collections, targeted customer support, and loss prevention.</w:t>
      </w:r>
    </w:p>
    <w:p w14:paraId="3C451836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7) Explainability / Reason Codes</w:t>
      </w:r>
    </w:p>
    <w:p w14:paraId="41BE96B9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Each prediction and decision is accompanied by interpretable “reason codes” describing key drivers.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“High utilisation”, “Thin credit file”, “Recent missed payments”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transparency, regulatory compliance, customer communication, and appeals handling.</w:t>
      </w:r>
    </w:p>
    <w:p w14:paraId="47A91F82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D86364">
        <w:rPr>
          <w:rFonts w:eastAsia="Times New Roman" w:cs="Times New Roman"/>
          <w:b/>
          <w:bCs/>
          <w:sz w:val="27"/>
          <w:szCs w:val="27"/>
          <w:lang w:val="en-GB" w:eastAsia="en-GB"/>
        </w:rPr>
        <w:t>8) Portfolio Insights &amp; Stress Testing</w:t>
      </w:r>
    </w:p>
    <w:p w14:paraId="3E2A9212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Beyond single decisions, the platform aggregates results to show risk concentration and scenario projections.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Example outputs: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risk distribution by segment, projected defaults under adverse scenarios, changes in EL under stress.</w:t>
      </w:r>
      <w:r w:rsidRPr="00D86364">
        <w:rPr>
          <w:rFonts w:eastAsia="Times New Roman" w:cs="Times New Roman"/>
          <w:szCs w:val="24"/>
          <w:lang w:val="en-GB" w:eastAsia="en-GB"/>
        </w:rPr>
        <w:br/>
      </w:r>
      <w:r w:rsidRPr="00D86364">
        <w:rPr>
          <w:rFonts w:eastAsia="Times New Roman" w:cs="Times New Roman"/>
          <w:b/>
          <w:bCs/>
          <w:szCs w:val="24"/>
          <w:lang w:val="en-GB" w:eastAsia="en-GB"/>
        </w:rPr>
        <w:t>Used for: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risk appetite setting, downturn planning, and strategic portfolio adjustments.</w:t>
      </w:r>
    </w:p>
    <w:p w14:paraId="0232A033" w14:textId="77777777" w:rsidR="00D86364" w:rsidRPr="00D86364" w:rsidRDefault="00D86364" w:rsidP="00D86364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pict w14:anchorId="37712987">
          <v:rect id="_x0000_i1034" style="width:0;height:1.5pt" o:hralign="center" o:hrstd="t" o:hr="t" fillcolor="#a0a0a0" stroked="f"/>
        </w:pict>
      </w:r>
    </w:p>
    <w:p w14:paraId="6B3867F7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D86364">
        <w:rPr>
          <w:rFonts w:eastAsia="Times New Roman" w:cs="Times New Roman"/>
          <w:b/>
          <w:bCs/>
          <w:sz w:val="36"/>
          <w:szCs w:val="36"/>
          <w:lang w:val="en-GB" w:eastAsia="en-GB"/>
        </w:rPr>
        <w:t>How It Works (Workflow)</w:t>
      </w:r>
    </w:p>
    <w:p w14:paraId="6DF96BB6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Data ingestion &amp; validation: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Accept applicant/account data via batch (CSV/DB) or API; enforce schema checks and data quality rules.</w:t>
      </w:r>
    </w:p>
    <w:p w14:paraId="14A61523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Feature engineering: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Build predictive features (behavioural, affordability, utilisation, credit history, exposure).</w:t>
      </w:r>
    </w:p>
    <w:p w14:paraId="4285A878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Model scoring: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Generate PD using a calibrated model; map outputs to score/band.</w:t>
      </w:r>
    </w:p>
    <w:p w14:paraId="1C9CEBBF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Decisioning: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Apply institution rules (policy thresholds, affordability constraints, product rules) to recommend approve/refer/decline.</w:t>
      </w:r>
    </w:p>
    <w:p w14:paraId="4B0CC44B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Risk metrics: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Compute EL (and related measures) for provisioning and portfolio reporting.</w:t>
      </w:r>
    </w:p>
    <w:p w14:paraId="43D35D25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Explainability: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Produce reason codes and local explanations for each applicant.</w:t>
      </w:r>
    </w:p>
    <w:p w14:paraId="1EA91D80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lastRenderedPageBreak/>
        <w:t>Monitoring: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For booked accounts, track PD drift and early warning triggers over time.</w:t>
      </w:r>
    </w:p>
    <w:p w14:paraId="58DD6ECC" w14:textId="77777777" w:rsidR="00D86364" w:rsidRPr="00D86364" w:rsidRDefault="00D86364" w:rsidP="00D8636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Portfolio analytics: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Summarise results across segments and run scenario-based stress tests.</w:t>
      </w:r>
    </w:p>
    <w:p w14:paraId="41F063E6" w14:textId="77777777" w:rsidR="00D86364" w:rsidRPr="00D86364" w:rsidRDefault="00D86364" w:rsidP="00D86364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pict w14:anchorId="0B52F70A">
          <v:rect id="_x0000_i1035" style="width:0;height:1.5pt" o:hralign="center" o:hrstd="t" o:hr="t" fillcolor="#a0a0a0" stroked="f"/>
        </w:pict>
      </w:r>
    </w:p>
    <w:p w14:paraId="3E353596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D86364">
        <w:rPr>
          <w:rFonts w:eastAsia="Times New Roman" w:cs="Times New Roman"/>
          <w:b/>
          <w:bCs/>
          <w:sz w:val="36"/>
          <w:szCs w:val="36"/>
          <w:lang w:val="en-GB" w:eastAsia="en-GB"/>
        </w:rPr>
        <w:t>Intended Users</w:t>
      </w:r>
    </w:p>
    <w:p w14:paraId="1A559CD4" w14:textId="77777777" w:rsidR="00D86364" w:rsidRPr="00D86364" w:rsidRDefault="00D86364" w:rsidP="00D8636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Underwriting &amp; Credit Risk Teams: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fast decisions with transparent reasons</w:t>
      </w:r>
    </w:p>
    <w:p w14:paraId="616E229E" w14:textId="77777777" w:rsidR="00D86364" w:rsidRPr="00D86364" w:rsidRDefault="00D86364" w:rsidP="00D8636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Pricing &amp; Growth Teams: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risk-adjusted pricing and profitability control</w:t>
      </w:r>
    </w:p>
    <w:p w14:paraId="5932EAAD" w14:textId="77777777" w:rsidR="00D86364" w:rsidRPr="00D86364" w:rsidRDefault="00D86364" w:rsidP="00D8636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Collections Teams: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early warning signals for intervention</w:t>
      </w:r>
    </w:p>
    <w:p w14:paraId="1161E28A" w14:textId="77777777" w:rsidR="00D86364" w:rsidRPr="00D86364" w:rsidRDefault="00D86364" w:rsidP="00D8636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Risk Governance / Compliance: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explainability, audit trails, consistent policy application</w:t>
      </w:r>
    </w:p>
    <w:p w14:paraId="733C8CFD" w14:textId="77777777" w:rsidR="00D86364" w:rsidRPr="00D86364" w:rsidRDefault="00D86364" w:rsidP="00D8636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b/>
          <w:bCs/>
          <w:szCs w:val="24"/>
          <w:lang w:val="en-GB" w:eastAsia="en-GB"/>
        </w:rPr>
        <w:t>Product &amp; Analytics Teams:</w:t>
      </w:r>
      <w:r w:rsidRPr="00D86364">
        <w:rPr>
          <w:rFonts w:eastAsia="Times New Roman" w:cs="Times New Roman"/>
          <w:szCs w:val="24"/>
          <w:lang w:val="en-GB" w:eastAsia="en-GB"/>
        </w:rPr>
        <w:t xml:space="preserve"> portfolio insights to support strategy</w:t>
      </w:r>
    </w:p>
    <w:p w14:paraId="74F9C356" w14:textId="77777777" w:rsidR="00D86364" w:rsidRPr="00D86364" w:rsidRDefault="00D86364" w:rsidP="00D86364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pict w14:anchorId="08DBE9B1">
          <v:rect id="_x0000_i1036" style="width:0;height:1.5pt" o:hralign="center" o:hrstd="t" o:hr="t" fillcolor="#a0a0a0" stroked="f"/>
        </w:pict>
      </w:r>
    </w:p>
    <w:p w14:paraId="2CC7BD25" w14:textId="77777777" w:rsidR="00D86364" w:rsidRPr="00D86364" w:rsidRDefault="00D86364" w:rsidP="00D8636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D86364">
        <w:rPr>
          <w:rFonts w:eastAsia="Times New Roman" w:cs="Times New Roman"/>
          <w:b/>
          <w:bCs/>
          <w:sz w:val="36"/>
          <w:szCs w:val="36"/>
          <w:lang w:val="en-GB" w:eastAsia="en-GB"/>
        </w:rPr>
        <w:t>Success Criteria (What “Good” Looks Like)</w:t>
      </w:r>
    </w:p>
    <w:p w14:paraId="05AFF482" w14:textId="77777777" w:rsidR="00D86364" w:rsidRPr="00D86364" w:rsidRDefault="00D86364" w:rsidP="00D8636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Accurate and stable PD predictions (calibrated and monitored over time)</w:t>
      </w:r>
    </w:p>
    <w:p w14:paraId="4A43DE51" w14:textId="77777777" w:rsidR="00D86364" w:rsidRPr="00D86364" w:rsidRDefault="00D86364" w:rsidP="00D8636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Consistent underwriting decisions aligned to policy and risk appetite</w:t>
      </w:r>
    </w:p>
    <w:p w14:paraId="28B4A105" w14:textId="77777777" w:rsidR="00D86364" w:rsidRPr="00D86364" w:rsidRDefault="00D86364" w:rsidP="00D8636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Explainable outputs suitable for customer communication and governance</w:t>
      </w:r>
    </w:p>
    <w:p w14:paraId="3491FD41" w14:textId="77777777" w:rsidR="00D86364" w:rsidRPr="00D86364" w:rsidRDefault="00D86364" w:rsidP="00D8636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Portfolio-level insight for scenario planning and capital/provisioning workflows</w:t>
      </w:r>
    </w:p>
    <w:p w14:paraId="5FAD888B" w14:textId="77777777" w:rsidR="00D86364" w:rsidRPr="00D86364" w:rsidRDefault="00D86364" w:rsidP="00D8636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D86364">
        <w:rPr>
          <w:rFonts w:eastAsia="Times New Roman" w:cs="Times New Roman"/>
          <w:szCs w:val="24"/>
          <w:lang w:val="en-GB" w:eastAsia="en-GB"/>
        </w:rPr>
        <w:t>Easy integration via API and repeatable, reproducible pipelines</w:t>
      </w:r>
    </w:p>
    <w:p w14:paraId="3DAA42D3" w14:textId="77777777" w:rsidR="00832D05" w:rsidRPr="00832D05" w:rsidRDefault="00832D05" w:rsidP="00832D0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832D05">
        <w:rPr>
          <w:rFonts w:eastAsia="Times New Roman" w:cs="Times New Roman"/>
          <w:b/>
          <w:bCs/>
          <w:sz w:val="36"/>
          <w:szCs w:val="36"/>
          <w:lang w:val="en-GB" w:eastAsia="en-GB"/>
        </w:rPr>
        <w:t>Repository Contents (Typical Structure)</w:t>
      </w:r>
    </w:p>
    <w:p w14:paraId="47D26B5F" w14:textId="77777777" w:rsidR="00832D05" w:rsidRPr="00832D05" w:rsidRDefault="00832D05" w:rsidP="00832D0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notebooks/</w:t>
      </w:r>
      <w:r w:rsidRPr="00832D05">
        <w:rPr>
          <w:rFonts w:eastAsia="Times New Roman" w:cs="Times New Roman"/>
          <w:szCs w:val="24"/>
          <w:lang w:val="en-GB" w:eastAsia="en-GB"/>
        </w:rPr>
        <w:t xml:space="preserve"> — EDA, feature engineering, modelling, calibration, explainability</w:t>
      </w:r>
    </w:p>
    <w:p w14:paraId="6E6E09BB" w14:textId="77777777" w:rsidR="00832D05" w:rsidRPr="00832D05" w:rsidRDefault="00832D05" w:rsidP="00832D0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proofErr w:type="spellStart"/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src</w:t>
      </w:r>
      <w:proofErr w:type="spellEnd"/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/</w:t>
      </w:r>
      <w:r w:rsidRPr="00832D05">
        <w:rPr>
          <w:rFonts w:eastAsia="Times New Roman" w:cs="Times New Roman"/>
          <w:szCs w:val="24"/>
          <w:lang w:val="en-GB" w:eastAsia="en-GB"/>
        </w:rPr>
        <w:t xml:space="preserve"> — reusable pipelines (prep, training, scoring, monitoring)</w:t>
      </w:r>
    </w:p>
    <w:p w14:paraId="0E782C32" w14:textId="77777777" w:rsidR="00832D05" w:rsidRPr="00832D05" w:rsidRDefault="00832D05" w:rsidP="00832D0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proofErr w:type="spellStart"/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api</w:t>
      </w:r>
      <w:proofErr w:type="spellEnd"/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/</w:t>
      </w:r>
      <w:r w:rsidRPr="00832D05">
        <w:rPr>
          <w:rFonts w:eastAsia="Times New Roman" w:cs="Times New Roman"/>
          <w:szCs w:val="24"/>
          <w:lang w:val="en-GB" w:eastAsia="en-GB"/>
        </w:rPr>
        <w:t xml:space="preserve"> — </w:t>
      </w:r>
      <w:proofErr w:type="spellStart"/>
      <w:r w:rsidRPr="00832D05">
        <w:rPr>
          <w:rFonts w:eastAsia="Times New Roman" w:cs="Times New Roman"/>
          <w:szCs w:val="24"/>
          <w:lang w:val="en-GB" w:eastAsia="en-GB"/>
        </w:rPr>
        <w:t>FastAPI</w:t>
      </w:r>
      <w:proofErr w:type="spellEnd"/>
      <w:r w:rsidRPr="00832D05">
        <w:rPr>
          <w:rFonts w:eastAsia="Times New Roman" w:cs="Times New Roman"/>
          <w:szCs w:val="24"/>
          <w:lang w:val="en-GB" w:eastAsia="en-GB"/>
        </w:rPr>
        <w:t xml:space="preserve"> service for real-time scoring (optional)</w:t>
      </w:r>
    </w:p>
    <w:p w14:paraId="334424F3" w14:textId="77777777" w:rsidR="00832D05" w:rsidRPr="00832D05" w:rsidRDefault="00832D05" w:rsidP="00832D0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configs/</w:t>
      </w:r>
      <w:r w:rsidRPr="00832D05">
        <w:rPr>
          <w:rFonts w:eastAsia="Times New Roman" w:cs="Times New Roman"/>
          <w:szCs w:val="24"/>
          <w:lang w:val="en-GB" w:eastAsia="en-GB"/>
        </w:rPr>
        <w:t xml:space="preserve"> — thresholds, policy rules, model configs</w:t>
      </w:r>
    </w:p>
    <w:p w14:paraId="584A4D40" w14:textId="77777777" w:rsidR="00832D05" w:rsidRPr="00832D05" w:rsidRDefault="00832D05" w:rsidP="00832D05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832D05">
        <w:rPr>
          <w:rFonts w:ascii="Courier New" w:eastAsia="Times New Roman" w:hAnsi="Courier New" w:cs="Courier New"/>
          <w:sz w:val="20"/>
          <w:szCs w:val="20"/>
          <w:lang w:val="en-GB" w:eastAsia="en-GB"/>
        </w:rPr>
        <w:t>tests/</w:t>
      </w:r>
      <w:r w:rsidRPr="00832D05">
        <w:rPr>
          <w:rFonts w:eastAsia="Times New Roman" w:cs="Times New Roman"/>
          <w:szCs w:val="24"/>
          <w:lang w:val="en-GB" w:eastAsia="en-GB"/>
        </w:rPr>
        <w:t xml:space="preserve"> — unit tests for transformations and scoring logic</w:t>
      </w:r>
    </w:p>
    <w:p w14:paraId="2E9FD60C" w14:textId="77777777" w:rsidR="00D86364" w:rsidRPr="00EF43E9" w:rsidRDefault="00D86364" w:rsidP="00EF43E9">
      <w:pPr>
        <w:pStyle w:val="ListParagraph"/>
        <w:jc w:val="left"/>
        <w:rPr>
          <w:b/>
          <w:bCs/>
          <w:color w:val="EE0000"/>
          <w:lang w:val="en-GB"/>
        </w:rPr>
      </w:pPr>
    </w:p>
    <w:p w14:paraId="0C351095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FB617F">
        <w:rPr>
          <w:rFonts w:eastAsia="Times New Roman" w:cs="Times New Roman"/>
          <w:b/>
          <w:bCs/>
          <w:sz w:val="27"/>
          <w:szCs w:val="27"/>
          <w:lang w:val="en-GB" w:eastAsia="en-GB"/>
        </w:rPr>
        <w:t>Key outputs a credit risk model delivers (and how they help the organisation)</w:t>
      </w:r>
    </w:p>
    <w:p w14:paraId="6AC9E4A4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Probability of Default (PD)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a score like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PD = 3.2%</w:t>
      </w:r>
      <w:r w:rsidRPr="00FB617F">
        <w:rPr>
          <w:rFonts w:eastAsia="Times New Roman" w:cs="Times New Roman"/>
          <w:szCs w:val="24"/>
          <w:lang w:val="en-GB" w:eastAsia="en-GB"/>
        </w:rPr>
        <w:t xml:space="preserve"> chance of default within 12 months.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approve/decline decisions, risk-based pricing, portfolio risk estimation.</w:t>
      </w:r>
    </w:p>
    <w:p w14:paraId="5E55507A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Risk Score / Credit Scorecard Band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a score (e.g., 620) or band (A–E).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fast, consistent underwriting decisions; segmentation; policy rules.</w:t>
      </w:r>
    </w:p>
    <w:p w14:paraId="09FD3D8D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Decision Recommendation (Approve / Refer / Decline)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a suggested action based on PD + policy + affordability checks.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speeds up underwriting, reduces manual reviews, improves consistency.</w:t>
      </w:r>
    </w:p>
    <w:p w14:paraId="532F0CE8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lastRenderedPageBreak/>
        <w:t>Expected Loss (EL) and related risk metrics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EL = PD × LGD × EAD</w:t>
      </w:r>
      <w:r w:rsidRPr="00FB617F">
        <w:rPr>
          <w:rFonts w:eastAsia="Times New Roman" w:cs="Times New Roman"/>
          <w:szCs w:val="24"/>
          <w:lang w:val="en-GB" w:eastAsia="en-GB"/>
        </w:rPr>
        <w:t xml:space="preserve"> (plus sometimes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UL</w:t>
      </w:r>
      <w:r w:rsidRPr="00FB617F">
        <w:rPr>
          <w:rFonts w:eastAsia="Times New Roman" w:cs="Times New Roman"/>
          <w:szCs w:val="24"/>
          <w:lang w:val="en-GB" w:eastAsia="en-GB"/>
        </w:rPr>
        <w:t xml:space="preserve"> unexpected loss).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provisioning (e.g., IFRS 9), capital planning, portfolio strategy.</w:t>
      </w:r>
    </w:p>
    <w:p w14:paraId="4F0F1372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Pricing Inputs (Risk-based pricing)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risk premium or recommended APR/interest margin based on PD/EL.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profitable growth—price higher risk appropriately, stay competitive.</w:t>
      </w:r>
    </w:p>
    <w:p w14:paraId="1069DD3A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Early Warning Signals / Monitoring Flags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watchlist triggers (e.g., “risk rising”, “payment stress”).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proactive collections, customer support interventions, reduce losses.</w:t>
      </w:r>
    </w:p>
    <w:p w14:paraId="4858A142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Explainability / Reason Codes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top drivers for each decision (e.g., “high utilisation”, “thin file”).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regulatory compliance, customer communication, appeals handling.</w:t>
      </w:r>
    </w:p>
    <w:p w14:paraId="0B2F3ABF" w14:textId="77777777" w:rsidR="00FB617F" w:rsidRPr="00FB617F" w:rsidRDefault="00FB617F" w:rsidP="00FB617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Portfolio Insights &amp; Stress Testing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Output: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risk distribution across segments + projected defaults under scenarios.</w:t>
      </w:r>
      <w:r w:rsidRPr="00FB617F">
        <w:rPr>
          <w:rFonts w:eastAsia="Times New Roman" w:cs="Times New Roman"/>
          <w:szCs w:val="24"/>
          <w:lang w:val="en-GB" w:eastAsia="en-GB"/>
        </w:rPr>
        <w:br/>
      </w:r>
      <w:r w:rsidRPr="00FB617F">
        <w:rPr>
          <w:rFonts w:eastAsia="Times New Roman" w:cs="Times New Roman"/>
          <w:i/>
          <w:iCs/>
          <w:szCs w:val="24"/>
          <w:lang w:val="en-GB" w:eastAsia="en-GB"/>
        </w:rPr>
        <w:t>Helps: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planning for downturns, setting risk appetite, strategy adjustments.</w:t>
      </w:r>
    </w:p>
    <w:p w14:paraId="2DED55BA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FB617F">
        <w:rPr>
          <w:rFonts w:eastAsia="Times New Roman" w:cs="Times New Roman"/>
          <w:b/>
          <w:bCs/>
          <w:sz w:val="27"/>
          <w:szCs w:val="27"/>
          <w:lang w:val="en-GB" w:eastAsia="en-GB"/>
        </w:rPr>
        <w:t>What the organisation ultimately gains</w:t>
      </w:r>
    </w:p>
    <w:p w14:paraId="04FE9E16" w14:textId="77777777" w:rsidR="00FB617F" w:rsidRPr="00FB617F" w:rsidRDefault="00FB617F" w:rsidP="00FB617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Lower default losses</w:t>
      </w:r>
      <w:r w:rsidRPr="00FB617F">
        <w:rPr>
          <w:rFonts w:eastAsia="Times New Roman" w:cs="Times New Roman"/>
          <w:szCs w:val="24"/>
          <w:lang w:val="en-GB" w:eastAsia="en-GB"/>
        </w:rPr>
        <w:t xml:space="preserve"> through better selection and monitoring</w:t>
      </w:r>
    </w:p>
    <w:p w14:paraId="3703597B" w14:textId="77777777" w:rsidR="00FB617F" w:rsidRPr="00FB617F" w:rsidRDefault="00FB617F" w:rsidP="00FB617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Higher approval rates at same risk</w:t>
      </w:r>
      <w:r w:rsidRPr="00FB617F">
        <w:rPr>
          <w:rFonts w:eastAsia="Times New Roman" w:cs="Times New Roman"/>
          <w:szCs w:val="24"/>
          <w:lang w:val="en-GB" w:eastAsia="en-GB"/>
        </w:rPr>
        <w:t xml:space="preserve"> (more accurate segmentation)</w:t>
      </w:r>
    </w:p>
    <w:p w14:paraId="168C92F6" w14:textId="77777777" w:rsidR="00FB617F" w:rsidRPr="00FB617F" w:rsidRDefault="00FB617F" w:rsidP="00FB617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Improved profitability</w:t>
      </w:r>
      <w:r w:rsidRPr="00FB617F">
        <w:rPr>
          <w:rFonts w:eastAsia="Times New Roman" w:cs="Times New Roman"/>
          <w:szCs w:val="24"/>
          <w:lang w:val="en-GB" w:eastAsia="en-GB"/>
        </w:rPr>
        <w:t xml:space="preserve"> via risk-based pricing</w:t>
      </w:r>
    </w:p>
    <w:p w14:paraId="29EEA197" w14:textId="77777777" w:rsidR="00FB617F" w:rsidRPr="00FB617F" w:rsidRDefault="00FB617F" w:rsidP="00FB617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Regulatory confidence</w:t>
      </w:r>
      <w:r w:rsidRPr="00FB617F">
        <w:rPr>
          <w:rFonts w:eastAsia="Times New Roman" w:cs="Times New Roman"/>
          <w:szCs w:val="24"/>
          <w:lang w:val="en-GB" w:eastAsia="en-GB"/>
        </w:rPr>
        <w:t xml:space="preserve"> via explainability, governance, and auditability</w:t>
      </w:r>
    </w:p>
    <w:p w14:paraId="42B9D680" w14:textId="77777777" w:rsidR="00FB617F" w:rsidRPr="00FB617F" w:rsidRDefault="00FB617F" w:rsidP="00FB617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Operational efficiency</w:t>
      </w:r>
      <w:r w:rsidRPr="00FB617F">
        <w:rPr>
          <w:rFonts w:eastAsia="Times New Roman" w:cs="Times New Roman"/>
          <w:szCs w:val="24"/>
          <w:lang w:val="en-GB" w:eastAsia="en-GB"/>
        </w:rPr>
        <w:t xml:space="preserve"> via automation and consistent decisions</w:t>
      </w:r>
    </w:p>
    <w:p w14:paraId="54CCA591" w14:textId="77777777" w:rsidR="009B1EBD" w:rsidRDefault="009B1EBD" w:rsidP="009B1EBD">
      <w:pPr>
        <w:pStyle w:val="ListParagraph"/>
        <w:rPr>
          <w:lang w:val="en-GB"/>
        </w:rPr>
      </w:pPr>
    </w:p>
    <w:p w14:paraId="6CFB34FC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Below is a startup-ready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project workflow</w:t>
      </w:r>
      <w:r w:rsidRPr="00FB617F">
        <w:rPr>
          <w:rFonts w:eastAsia="Times New Roman" w:cs="Times New Roman"/>
          <w:szCs w:val="24"/>
          <w:lang w:val="en-GB" w:eastAsia="en-GB"/>
        </w:rPr>
        <w:t xml:space="preserve"> for a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Credit Risk Prediction (PD) application</w:t>
      </w:r>
      <w:r w:rsidRPr="00FB617F">
        <w:rPr>
          <w:rFonts w:eastAsia="Times New Roman" w:cs="Times New Roman"/>
          <w:szCs w:val="24"/>
          <w:lang w:val="en-GB" w:eastAsia="en-GB"/>
        </w:rPr>
        <w:t xml:space="preserve"> built on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Databricks Lakehouse</w:t>
      </w:r>
      <w:r w:rsidRPr="00FB617F">
        <w:rPr>
          <w:rFonts w:eastAsia="Times New Roman" w:cs="Times New Roman"/>
          <w:szCs w:val="24"/>
          <w:lang w:val="en-GB" w:eastAsia="en-GB"/>
        </w:rPr>
        <w:t xml:space="preserve">, designed for 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fintechs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 xml:space="preserve">/lenders/credit unions/BNPL to get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Probability of Default (PD)</w:t>
      </w:r>
      <w:r w:rsidRPr="00FB617F">
        <w:rPr>
          <w:rFonts w:eastAsia="Times New Roman" w:cs="Times New Roman"/>
          <w:szCs w:val="24"/>
          <w:lang w:val="en-GB" w:eastAsia="en-GB"/>
        </w:rPr>
        <w:t xml:space="preserve">,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Risk Band</w:t>
      </w:r>
      <w:r w:rsidRPr="00FB617F">
        <w:rPr>
          <w:rFonts w:eastAsia="Times New Roman" w:cs="Times New Roman"/>
          <w:szCs w:val="24"/>
          <w:lang w:val="en-GB" w:eastAsia="en-GB"/>
        </w:rPr>
        <w:t xml:space="preserve">, and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Explainability</w:t>
      </w:r>
      <w:r w:rsidRPr="00FB617F">
        <w:rPr>
          <w:rFonts w:eastAsia="Times New Roman" w:cs="Times New Roman"/>
          <w:szCs w:val="24"/>
          <w:lang w:val="en-GB" w:eastAsia="en-GB"/>
        </w:rPr>
        <w:t>.</w:t>
      </w:r>
    </w:p>
    <w:p w14:paraId="7C2C9623" w14:textId="77777777" w:rsidR="00FB617F" w:rsidRPr="00FB617F" w:rsidRDefault="00FB617F" w:rsidP="00FB617F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pict w14:anchorId="48A60A5A">
          <v:rect id="_x0000_i1025" style="width:0;height:1.5pt" o:hralign="center" o:hrstd="t" o:hr="t" fillcolor="#a0a0a0" stroked="f"/>
        </w:pict>
      </w:r>
    </w:p>
    <w:p w14:paraId="5588C0D0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FB617F">
        <w:rPr>
          <w:rFonts w:eastAsia="Times New Roman" w:cs="Times New Roman"/>
          <w:b/>
          <w:bCs/>
          <w:sz w:val="36"/>
          <w:szCs w:val="36"/>
          <w:lang w:val="en-GB" w:eastAsia="en-GB"/>
        </w:rPr>
        <w:t>1) Product framing and outputs</w:t>
      </w:r>
    </w:p>
    <w:p w14:paraId="7A59CE64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Core outputs per applicant/account</w:t>
      </w:r>
    </w:p>
    <w:p w14:paraId="624FC292" w14:textId="77777777" w:rsidR="00FB617F" w:rsidRPr="00FB617F" w:rsidRDefault="00FB617F" w:rsidP="00FB61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PD (Probability of Default)</w:t>
      </w:r>
      <w:r w:rsidRPr="00FB617F">
        <w:rPr>
          <w:rFonts w:eastAsia="Times New Roman" w:cs="Times New Roman"/>
          <w:szCs w:val="24"/>
          <w:lang w:val="en-GB" w:eastAsia="en-GB"/>
        </w:rPr>
        <w:t>: e.g., 0.00–1.00</w:t>
      </w:r>
    </w:p>
    <w:p w14:paraId="28E838C7" w14:textId="77777777" w:rsidR="00FB617F" w:rsidRPr="00FB617F" w:rsidRDefault="00FB617F" w:rsidP="00FB61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Risk band</w:t>
      </w:r>
      <w:r w:rsidRPr="00FB617F">
        <w:rPr>
          <w:rFonts w:eastAsia="Times New Roman" w:cs="Times New Roman"/>
          <w:szCs w:val="24"/>
          <w:lang w:val="en-GB" w:eastAsia="en-GB"/>
        </w:rPr>
        <w:t>: e.g., A–E (or Low/Med/High) mapped from PD and policy thresholds</w:t>
      </w:r>
    </w:p>
    <w:p w14:paraId="6FD6E6AF" w14:textId="77777777" w:rsidR="00FB617F" w:rsidRPr="00FB617F" w:rsidRDefault="00FB617F" w:rsidP="00FB61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Explainability</w:t>
      </w:r>
      <w:r w:rsidRPr="00FB617F">
        <w:rPr>
          <w:rFonts w:eastAsia="Times New Roman" w:cs="Times New Roman"/>
          <w:szCs w:val="24"/>
          <w:lang w:val="en-GB" w:eastAsia="en-GB"/>
        </w:rPr>
        <w:t>: global + local (top features driving the score, reason codes)</w:t>
      </w:r>
    </w:p>
    <w:p w14:paraId="225CB0DA" w14:textId="77777777" w:rsidR="00FB617F" w:rsidRPr="00FB617F" w:rsidRDefault="00FB617F" w:rsidP="00FB617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Optional: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policy decision</w:t>
      </w:r>
      <w:r w:rsidRPr="00FB617F">
        <w:rPr>
          <w:rFonts w:eastAsia="Times New Roman" w:cs="Times New Roman"/>
          <w:szCs w:val="24"/>
          <w:lang w:val="en-GB" w:eastAsia="en-GB"/>
        </w:rPr>
        <w:t xml:space="preserve"> (approve/refer/decline) and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limit/price suggestions</w:t>
      </w:r>
    </w:p>
    <w:p w14:paraId="58F9569D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Key design choice</w:t>
      </w:r>
    </w:p>
    <w:p w14:paraId="707CA072" w14:textId="77777777" w:rsidR="00FB617F" w:rsidRPr="00FB617F" w:rsidRDefault="00FB617F" w:rsidP="00FB617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Provide both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model output</w:t>
      </w:r>
      <w:r w:rsidRPr="00FB617F">
        <w:rPr>
          <w:rFonts w:eastAsia="Times New Roman" w:cs="Times New Roman"/>
          <w:szCs w:val="24"/>
          <w:lang w:val="en-GB" w:eastAsia="en-GB"/>
        </w:rPr>
        <w:t xml:space="preserve"> (PD + drivers) and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client-configurable policy layer</w:t>
      </w:r>
      <w:r w:rsidRPr="00FB617F">
        <w:rPr>
          <w:rFonts w:eastAsia="Times New Roman" w:cs="Times New Roman"/>
          <w:szCs w:val="24"/>
          <w:lang w:val="en-GB" w:eastAsia="en-GB"/>
        </w:rPr>
        <w:t xml:space="preserve"> (risk bands/decision rules).</w:t>
      </w:r>
    </w:p>
    <w:p w14:paraId="78242654" w14:textId="77777777" w:rsidR="00FB617F" w:rsidRPr="00FB617F" w:rsidRDefault="00FB617F" w:rsidP="00FB617F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pict w14:anchorId="24E7E940">
          <v:rect id="_x0000_i1026" style="width:0;height:1.5pt" o:hralign="center" o:hrstd="t" o:hr="t" fillcolor="#a0a0a0" stroked="f"/>
        </w:pict>
      </w:r>
    </w:p>
    <w:p w14:paraId="1DDF5A88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FB617F">
        <w:rPr>
          <w:rFonts w:eastAsia="Times New Roman" w:cs="Times New Roman"/>
          <w:b/>
          <w:bCs/>
          <w:sz w:val="36"/>
          <w:szCs w:val="36"/>
          <w:lang w:val="en-GB" w:eastAsia="en-GB"/>
        </w:rPr>
        <w:t>2) Databricks reference architecture (Lakehouse-first)</w:t>
      </w:r>
    </w:p>
    <w:p w14:paraId="1CA0CA2E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lastRenderedPageBreak/>
        <w:t>Storage: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Delta Lake (Bronze/Silver/Gold)</w:t>
      </w:r>
    </w:p>
    <w:p w14:paraId="5F791815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Governance: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Unity 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Catalog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 xml:space="preserve"> + fine-grained access controls</w:t>
      </w:r>
    </w:p>
    <w:p w14:paraId="439DC182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Compute/ETL: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Databricks Jobs + Workflows</w:t>
      </w:r>
    </w:p>
    <w:p w14:paraId="161576F0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Feature management: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Databricks Feature Store (or managed tables + feature views)</w:t>
      </w:r>
    </w:p>
    <w:p w14:paraId="50809F71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Model lifecycle: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MLflow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 xml:space="preserve"> Tracking + Model Registry</w:t>
      </w:r>
    </w:p>
    <w:p w14:paraId="71718C1D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Serving: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Databricks Model Serving (REST endpoint) + optional real-time feature lookup</w:t>
      </w:r>
    </w:p>
    <w:p w14:paraId="2C191B1D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Monitoring: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Model monitoring (drift/performance), data quality checks, logging to Delta</w:t>
      </w:r>
    </w:p>
    <w:p w14:paraId="5A31F4A3" w14:textId="77777777" w:rsidR="00FB617F" w:rsidRPr="00FB617F" w:rsidRDefault="00FB617F" w:rsidP="00FB617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CI/CD:</w:t>
      </w:r>
      <w:r w:rsidRPr="00FB617F">
        <w:rPr>
          <w:rFonts w:eastAsia="Times New Roman" w:cs="Times New Roman"/>
          <w:szCs w:val="24"/>
          <w:lang w:val="en-GB" w:eastAsia="en-GB"/>
        </w:rPr>
        <w:t xml:space="preserve"> Git integration + Databricks Repos + deployment via pipelines</w:t>
      </w:r>
    </w:p>
    <w:p w14:paraId="4982E788" w14:textId="77777777" w:rsidR="00FB617F" w:rsidRPr="00FB617F" w:rsidRDefault="00FB617F" w:rsidP="00FB617F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pict w14:anchorId="6FEC0BD2">
          <v:rect id="_x0000_i1027" style="width:0;height:1.5pt" o:hralign="center" o:hrstd="t" o:hr="t" fillcolor="#a0a0a0" stroked="f"/>
        </w:pict>
      </w:r>
    </w:p>
    <w:p w14:paraId="3DF92FD6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val="en-GB" w:eastAsia="en-GB"/>
        </w:rPr>
      </w:pPr>
      <w:r w:rsidRPr="00FB617F">
        <w:rPr>
          <w:rFonts w:eastAsia="Times New Roman" w:cs="Times New Roman"/>
          <w:b/>
          <w:bCs/>
          <w:sz w:val="36"/>
          <w:szCs w:val="36"/>
          <w:lang w:val="en-GB" w:eastAsia="en-GB"/>
        </w:rPr>
        <w:t>3) End-to-end workflow (build → launch → scale)</w:t>
      </w:r>
    </w:p>
    <w:p w14:paraId="1BAD0002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FB617F">
        <w:rPr>
          <w:rFonts w:eastAsia="Times New Roman" w:cs="Times New Roman"/>
          <w:b/>
          <w:bCs/>
          <w:sz w:val="27"/>
          <w:szCs w:val="27"/>
          <w:lang w:val="en-GB" w:eastAsia="en-GB"/>
        </w:rPr>
        <w:t xml:space="preserve">Phase A — Data onboarding and </w:t>
      </w:r>
      <w:proofErr w:type="spellStart"/>
      <w:r w:rsidRPr="00FB617F">
        <w:rPr>
          <w:rFonts w:eastAsia="Times New Roman" w:cs="Times New Roman"/>
          <w:b/>
          <w:bCs/>
          <w:sz w:val="27"/>
          <w:szCs w:val="27"/>
          <w:lang w:val="en-GB" w:eastAsia="en-GB"/>
        </w:rPr>
        <w:t>lakehouse</w:t>
      </w:r>
      <w:proofErr w:type="spellEnd"/>
      <w:r w:rsidRPr="00FB617F">
        <w:rPr>
          <w:rFonts w:eastAsia="Times New Roman" w:cs="Times New Roman"/>
          <w:b/>
          <w:bCs/>
          <w:sz w:val="27"/>
          <w:szCs w:val="27"/>
          <w:lang w:val="en-GB" w:eastAsia="en-GB"/>
        </w:rPr>
        <w:t xml:space="preserve"> setup</w:t>
      </w:r>
    </w:p>
    <w:p w14:paraId="56E60958" w14:textId="77777777" w:rsidR="00FB617F" w:rsidRPr="00FB617F" w:rsidRDefault="00FB617F" w:rsidP="00FB61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Define data contracts per customer (tenant)</w:t>
      </w:r>
    </w:p>
    <w:p w14:paraId="52014CC9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Required fields: applicant attributes, bureau features (if available), transaction summaries, repayment history, delinquencies, BNPL schedules, etc.</w:t>
      </w:r>
    </w:p>
    <w:p w14:paraId="16EB905E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Label definition: default window (e.g., 90+ DPD within 12 months) + observation window.</w:t>
      </w:r>
    </w:p>
    <w:p w14:paraId="660E155A" w14:textId="77777777" w:rsidR="00FB617F" w:rsidRPr="00FB617F" w:rsidRDefault="00FB617F" w:rsidP="00FB61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Ingest data into Bronze (raw)</w:t>
      </w:r>
    </w:p>
    <w:p w14:paraId="4556082B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Sources: S3/ADLS uploads, secure API ingestion, database replication, streaming events.</w:t>
      </w:r>
    </w:p>
    <w:p w14:paraId="108437BC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Store as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Delta</w:t>
      </w:r>
      <w:r w:rsidRPr="00FB617F">
        <w:rPr>
          <w:rFonts w:eastAsia="Times New Roman" w:cs="Times New Roman"/>
          <w:szCs w:val="24"/>
          <w:lang w:val="en-GB" w:eastAsia="en-GB"/>
        </w:rPr>
        <w:t xml:space="preserve"> with lineage and immutability controls.</w:t>
      </w:r>
    </w:p>
    <w:p w14:paraId="3B5AE02B" w14:textId="77777777" w:rsidR="00FB617F" w:rsidRPr="00FB617F" w:rsidRDefault="00FB617F" w:rsidP="00FB61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Clean/standardize into Silver</w:t>
      </w:r>
    </w:p>
    <w:p w14:paraId="2856A64B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De-duplication, missing value handling rules, consistent data types, identity resolution (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applicant_id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>/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customer_id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>).</w:t>
      </w:r>
    </w:p>
    <w:p w14:paraId="1F364877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Add quality checks (Great Expectations-style or Databricks expectations).</w:t>
      </w:r>
    </w:p>
    <w:p w14:paraId="0086C012" w14:textId="77777777" w:rsidR="00FB617F" w:rsidRPr="00FB617F" w:rsidRDefault="00FB617F" w:rsidP="00FB617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Business-ready Gold tables</w:t>
      </w:r>
    </w:p>
    <w:p w14:paraId="4C8326EA" w14:textId="77777777" w:rsidR="00FB617F" w:rsidRPr="00FB617F" w:rsidRDefault="00FB617F" w:rsidP="00FB617F">
      <w:pPr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Curated tables for 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modeling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 xml:space="preserve"> and reporting: customer snapshots, repayment performance, loan ledger aggregates, behavioural rollups.</w:t>
      </w:r>
    </w:p>
    <w:p w14:paraId="5E78B793" w14:textId="77777777" w:rsidR="00FB617F" w:rsidRPr="00FB617F" w:rsidRDefault="00FB617F" w:rsidP="00FB617F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pict w14:anchorId="4D8E73BF">
          <v:rect id="_x0000_i1028" style="width:0;height:1.5pt" o:hralign="center" o:hrstd="t" o:hr="t" fillcolor="#a0a0a0" stroked="f"/>
        </w:pict>
      </w:r>
    </w:p>
    <w:p w14:paraId="58275C2A" w14:textId="77777777" w:rsidR="00FB617F" w:rsidRPr="00FB617F" w:rsidRDefault="00FB617F" w:rsidP="00FB617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val="en-GB" w:eastAsia="en-GB"/>
        </w:rPr>
      </w:pPr>
      <w:r w:rsidRPr="00FB617F">
        <w:rPr>
          <w:rFonts w:eastAsia="Times New Roman" w:cs="Times New Roman"/>
          <w:b/>
          <w:bCs/>
          <w:sz w:val="27"/>
          <w:szCs w:val="27"/>
          <w:lang w:val="en-GB" w:eastAsia="en-GB"/>
        </w:rPr>
        <w:t>Phase B — Feature engineering and Feature Store</w:t>
      </w:r>
    </w:p>
    <w:p w14:paraId="7907A852" w14:textId="77777777" w:rsidR="00FB617F" w:rsidRPr="00FB617F" w:rsidRDefault="00FB617F" w:rsidP="00FB617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Build feature pipelines</w:t>
      </w:r>
    </w:p>
    <w:p w14:paraId="35D155AA" w14:textId="77777777" w:rsidR="00FB617F" w:rsidRPr="00FB617F" w:rsidRDefault="00FB617F" w:rsidP="00FB617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Examples: utilization ratios, debt-to-income proxies, repayment consistency, cashflow volatility, BNPL utilization/late fees, credit age proxies, recent inquiries proxies, delinquency flags.</w:t>
      </w:r>
    </w:p>
    <w:p w14:paraId="3AD0289C" w14:textId="77777777" w:rsidR="00FB617F" w:rsidRPr="00FB617F" w:rsidRDefault="00FB617F" w:rsidP="00FB617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Time-aware features: avoid leakage by computing features at </w:t>
      </w:r>
      <w:r w:rsidRPr="00FB617F">
        <w:rPr>
          <w:rFonts w:eastAsia="Times New Roman" w:cs="Times New Roman"/>
          <w:b/>
          <w:bCs/>
          <w:szCs w:val="24"/>
          <w:lang w:val="en-GB" w:eastAsia="en-GB"/>
        </w:rPr>
        <w:t>application time</w:t>
      </w:r>
      <w:r w:rsidRPr="00FB617F">
        <w:rPr>
          <w:rFonts w:eastAsia="Times New Roman" w:cs="Times New Roman"/>
          <w:szCs w:val="24"/>
          <w:lang w:val="en-GB" w:eastAsia="en-GB"/>
        </w:rPr>
        <w:t>.</w:t>
      </w:r>
    </w:p>
    <w:p w14:paraId="5EB2B7F2" w14:textId="77777777" w:rsidR="00FB617F" w:rsidRPr="00FB617F" w:rsidRDefault="00FB617F" w:rsidP="00FB617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b/>
          <w:bCs/>
          <w:szCs w:val="24"/>
          <w:lang w:val="en-GB" w:eastAsia="en-GB"/>
        </w:rPr>
        <w:t>Register features</w:t>
      </w:r>
    </w:p>
    <w:p w14:paraId="09479F80" w14:textId="77777777" w:rsidR="00FB617F" w:rsidRPr="00FB617F" w:rsidRDefault="00FB617F" w:rsidP="00FB617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 xml:space="preserve">Use Feature Store (or “feature tables” in Unity </w:t>
      </w:r>
      <w:proofErr w:type="spellStart"/>
      <w:r w:rsidRPr="00FB617F">
        <w:rPr>
          <w:rFonts w:eastAsia="Times New Roman" w:cs="Times New Roman"/>
          <w:szCs w:val="24"/>
          <w:lang w:val="en-GB" w:eastAsia="en-GB"/>
        </w:rPr>
        <w:t>Catalog</w:t>
      </w:r>
      <w:proofErr w:type="spellEnd"/>
      <w:r w:rsidRPr="00FB617F">
        <w:rPr>
          <w:rFonts w:eastAsia="Times New Roman" w:cs="Times New Roman"/>
          <w:szCs w:val="24"/>
          <w:lang w:val="en-GB" w:eastAsia="en-GB"/>
        </w:rPr>
        <w:t>) with:</w:t>
      </w:r>
    </w:p>
    <w:p w14:paraId="1BBEAA26" w14:textId="77777777" w:rsidR="00FB617F" w:rsidRPr="00FB617F" w:rsidRDefault="00FB617F" w:rsidP="00FB617F">
      <w:pPr>
        <w:numPr>
          <w:ilvl w:val="2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feature definitions</w:t>
      </w:r>
    </w:p>
    <w:p w14:paraId="7C923391" w14:textId="77777777" w:rsidR="00FB617F" w:rsidRPr="00FB617F" w:rsidRDefault="00FB617F" w:rsidP="00FB617F">
      <w:pPr>
        <w:numPr>
          <w:ilvl w:val="2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versioning</w:t>
      </w:r>
    </w:p>
    <w:p w14:paraId="0FD1319F" w14:textId="77777777" w:rsidR="00FB617F" w:rsidRPr="00FB617F" w:rsidRDefault="00FB617F" w:rsidP="00FB617F">
      <w:pPr>
        <w:numPr>
          <w:ilvl w:val="2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t>training/serving consistency</w:t>
      </w:r>
    </w:p>
    <w:p w14:paraId="6769629F" w14:textId="77777777" w:rsidR="00FB617F" w:rsidRPr="00FB617F" w:rsidRDefault="00FB617F" w:rsidP="00FB617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 w:rsidRPr="00FB617F">
        <w:rPr>
          <w:rFonts w:eastAsia="Times New Roman" w:cs="Times New Roman"/>
          <w:szCs w:val="24"/>
          <w:lang w:val="en-GB" w:eastAsia="en-GB"/>
        </w:rPr>
        <w:lastRenderedPageBreak/>
        <w:t>Create “Feature Views” per product type (loan/BNPL/credit card).</w:t>
      </w:r>
    </w:p>
    <w:p w14:paraId="5F579CEA" w14:textId="77777777" w:rsidR="009B1EBD" w:rsidRDefault="009B1EBD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73392F35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4DB152E8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4CEBC59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0E8C043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439057D5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611CB6A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F928D52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6E3D972D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0AACBDC6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EF278E5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6190C6D4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529C091D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477DA68D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407FE0C1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56B3D238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007B8E8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2B43D142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483D25CD" w14:textId="77777777" w:rsid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6767D731" w14:textId="77777777" w:rsidR="00FB617F" w:rsidRP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</w:p>
    <w:p w14:paraId="09BC2CAD" w14:textId="573AC49C" w:rsidR="009B1EBD" w:rsidRPr="00FB617F" w:rsidRDefault="00FB617F" w:rsidP="009B1EBD">
      <w:pPr>
        <w:pStyle w:val="ListParagraph"/>
        <w:rPr>
          <w:b/>
          <w:bCs/>
          <w:color w:val="EE0000"/>
          <w:sz w:val="44"/>
          <w:szCs w:val="40"/>
          <w:lang w:val="en-GB"/>
        </w:rPr>
      </w:pPr>
      <w:r w:rsidRPr="00FB617F">
        <w:rPr>
          <w:b/>
          <w:bCs/>
          <w:color w:val="EE0000"/>
          <w:sz w:val="44"/>
          <w:szCs w:val="40"/>
          <w:lang w:val="en-GB"/>
        </w:rPr>
        <w:t>OTHERS</w:t>
      </w:r>
    </w:p>
    <w:p w14:paraId="188C344B" w14:textId="7F561AAD" w:rsidR="009B1EBD" w:rsidRDefault="009B1EBD" w:rsidP="009B1EBD">
      <w:pPr>
        <w:pStyle w:val="ListParagraph"/>
        <w:rPr>
          <w:lang w:val="en-GB"/>
        </w:rPr>
      </w:pPr>
      <w:r>
        <w:rPr>
          <w:lang w:val="en-GB"/>
        </w:rPr>
        <w:t>Dataset</w:t>
      </w:r>
    </w:p>
    <w:p w14:paraId="240EC191" w14:textId="78AC4E5E" w:rsidR="00DF2C0D" w:rsidRDefault="00123526" w:rsidP="00DF2C0D">
      <w:pPr>
        <w:pStyle w:val="ListParagraph"/>
        <w:numPr>
          <w:ilvl w:val="0"/>
          <w:numId w:val="2"/>
        </w:numPr>
        <w:rPr>
          <w:color w:val="EE0000"/>
          <w:lang w:val="en-GB"/>
        </w:rPr>
      </w:pPr>
      <w:r w:rsidRPr="00123526">
        <w:rPr>
          <w:color w:val="EE0000"/>
          <w:lang w:val="en-GB"/>
        </w:rPr>
        <w:t>Credit risk probability prediction model</w:t>
      </w:r>
      <w:r w:rsidR="00DF2C0D">
        <w:rPr>
          <w:color w:val="EE0000"/>
          <w:lang w:val="en-GB"/>
        </w:rPr>
        <w:t xml:space="preserve"> : </w:t>
      </w:r>
    </w:p>
    <w:p w14:paraId="2E4C1966" w14:textId="36D4FD86" w:rsidR="00DF2C0D" w:rsidRDefault="00DF2C0D" w:rsidP="00DF2C0D">
      <w:pPr>
        <w:pStyle w:val="ListParagraph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 xml:space="preserve">These dataset was collected from Kaggle loaded into the azure ADLS gen 2 storage resource using </w:t>
      </w:r>
      <w:proofErr w:type="spellStart"/>
      <w:r w:rsidRPr="00DF2C0D">
        <w:rPr>
          <w:color w:val="000000" w:themeColor="text1"/>
          <w:lang w:val="en-GB"/>
        </w:rPr>
        <w:t>ms</w:t>
      </w:r>
      <w:proofErr w:type="spellEnd"/>
      <w:r w:rsidRPr="00DF2C0D">
        <w:rPr>
          <w:color w:val="000000" w:themeColor="text1"/>
          <w:lang w:val="en-GB"/>
        </w:rPr>
        <w:t xml:space="preserve"> azure storage explorer</w:t>
      </w:r>
    </w:p>
    <w:p w14:paraId="493CC356" w14:textId="47C09700" w:rsidR="00DF2C0D" w:rsidRDefault="00401196" w:rsidP="00DF2C0D">
      <w:pPr>
        <w:pStyle w:val="ListParagraph"/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This datasets will be loaded into the ADF </w:t>
      </w:r>
      <w:r w:rsidR="00DF2C0D">
        <w:rPr>
          <w:color w:val="000000" w:themeColor="text1"/>
          <w:lang w:val="en-GB"/>
        </w:rPr>
        <w:t xml:space="preserve">medallion architecture: raw, </w:t>
      </w:r>
      <w:r>
        <w:rPr>
          <w:color w:val="000000" w:themeColor="text1"/>
          <w:lang w:val="en-GB"/>
        </w:rPr>
        <w:t>bronze</w:t>
      </w:r>
      <w:r w:rsidR="00DF2C0D">
        <w:rPr>
          <w:color w:val="000000" w:themeColor="text1"/>
          <w:lang w:val="en-GB"/>
        </w:rPr>
        <w:t xml:space="preserve">, silver and gold </w:t>
      </w:r>
      <w:proofErr w:type="spellStart"/>
      <w:r w:rsidR="00DF2C0D">
        <w:rPr>
          <w:color w:val="000000" w:themeColor="text1"/>
          <w:lang w:val="en-GB"/>
        </w:rPr>
        <w:t>directories</w:t>
      </w:r>
      <w:r>
        <w:rPr>
          <w:color w:val="000000" w:themeColor="text1"/>
          <w:lang w:val="en-GB"/>
        </w:rPr>
        <w:t>.</w:t>
      </w:r>
      <w:r w:rsidR="00DF2C0D">
        <w:rPr>
          <w:color w:val="000000" w:themeColor="text1"/>
          <w:lang w:val="en-GB"/>
        </w:rPr>
        <w:t>|Test</w:t>
      </w:r>
      <w:proofErr w:type="spellEnd"/>
      <w:r w:rsidR="00DF2C0D">
        <w:rPr>
          <w:color w:val="000000" w:themeColor="text1"/>
          <w:lang w:val="en-GB"/>
        </w:rPr>
        <w:t xml:space="preserve"> files were loaded using copy data activity of ADF </w:t>
      </w:r>
    </w:p>
    <w:p w14:paraId="0192C97E" w14:textId="77777777" w:rsidR="00DF2C0D" w:rsidRDefault="00DF2C0D" w:rsidP="00DF2C0D">
      <w:pPr>
        <w:pStyle w:val="ListParagraph"/>
        <w:rPr>
          <w:color w:val="000000" w:themeColor="text1"/>
          <w:lang w:val="en-GB"/>
        </w:rPr>
      </w:pPr>
    </w:p>
    <w:p w14:paraId="390A2723" w14:textId="77777777" w:rsidR="00DF2C0D" w:rsidRPr="00DF2C0D" w:rsidRDefault="00DF2C0D" w:rsidP="00DF2C0D">
      <w:pPr>
        <w:pStyle w:val="ListParagraph"/>
        <w:rPr>
          <w:color w:val="EE0000"/>
          <w:lang w:val="en-GB"/>
        </w:rPr>
      </w:pPr>
    </w:p>
    <w:p w14:paraId="5607A4F7" w14:textId="7E8322C7" w:rsidR="00DF2C0D" w:rsidRPr="00DF2C0D" w:rsidRDefault="00DF2C0D" w:rsidP="00DF2C0D">
      <w:pPr>
        <w:pStyle w:val="ListParagraph"/>
        <w:numPr>
          <w:ilvl w:val="0"/>
          <w:numId w:val="2"/>
        </w:numPr>
        <w:rPr>
          <w:color w:val="000000" w:themeColor="text1"/>
          <w:lang w:val="en-GB"/>
        </w:rPr>
      </w:pPr>
      <w:r w:rsidRPr="00DF2C0D">
        <w:rPr>
          <w:color w:val="EE0000"/>
          <w:lang w:val="en-GB"/>
        </w:rPr>
        <w:t>Debt collection strategy (analytics and propensity to pay model)</w:t>
      </w:r>
      <w:r>
        <w:rPr>
          <w:color w:val="EE0000"/>
          <w:lang w:val="en-GB"/>
        </w:rPr>
        <w:t xml:space="preserve">: </w:t>
      </w:r>
      <w:r w:rsidRPr="00DF2C0D">
        <w:rPr>
          <w:color w:val="000000" w:themeColor="text1"/>
          <w:lang w:val="en-GB"/>
        </w:rPr>
        <w:t xml:space="preserve">Random dataset generated from </w:t>
      </w:r>
      <w:proofErr w:type="spellStart"/>
      <w:r w:rsidRPr="00DF2C0D">
        <w:rPr>
          <w:color w:val="000000" w:themeColor="text1"/>
          <w:lang w:val="en-GB"/>
        </w:rPr>
        <w:t>Chatgpt</w:t>
      </w:r>
      <w:proofErr w:type="spellEnd"/>
      <w:r w:rsidRPr="00DF2C0D">
        <w:rPr>
          <w:color w:val="000000" w:themeColor="text1"/>
          <w:lang w:val="en-GB"/>
        </w:rPr>
        <w:t xml:space="preserve"> </w:t>
      </w:r>
      <w:r w:rsidR="00401196">
        <w:rPr>
          <w:color w:val="000000" w:themeColor="text1"/>
          <w:lang w:val="en-GB"/>
        </w:rPr>
        <w:t xml:space="preserve"> to carry out analysis for </w:t>
      </w:r>
      <w:proofErr w:type="spellStart"/>
      <w:r w:rsidR="00401196">
        <w:rPr>
          <w:color w:val="000000" w:themeColor="text1"/>
          <w:lang w:val="en-GB"/>
        </w:rPr>
        <w:t>thames</w:t>
      </w:r>
      <w:proofErr w:type="spellEnd"/>
      <w:r w:rsidR="00401196">
        <w:rPr>
          <w:color w:val="000000" w:themeColor="text1"/>
          <w:lang w:val="en-GB"/>
        </w:rPr>
        <w:t xml:space="preserve"> water debt collection project deliverables and augment the application with debt collection capabilities. All dataset having </w:t>
      </w:r>
      <w:proofErr w:type="spellStart"/>
      <w:r w:rsidR="00401196">
        <w:rPr>
          <w:color w:val="000000" w:themeColor="text1"/>
          <w:lang w:val="en-GB"/>
        </w:rPr>
        <w:t>thames</w:t>
      </w:r>
      <w:proofErr w:type="spellEnd"/>
      <w:r w:rsidR="00401196">
        <w:rPr>
          <w:color w:val="000000" w:themeColor="text1"/>
          <w:lang w:val="en-GB"/>
        </w:rPr>
        <w:t xml:space="preserve"> with their names are the dataset for this sub section of the project. These files will also be loaded into the ADF medallion raw directory </w:t>
      </w:r>
    </w:p>
    <w:p w14:paraId="6672CBB8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>What’s inside (high level)</w:t>
      </w:r>
    </w:p>
    <w:p w14:paraId="5CFE43E2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Customer &amp; premise keys: </w:t>
      </w:r>
      <w:proofErr w:type="spellStart"/>
      <w:r w:rsidRPr="00DF2C0D">
        <w:rPr>
          <w:color w:val="000000" w:themeColor="text1"/>
          <w:lang w:val="en-GB"/>
        </w:rPr>
        <w:t>customer_id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account_number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premise_id</w:t>
      </w:r>
      <w:proofErr w:type="spellEnd"/>
      <w:r w:rsidRPr="00DF2C0D">
        <w:rPr>
          <w:color w:val="000000" w:themeColor="text1"/>
          <w:lang w:val="en-GB"/>
        </w:rPr>
        <w:t xml:space="preserve">, region, </w:t>
      </w:r>
      <w:proofErr w:type="spellStart"/>
      <w:r w:rsidRPr="00DF2C0D">
        <w:rPr>
          <w:color w:val="000000" w:themeColor="text1"/>
          <w:lang w:val="en-GB"/>
        </w:rPr>
        <w:t>postcode_outward</w:t>
      </w:r>
      <w:proofErr w:type="spellEnd"/>
    </w:p>
    <w:p w14:paraId="217F207A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Billing &amp; usage: </w:t>
      </w:r>
      <w:proofErr w:type="spellStart"/>
      <w:r w:rsidRPr="00DF2C0D">
        <w:rPr>
          <w:color w:val="000000" w:themeColor="text1"/>
          <w:lang w:val="en-GB"/>
        </w:rPr>
        <w:t>tariff_type</w:t>
      </w:r>
      <w:proofErr w:type="spellEnd"/>
      <w:r w:rsidRPr="00DF2C0D">
        <w:rPr>
          <w:color w:val="000000" w:themeColor="text1"/>
          <w:lang w:val="en-GB"/>
        </w:rPr>
        <w:t xml:space="preserve"> (Metered/Unmeasured/Assessed/Social), </w:t>
      </w:r>
      <w:proofErr w:type="spellStart"/>
      <w:r w:rsidRPr="00DF2C0D">
        <w:rPr>
          <w:color w:val="000000" w:themeColor="text1"/>
          <w:lang w:val="en-GB"/>
        </w:rPr>
        <w:t>meter_status</w:t>
      </w:r>
      <w:proofErr w:type="spellEnd"/>
      <w:r w:rsidRPr="00DF2C0D">
        <w:rPr>
          <w:color w:val="000000" w:themeColor="text1"/>
          <w:lang w:val="en-GB"/>
        </w:rPr>
        <w:t xml:space="preserve">, avg_monthly_usage_m3, </w:t>
      </w:r>
      <w:proofErr w:type="spellStart"/>
      <w:r w:rsidRPr="00DF2C0D">
        <w:rPr>
          <w:color w:val="000000" w:themeColor="text1"/>
          <w:lang w:val="en-GB"/>
        </w:rPr>
        <w:t>latest_bill_amount_gbp</w:t>
      </w:r>
      <w:proofErr w:type="spellEnd"/>
    </w:p>
    <w:p w14:paraId="250DA6F6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Debt &amp; delinquency: </w:t>
      </w:r>
      <w:proofErr w:type="spellStart"/>
      <w:r w:rsidRPr="00DF2C0D">
        <w:rPr>
          <w:color w:val="000000" w:themeColor="text1"/>
          <w:lang w:val="en-GB"/>
        </w:rPr>
        <w:t>current_balance_gbp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days_past_due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delinquency_bucket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dunning_level</w:t>
      </w:r>
      <w:proofErr w:type="spellEnd"/>
    </w:p>
    <w:p w14:paraId="17CAFF84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>Behavioural signals: on_time_pay_ratio_12m, pay_to_bill_ratio_3m, last payment amount/date</w:t>
      </w:r>
    </w:p>
    <w:p w14:paraId="61B91DC1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Contactability &amp; ops: </w:t>
      </w:r>
      <w:proofErr w:type="spellStart"/>
      <w:r w:rsidRPr="00DF2C0D">
        <w:rPr>
          <w:color w:val="000000" w:themeColor="text1"/>
          <w:lang w:val="en-GB"/>
        </w:rPr>
        <w:t>email_valid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phone_valid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returned_mail_flag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last_contact_channel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last_contact_outcome</w:t>
      </w:r>
      <w:proofErr w:type="spellEnd"/>
      <w:r w:rsidRPr="00DF2C0D">
        <w:rPr>
          <w:color w:val="000000" w:themeColor="text1"/>
          <w:lang w:val="en-GB"/>
        </w:rPr>
        <w:t>, contact_attempts_30d</w:t>
      </w:r>
    </w:p>
    <w:p w14:paraId="15B754CD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Arrangements: </w:t>
      </w:r>
      <w:proofErr w:type="spellStart"/>
      <w:r w:rsidRPr="00DF2C0D">
        <w:rPr>
          <w:color w:val="000000" w:themeColor="text1"/>
          <w:lang w:val="en-GB"/>
        </w:rPr>
        <w:t>installment_plan_flag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promise_to_pay_flag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promise_to_pay_date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promise_to_pay_amount_gbp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broken_promises_count</w:t>
      </w:r>
      <w:proofErr w:type="spellEnd"/>
    </w:p>
    <w:p w14:paraId="353CEE3A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Risk &amp; compliance: </w:t>
      </w:r>
      <w:proofErr w:type="spellStart"/>
      <w:r w:rsidRPr="00DF2C0D">
        <w:rPr>
          <w:color w:val="000000" w:themeColor="text1"/>
          <w:lang w:val="en-GB"/>
        </w:rPr>
        <w:t>risk_score</w:t>
      </w:r>
      <w:proofErr w:type="spellEnd"/>
      <w:r w:rsidRPr="00DF2C0D">
        <w:rPr>
          <w:color w:val="000000" w:themeColor="text1"/>
          <w:lang w:val="en-GB"/>
        </w:rPr>
        <w:t xml:space="preserve"> (300–900), </w:t>
      </w:r>
      <w:proofErr w:type="spellStart"/>
      <w:r w:rsidRPr="00DF2C0D">
        <w:rPr>
          <w:color w:val="000000" w:themeColor="text1"/>
          <w:lang w:val="en-GB"/>
        </w:rPr>
        <w:t>risk_band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credit_class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hardship_flag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vulnerability_flag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complaint_flag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regulator_case_flag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bankruptcy_flag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write_off_flag</w:t>
      </w:r>
      <w:proofErr w:type="spellEnd"/>
    </w:p>
    <w:p w14:paraId="7D8BF1EC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Context features: </w:t>
      </w:r>
      <w:proofErr w:type="spellStart"/>
      <w:r w:rsidRPr="00DF2C0D">
        <w:rPr>
          <w:color w:val="000000" w:themeColor="text1"/>
          <w:lang w:val="en-GB"/>
        </w:rPr>
        <w:t>property_type</w:t>
      </w:r>
      <w:proofErr w:type="spellEnd"/>
      <w:r w:rsidRPr="00DF2C0D">
        <w:rPr>
          <w:color w:val="000000" w:themeColor="text1"/>
          <w:lang w:val="en-GB"/>
        </w:rPr>
        <w:t xml:space="preserve">, occupancy, </w:t>
      </w:r>
      <w:proofErr w:type="spellStart"/>
      <w:r w:rsidRPr="00DF2C0D">
        <w:rPr>
          <w:color w:val="000000" w:themeColor="text1"/>
          <w:lang w:val="en-GB"/>
        </w:rPr>
        <w:t>affordability_score</w:t>
      </w:r>
      <w:proofErr w:type="spellEnd"/>
      <w:r w:rsidRPr="00DF2C0D">
        <w:rPr>
          <w:color w:val="000000" w:themeColor="text1"/>
          <w:lang w:val="en-GB"/>
        </w:rPr>
        <w:t xml:space="preserve">, deprivation_decile_1_most, </w:t>
      </w:r>
      <w:proofErr w:type="spellStart"/>
      <w:r w:rsidRPr="00DF2C0D">
        <w:rPr>
          <w:color w:val="000000" w:themeColor="text1"/>
          <w:lang w:val="en-GB"/>
        </w:rPr>
        <w:t>read_frequency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estimated_bill_flag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leakage_suspected_flag</w:t>
      </w:r>
      <w:proofErr w:type="spellEnd"/>
    </w:p>
    <w:p w14:paraId="7CCCD62E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</w:p>
    <w:p w14:paraId="59418ED5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>How this helps you build a collections strategy</w:t>
      </w:r>
    </w:p>
    <w:p w14:paraId="43115F6A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Segmentation: use </w:t>
      </w:r>
      <w:proofErr w:type="spellStart"/>
      <w:r w:rsidRPr="00DF2C0D">
        <w:rPr>
          <w:color w:val="000000" w:themeColor="text1"/>
          <w:lang w:val="en-GB"/>
        </w:rPr>
        <w:t>risk_band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affordability_score</w:t>
      </w:r>
      <w:proofErr w:type="spellEnd"/>
      <w:r w:rsidRPr="00DF2C0D">
        <w:rPr>
          <w:color w:val="000000" w:themeColor="text1"/>
          <w:lang w:val="en-GB"/>
        </w:rPr>
        <w:t xml:space="preserve">, deprivation_decile_1_most, and </w:t>
      </w:r>
      <w:proofErr w:type="spellStart"/>
      <w:r w:rsidRPr="00DF2C0D">
        <w:rPr>
          <w:color w:val="000000" w:themeColor="text1"/>
          <w:lang w:val="en-GB"/>
        </w:rPr>
        <w:t>delinquency_bucket</w:t>
      </w:r>
      <w:proofErr w:type="spellEnd"/>
      <w:r w:rsidRPr="00DF2C0D">
        <w:rPr>
          <w:color w:val="000000" w:themeColor="text1"/>
          <w:lang w:val="en-GB"/>
        </w:rPr>
        <w:t xml:space="preserve"> to prioritise treatment paths (e.g., supportive vs. firm).</w:t>
      </w:r>
    </w:p>
    <w:p w14:paraId="0C863DC7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Contact channel optimisation: model best channel/outcome using </w:t>
      </w:r>
      <w:proofErr w:type="spellStart"/>
      <w:r w:rsidRPr="00DF2C0D">
        <w:rPr>
          <w:color w:val="000000" w:themeColor="text1"/>
          <w:lang w:val="en-GB"/>
        </w:rPr>
        <w:t>last_contact_channel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last_contact_outcome</w:t>
      </w:r>
      <w:proofErr w:type="spellEnd"/>
      <w:r w:rsidRPr="00DF2C0D">
        <w:rPr>
          <w:color w:val="000000" w:themeColor="text1"/>
          <w:lang w:val="en-GB"/>
        </w:rPr>
        <w:t xml:space="preserve">, contact_attempts_30d, </w:t>
      </w:r>
      <w:proofErr w:type="spellStart"/>
      <w:r w:rsidRPr="00DF2C0D">
        <w:rPr>
          <w:color w:val="000000" w:themeColor="text1"/>
          <w:lang w:val="en-GB"/>
        </w:rPr>
        <w:t>email_valid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phone_valid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returned_mail_flag</w:t>
      </w:r>
      <w:proofErr w:type="spellEnd"/>
      <w:r w:rsidRPr="00DF2C0D">
        <w:rPr>
          <w:color w:val="000000" w:themeColor="text1"/>
          <w:lang w:val="en-GB"/>
        </w:rPr>
        <w:t>.</w:t>
      </w:r>
    </w:p>
    <w:p w14:paraId="14FCADB9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Propensity-to-pay / cure: features like on_time_pay_ratio_12m, pay_to_bill_ratio_3m, </w:t>
      </w:r>
      <w:proofErr w:type="spellStart"/>
      <w:r w:rsidRPr="00DF2C0D">
        <w:rPr>
          <w:color w:val="000000" w:themeColor="text1"/>
          <w:lang w:val="en-GB"/>
        </w:rPr>
        <w:t>promise_to_pay</w:t>
      </w:r>
      <w:proofErr w:type="spellEnd"/>
      <w:r w:rsidRPr="00DF2C0D">
        <w:rPr>
          <w:color w:val="000000" w:themeColor="text1"/>
          <w:lang w:val="en-GB"/>
        </w:rPr>
        <w:t xml:space="preserve">_*, and </w:t>
      </w:r>
      <w:proofErr w:type="spellStart"/>
      <w:r w:rsidRPr="00DF2C0D">
        <w:rPr>
          <w:color w:val="000000" w:themeColor="text1"/>
          <w:lang w:val="en-GB"/>
        </w:rPr>
        <w:t>broken_promises_count</w:t>
      </w:r>
      <w:proofErr w:type="spellEnd"/>
      <w:r w:rsidRPr="00DF2C0D">
        <w:rPr>
          <w:color w:val="000000" w:themeColor="text1"/>
          <w:lang w:val="en-GB"/>
        </w:rPr>
        <w:t xml:space="preserve"> are strong predictors.</w:t>
      </w:r>
    </w:p>
    <w:p w14:paraId="3CA14F0D" w14:textId="77777777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Compliance-aware routing: flags for </w:t>
      </w:r>
      <w:proofErr w:type="spellStart"/>
      <w:r w:rsidRPr="00DF2C0D">
        <w:rPr>
          <w:color w:val="000000" w:themeColor="text1"/>
          <w:lang w:val="en-GB"/>
        </w:rPr>
        <w:t>vulnerability_flag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hardship_flag</w:t>
      </w:r>
      <w:proofErr w:type="spellEnd"/>
      <w:r w:rsidRPr="00DF2C0D">
        <w:rPr>
          <w:color w:val="000000" w:themeColor="text1"/>
          <w:lang w:val="en-GB"/>
        </w:rPr>
        <w:t xml:space="preserve">, </w:t>
      </w:r>
      <w:proofErr w:type="spellStart"/>
      <w:r w:rsidRPr="00DF2C0D">
        <w:rPr>
          <w:color w:val="000000" w:themeColor="text1"/>
          <w:lang w:val="en-GB"/>
        </w:rPr>
        <w:t>complaint_flag</w:t>
      </w:r>
      <w:proofErr w:type="spellEnd"/>
      <w:r w:rsidRPr="00DF2C0D">
        <w:rPr>
          <w:color w:val="000000" w:themeColor="text1"/>
          <w:lang w:val="en-GB"/>
        </w:rPr>
        <w:t xml:space="preserve">, and </w:t>
      </w:r>
      <w:proofErr w:type="spellStart"/>
      <w:r w:rsidRPr="00DF2C0D">
        <w:rPr>
          <w:color w:val="000000" w:themeColor="text1"/>
          <w:lang w:val="en-GB"/>
        </w:rPr>
        <w:t>regulator_case_flag</w:t>
      </w:r>
      <w:proofErr w:type="spellEnd"/>
      <w:r w:rsidRPr="00DF2C0D">
        <w:rPr>
          <w:color w:val="000000" w:themeColor="text1"/>
          <w:lang w:val="en-GB"/>
        </w:rPr>
        <w:t xml:space="preserve"> enable correct protections and tailored messaging.</w:t>
      </w:r>
    </w:p>
    <w:p w14:paraId="2C7864F8" w14:textId="13626C15" w:rsidR="00DF2C0D" w:rsidRPr="00DF2C0D" w:rsidRDefault="00DF2C0D" w:rsidP="00DF2C0D">
      <w:pPr>
        <w:pStyle w:val="ListParagraph"/>
        <w:ind w:left="1080"/>
        <w:rPr>
          <w:color w:val="000000" w:themeColor="text1"/>
          <w:lang w:val="en-GB"/>
        </w:rPr>
      </w:pPr>
      <w:r w:rsidRPr="00DF2C0D">
        <w:rPr>
          <w:color w:val="000000" w:themeColor="text1"/>
          <w:lang w:val="en-GB"/>
        </w:rPr>
        <w:tab/>
        <w:t>•</w:t>
      </w:r>
      <w:r w:rsidRPr="00DF2C0D">
        <w:rPr>
          <w:color w:val="000000" w:themeColor="text1"/>
          <w:lang w:val="en-GB"/>
        </w:rPr>
        <w:tab/>
        <w:t xml:space="preserve">Operational blockers: </w:t>
      </w:r>
      <w:proofErr w:type="spellStart"/>
      <w:r w:rsidRPr="00DF2C0D">
        <w:rPr>
          <w:color w:val="000000" w:themeColor="text1"/>
          <w:lang w:val="en-GB"/>
        </w:rPr>
        <w:t>estimated_bill_flag</w:t>
      </w:r>
      <w:proofErr w:type="spellEnd"/>
      <w:r w:rsidRPr="00DF2C0D">
        <w:rPr>
          <w:color w:val="000000" w:themeColor="text1"/>
          <w:lang w:val="en-GB"/>
        </w:rPr>
        <w:t xml:space="preserve">, long </w:t>
      </w:r>
      <w:proofErr w:type="spellStart"/>
      <w:r w:rsidRPr="00DF2C0D">
        <w:rPr>
          <w:color w:val="000000" w:themeColor="text1"/>
          <w:lang w:val="en-GB"/>
        </w:rPr>
        <w:t>since_last_meter_read_days</w:t>
      </w:r>
      <w:proofErr w:type="spellEnd"/>
      <w:r w:rsidRPr="00DF2C0D">
        <w:rPr>
          <w:color w:val="000000" w:themeColor="text1"/>
          <w:lang w:val="en-GB"/>
        </w:rPr>
        <w:t xml:space="preserve">, and </w:t>
      </w:r>
      <w:proofErr w:type="spellStart"/>
      <w:r w:rsidRPr="00DF2C0D">
        <w:rPr>
          <w:color w:val="000000" w:themeColor="text1"/>
          <w:lang w:val="en-GB"/>
        </w:rPr>
        <w:t>leakage_suspected_flag</w:t>
      </w:r>
      <w:proofErr w:type="spellEnd"/>
      <w:r w:rsidRPr="00DF2C0D">
        <w:rPr>
          <w:color w:val="000000" w:themeColor="text1"/>
          <w:lang w:val="en-GB"/>
        </w:rPr>
        <w:t xml:space="preserve"> indicate cases needing billing-quality fixes before collections.</w:t>
      </w:r>
    </w:p>
    <w:p w14:paraId="2787290E" w14:textId="7E50838C" w:rsidR="00DF2C0D" w:rsidRDefault="00DF2C0D" w:rsidP="00DF2C0D">
      <w:pPr>
        <w:pStyle w:val="ListParagraph"/>
        <w:ind w:left="1080"/>
        <w:rPr>
          <w:color w:val="EE0000"/>
          <w:lang w:val="en-GB"/>
        </w:rPr>
      </w:pPr>
    </w:p>
    <w:p w14:paraId="1797D56A" w14:textId="77777777" w:rsidR="00DF2C0D" w:rsidRPr="00DF2C0D" w:rsidRDefault="00DF2C0D" w:rsidP="00DF2C0D">
      <w:pPr>
        <w:pStyle w:val="ListParagraph"/>
        <w:rPr>
          <w:color w:val="EE0000"/>
          <w:lang w:val="en-GB"/>
        </w:rPr>
      </w:pPr>
    </w:p>
    <w:sectPr w:rsidR="00DF2C0D" w:rsidRPr="00DF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50F"/>
    <w:multiLevelType w:val="multilevel"/>
    <w:tmpl w:val="2C8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18FA"/>
    <w:multiLevelType w:val="multilevel"/>
    <w:tmpl w:val="AF84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B3A8F"/>
    <w:multiLevelType w:val="multilevel"/>
    <w:tmpl w:val="6EC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38A5"/>
    <w:multiLevelType w:val="multilevel"/>
    <w:tmpl w:val="86B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013D5"/>
    <w:multiLevelType w:val="hybridMultilevel"/>
    <w:tmpl w:val="8BF6C4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CC081F"/>
    <w:multiLevelType w:val="multilevel"/>
    <w:tmpl w:val="634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03185"/>
    <w:multiLevelType w:val="multilevel"/>
    <w:tmpl w:val="12A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46026"/>
    <w:multiLevelType w:val="multilevel"/>
    <w:tmpl w:val="D47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80A6A"/>
    <w:multiLevelType w:val="multilevel"/>
    <w:tmpl w:val="4FFC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1380F"/>
    <w:multiLevelType w:val="multilevel"/>
    <w:tmpl w:val="9FB0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475FD"/>
    <w:multiLevelType w:val="multilevel"/>
    <w:tmpl w:val="74704E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016144"/>
    <w:multiLevelType w:val="hybridMultilevel"/>
    <w:tmpl w:val="E3CCC846"/>
    <w:lvl w:ilvl="0" w:tplc="556EDC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9F2C0D"/>
    <w:multiLevelType w:val="multilevel"/>
    <w:tmpl w:val="76E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800491">
    <w:abstractNumId w:val="4"/>
  </w:num>
  <w:num w:numId="2" w16cid:durableId="2025356560">
    <w:abstractNumId w:val="11"/>
  </w:num>
  <w:num w:numId="3" w16cid:durableId="377246977">
    <w:abstractNumId w:val="12"/>
  </w:num>
  <w:num w:numId="4" w16cid:durableId="1135413542">
    <w:abstractNumId w:val="7"/>
  </w:num>
  <w:num w:numId="5" w16cid:durableId="336153486">
    <w:abstractNumId w:val="3"/>
  </w:num>
  <w:num w:numId="6" w16cid:durableId="1946032952">
    <w:abstractNumId w:val="9"/>
  </w:num>
  <w:num w:numId="7" w16cid:durableId="1238319552">
    <w:abstractNumId w:val="10"/>
  </w:num>
  <w:num w:numId="8" w16cid:durableId="620306834">
    <w:abstractNumId w:val="1"/>
  </w:num>
  <w:num w:numId="9" w16cid:durableId="620920073">
    <w:abstractNumId w:val="0"/>
  </w:num>
  <w:num w:numId="10" w16cid:durableId="1105661032">
    <w:abstractNumId w:val="8"/>
  </w:num>
  <w:num w:numId="11" w16cid:durableId="660620270">
    <w:abstractNumId w:val="2"/>
  </w:num>
  <w:num w:numId="12" w16cid:durableId="1018191950">
    <w:abstractNumId w:val="5"/>
  </w:num>
  <w:num w:numId="13" w16cid:durableId="423458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BD"/>
    <w:rsid w:val="000D494F"/>
    <w:rsid w:val="00123526"/>
    <w:rsid w:val="00145F0A"/>
    <w:rsid w:val="001C095E"/>
    <w:rsid w:val="001C1989"/>
    <w:rsid w:val="002303B3"/>
    <w:rsid w:val="00336336"/>
    <w:rsid w:val="00355AAE"/>
    <w:rsid w:val="003641EF"/>
    <w:rsid w:val="00401196"/>
    <w:rsid w:val="004050B7"/>
    <w:rsid w:val="00421256"/>
    <w:rsid w:val="00480038"/>
    <w:rsid w:val="005F2972"/>
    <w:rsid w:val="006C209D"/>
    <w:rsid w:val="00832D05"/>
    <w:rsid w:val="0086074D"/>
    <w:rsid w:val="008D37E2"/>
    <w:rsid w:val="009B1EBD"/>
    <w:rsid w:val="009B2EC0"/>
    <w:rsid w:val="00D0149F"/>
    <w:rsid w:val="00D04A95"/>
    <w:rsid w:val="00D86364"/>
    <w:rsid w:val="00DF2C0D"/>
    <w:rsid w:val="00EB552F"/>
    <w:rsid w:val="00EC78DF"/>
    <w:rsid w:val="00EF43E9"/>
    <w:rsid w:val="00EF5568"/>
    <w:rsid w:val="00FB617F"/>
    <w:rsid w:val="00F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D429"/>
  <w15:chartTrackingRefBased/>
  <w15:docId w15:val="{98916205-5197-4F48-8751-C226367F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989"/>
    <w:pPr>
      <w:spacing w:line="259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198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198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E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E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E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E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E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E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E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198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C1989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EBD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EBD"/>
    <w:rPr>
      <w:rFonts w:eastAsiaTheme="majorEastAsia" w:cstheme="majorBidi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EBD"/>
    <w:rPr>
      <w:rFonts w:eastAsiaTheme="majorEastAsia" w:cstheme="majorBidi"/>
      <w:color w:val="0F4761" w:themeColor="accent1" w:themeShade="BF"/>
      <w:kern w:val="0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EBD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EBD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EBD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EBD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EB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E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EB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EBD"/>
    <w:rPr>
      <w:rFonts w:ascii="Times New Roman" w:hAnsi="Times New Roman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B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EBD"/>
    <w:rPr>
      <w:rFonts w:ascii="Times New Roman" w:hAnsi="Times New Roman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1E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D0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832D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1894</Words>
  <Characters>10799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Kolawole Olanipekun</dc:creator>
  <cp:keywords/>
  <dc:description/>
  <cp:lastModifiedBy>KOLAWOLE OLANIPEKUN</cp:lastModifiedBy>
  <cp:revision>4</cp:revision>
  <dcterms:created xsi:type="dcterms:W3CDTF">2025-11-11T15:29:00Z</dcterms:created>
  <dcterms:modified xsi:type="dcterms:W3CDTF">2026-01-29T20:46:00Z</dcterms:modified>
</cp:coreProperties>
</file>