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/>
          <w:color w:val="1E5AA0"/>
          <w:sz w:val="44"/>
        </w:rPr>
        <w:t>Modèle Économique</w:t>
      </w:r>
    </w:p>
    <w:p>
      <w:pPr>
        <w:spacing w:after="80"/>
        <w:jc w:val="center"/>
      </w:pPr>
      <w:r>
        <w:rPr>
          <w:color w:val="505050"/>
          <w:sz w:val="28"/>
        </w:rPr>
        <w:t>Rentabiliser le Simulateur Vocal IA</w:t>
      </w:r>
    </w:p>
    <w:p>
      <w:pPr>
        <w:spacing w:after="600"/>
        <w:jc w:val="center"/>
      </w:pPr>
      <w:r>
        <w:rPr>
          <w:i/>
          <w:color w:val="828282"/>
          <w:sz w:val="20"/>
        </w:rPr>
        <w:t>MDS — My Didaktik Stories  |  2026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40" w:after="80"/>
        <w:ind w:left="0"/>
      </w:pPr>
      <w:r>
        <w:rPr>
          <w:sz w:val="22"/>
        </w:rPr>
        <w:t>L'une des plus grandes craintes quand on vend de l'IA, c'est de voir ses coûts d'API exploser. Ce document répond à cette question une fois pour toutes et structure un modèle commercial B2B solide, rentable et scalable — avec des prix revus à la hausse pour refléter la vraie valeur de ce que tu livres.</w:t>
      </w:r>
    </w:p>
    <w:p>
      <w:pPr>
        <w:spacing w:before="280" w:after="80"/>
      </w:pPr>
      <w:r>
        <w:rPr>
          <w:b/>
          <w:color w:val="1E5AA0"/>
          <w:sz w:val="30"/>
        </w:rPr>
        <w:t>1. La Réalité des Coûts — Test vs Production</w:t>
      </w:r>
    </w:p>
    <w:p>
      <w:pPr>
        <w:spacing w:before="40" w:after="80"/>
        <w:ind w:left="0"/>
      </w:pPr>
      <w:r>
        <w:rPr>
          <w:sz w:val="22"/>
        </w:rPr>
        <w:t>Lors du développement (R&amp;D), les coûts API sont artificiellement gonflés : tests en boucle, rafraîchissements constants, envois massifs. Ce n'est pas représentatif de la production.</w:t>
      </w:r>
    </w:p>
    <w:p>
      <w:pPr>
        <w:spacing w:before="40" w:after="80"/>
        <w:ind w:left="0"/>
      </w:pPr>
      <w:r>
        <w:rPr>
          <w:sz w:val="22"/>
        </w:rPr>
        <w:t>En production réelle, une simulation complète de 5 à 10 minutes coûte :</w:t>
      </w:r>
    </w:p>
    <w:p>
      <w:pPr>
        <w:pStyle w:val="ListBullet"/>
        <w:spacing w:before="20" w:after="60"/>
        <w:ind w:left="397"/>
      </w:pPr>
      <w:r>
        <w:rPr>
          <w:sz w:val="22"/>
        </w:rPr>
        <w:t>Deepgram (Speech-to-Text) : ~0,03 €</w:t>
      </w:r>
    </w:p>
    <w:p>
      <w:pPr>
        <w:pStyle w:val="ListBullet"/>
        <w:spacing w:before="20" w:after="60"/>
        <w:ind w:left="397"/>
      </w:pPr>
      <w:r>
        <w:rPr>
          <w:sz w:val="22"/>
        </w:rPr>
        <w:t>Gemini (IA conversationnelle) : ~0,04 €</w:t>
      </w:r>
    </w:p>
    <w:p>
      <w:pPr>
        <w:pStyle w:val="ListBullet"/>
        <w:spacing w:before="20" w:after="60"/>
        <w:ind w:left="397"/>
      </w:pPr>
      <w:r>
        <w:rPr>
          <w:sz w:val="22"/>
        </w:rPr>
        <w:t>ElevenLabs (Text-to-Speech) : ~0,08 €</w:t>
      </w:r>
    </w:p>
    <w:p>
      <w:pPr>
        <w:pStyle w:val="ListBullet"/>
        <w:spacing w:before="20" w:after="60"/>
        <w:ind w:left="397"/>
      </w:pPr>
      <w:r>
        <w:rPr>
          <w:sz w:val="22"/>
        </w:rPr>
        <w:t>Total : environ 0,15 € à 0,20 € par simulation tout compris</w:t>
      </w:r>
    </w:p>
    <w:p>
      <w:pPr>
        <w:spacing w:before="40" w:after="80"/>
        <w:ind w:left="0"/>
      </w:pPr>
      <w:r>
        <w:rPr>
          <w:sz w:val="22"/>
        </w:rPr>
        <w:t>C'est la base de tout le modèle : tu peux vendre chaque simulation bien au-delà de ce qu'elle te coûte.</w:t>
      </w:r>
    </w:p>
    <w:p>
      <w:pPr>
        <w:spacing w:before="200" w:after="60"/>
      </w:pPr>
      <w:r>
        <w:rPr>
          <w:b/>
          <w:color w:val="000000"/>
          <w:sz w:val="24"/>
        </w:rPr>
        <w:t>Le système de Crédits — la langue commune avec le client</w:t>
      </w:r>
    </w:p>
    <w:p>
      <w:pPr>
        <w:spacing w:before="40" w:after="80"/>
        <w:ind w:left="0"/>
      </w:pPr>
      <w:r>
        <w:rPr>
          <w:sz w:val="22"/>
        </w:rPr>
        <w:t>Pour simplifier la facturation et rendre l'offre compréhensible, on utilise un système de Crédits :</w:t>
      </w:r>
    </w:p>
    <w:p>
      <w:pPr>
        <w:spacing w:before="80" w:after="80"/>
        <w:ind w:left="567" w:right="567"/>
        <w:pBdr>
          <w:left w:val="single" w:sz="6" w:space="8" w:color="1E5AA0"/>
        </w:pBdr>
      </w:pPr>
      <w:r>
        <w:rPr>
          <w:i/>
          <w:color w:val="3C3C3C"/>
          <w:sz w:val="21"/>
        </w:rPr>
        <w:t>1 Crédit = 1 Simulation d'entraînement complète (5 à 10 min).</w:t>
        <w:br/>
        <w:t>Coût de revient : ~0,20 € par crédit. Prix de vente recommandé : 1,50 € par crédit.</w:t>
      </w:r>
    </w:p>
    <w:p>
      <w:pPr>
        <w:spacing w:before="40" w:after="80"/>
        <w:ind w:left="0"/>
      </w:pPr>
      <w:r>
        <w:rPr>
          <w:sz w:val="22"/>
        </w:rPr>
        <w:t>Tu ne parles jamais de tokens, d'API, de WebSockets ou de serveurs. Tu vends des crédits d'immersion. Point.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1E5AA0"/>
          <w:sz w:val="30"/>
        </w:rPr>
        <w:t>2. Les 3 Offres B2B</w:t>
      </w:r>
    </w:p>
    <w:p>
      <w:pPr>
        <w:spacing w:before="40" w:after="80"/>
        <w:ind w:left="0"/>
      </w:pPr>
      <w:r>
        <w:rPr>
          <w:sz w:val="22"/>
        </w:rPr>
        <w:t>Selon la taille et les besoins du client, tu proposes trois niveaux d'engagement. Ils ne se concurrencent pas — ils ciblent des profils différents.</w:t>
      </w:r>
    </w:p>
    <w:p>
      <w:pPr>
        <w:spacing w:before="200" w:after="60"/>
      </w:pPr>
      <w:r>
        <w:rPr>
          <w:b/>
          <w:color w:val="B45000"/>
          <w:sz w:val="24"/>
        </w:rPr>
        <w:t>Offre A — Le Pilote (Entrée en compte)</w:t>
      </w:r>
    </w:p>
    <w:p>
      <w:pPr>
        <w:spacing w:before="40" w:after="80"/>
        <w:ind w:left="0"/>
      </w:pPr>
      <w:r>
        <w:rPr>
          <w:sz w:val="22"/>
        </w:rPr>
        <w:t>L'offre pilote sert à lever la résistance initiale. Elle permet au client de tester l'outil à faible risque avant de signer un contrat annuel.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6236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Détail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Durée</w:t>
            </w:r>
          </w:p>
        </w:tc>
        <w:tc>
          <w:tcPr>
            <w:tcW w:type="dxa" w:w="6236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3 mois</w:t>
            </w:r>
          </w:p>
        </w:tc>
      </w:tr>
      <w:tr>
        <w:tc>
          <w:tcPr>
            <w:tcW w:type="dxa" w:w="2835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Crédits inclus</w:t>
            </w:r>
          </w:p>
        </w:tc>
        <w:tc>
          <w:tcPr>
            <w:tcW w:type="dxa" w:w="6236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100 simulations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Prix facturé</w:t>
            </w:r>
          </w:p>
        </w:tc>
        <w:tc>
          <w:tcPr>
            <w:tcW w:type="dxa" w:w="6236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490 € HT</w:t>
            </w:r>
          </w:p>
        </w:tc>
      </w:tr>
      <w:tr>
        <w:tc>
          <w:tcPr>
            <w:tcW w:type="dxa" w:w="2835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Ton coût réel</w:t>
            </w:r>
          </w:p>
        </w:tc>
        <w:tc>
          <w:tcPr>
            <w:tcW w:type="dxa" w:w="6236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~20 € d'API + temps de setup minimal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Marge</w:t>
            </w:r>
          </w:p>
        </w:tc>
        <w:tc>
          <w:tcPr>
            <w:tcW w:type="dxa" w:w="6236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Forte — et surtout : pied dans la porte</w:t>
            </w:r>
          </w:p>
        </w:tc>
      </w:tr>
      <w:tr>
        <w:tc>
          <w:tcPr>
            <w:tcW w:type="dxa" w:w="2835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Suite logique</w:t>
            </w:r>
          </w:p>
        </w:tc>
        <w:tc>
          <w:tcPr>
            <w:tcW w:type="dxa" w:w="6236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Conversion en Offre PME à la fin du pilote</w:t>
            </w:r>
          </w:p>
        </w:tc>
      </w:tr>
    </w:tbl>
    <w:p/>
    <w:p>
      <w:pPr>
        <w:pStyle w:val="ListBullet"/>
        <w:spacing w:before="20" w:after="60"/>
        <w:ind w:left="397"/>
      </w:pPr>
      <w:r>
        <w:rPr>
          <w:sz w:val="22"/>
        </w:rPr>
        <w:t>À proposer systématiquement en première réunion commerciale.</w:t>
      </w:r>
    </w:p>
    <w:p>
      <w:pPr>
        <w:pStyle w:val="ListBullet"/>
        <w:spacing w:before="20" w:after="60"/>
        <w:ind w:left="397"/>
      </w:pPr>
      <w:r>
        <w:rPr>
          <w:sz w:val="22"/>
        </w:rPr>
        <w:t>Ne pas hésiter à offrir 10 crédits de démonstration gratuits avant même le pilote.</w:t>
      </w:r>
    </w:p>
    <w:p>
      <w:pPr>
        <w:spacing w:before="200" w:after="60"/>
      </w:pPr>
      <w:r>
        <w:rPr>
          <w:b/>
          <w:color w:val="1E5AA0"/>
          <w:sz w:val="24"/>
        </w:rPr>
        <w:t>Offre B — La Licence PME (Le cœur de gamme)</w:t>
      </w:r>
    </w:p>
    <w:p>
      <w:pPr>
        <w:spacing w:before="40" w:after="80"/>
        <w:ind w:left="0"/>
      </w:pPr>
      <w:r>
        <w:rPr>
          <w:sz w:val="22"/>
        </w:rPr>
        <w:t>C'est ton offre principale. Elle s'adresse aux PME et ETI qui ont des équipes commerciales, RH ou relation client à former régulièrement.</w:t>
      </w:r>
    </w:p>
    <w:p>
      <w:pPr>
        <w:spacing w:before="120" w:after="40"/>
      </w:pPr>
      <w:r>
        <w:rPr>
          <w:b/>
          <w:color w:val="3C3C3C"/>
          <w:sz w:val="22"/>
        </w:rPr>
        <w:t>Étape 1 — Setup &amp; Lancement (Année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6236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Détail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Prix facturé</w:t>
            </w:r>
          </w:p>
        </w:tc>
        <w:tc>
          <w:tcPr>
            <w:tcW w:type="dxa" w:w="6236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3 500 € à 5 000 € HT selon complexité</w:t>
            </w:r>
          </w:p>
        </w:tc>
      </w:tr>
      <w:tr>
        <w:tc>
          <w:tcPr>
            <w:tcW w:type="dxa" w:w="2835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Ce qui est inclus</w:t>
            </w:r>
          </w:p>
        </w:tc>
        <w:tc>
          <w:tcPr>
            <w:tcW w:type="dxa" w:w="6236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Conception pédagogique + paramétrage IA + scénarios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6236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Hébergement serveur (Render) pour 12 mois</w:t>
            </w:r>
          </w:p>
        </w:tc>
      </w:tr>
      <w:tr>
        <w:tc>
          <w:tcPr>
            <w:tcW w:type="dxa" w:w="2835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6236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Pack initial de 1 000 crédits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Ton coût réel</w:t>
            </w:r>
          </w:p>
        </w:tc>
        <w:tc>
          <w:tcPr>
            <w:tcW w:type="dxa" w:w="6236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~80 € serveur + ~200 € API = 280 € max</w:t>
            </w:r>
          </w:p>
        </w:tc>
      </w:tr>
      <w:tr>
        <w:tc>
          <w:tcPr>
            <w:tcW w:type="dxa" w:w="2835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Marge nette</w:t>
            </w:r>
          </w:p>
        </w:tc>
        <w:tc>
          <w:tcPr>
            <w:tcW w:type="dxa" w:w="6236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3 200 € à 4 700 € sur le setup</w:t>
            </w:r>
          </w:p>
        </w:tc>
      </w:tr>
    </w:tbl>
    <w:p/>
    <w:p>
      <w:pPr>
        <w:spacing w:before="40" w:after="80"/>
        <w:ind w:left="0"/>
      </w:pPr>
      <w:r>
        <w:rPr>
          <w:sz w:val="22"/>
        </w:rPr>
        <w:t>Le setup valorise ton expertise pédagogique. Un formateur humain facture 1 000 à 2 000 € pour une seule journée de formation avec 10 personnes. Toi tu livres un outil disponible 24h/24 toute l'année.</w:t>
      </w:r>
    </w:p>
    <w:p>
      <w:pPr>
        <w:spacing w:before="120" w:after="40"/>
      </w:pPr>
      <w:r>
        <w:rPr>
          <w:b/>
          <w:color w:val="3C3C3C"/>
          <w:sz w:val="22"/>
        </w:rPr>
        <w:t>Étape 2 — Licence Annuelle (Renouvellement Année 2+)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6236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Détail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Prix facturé</w:t>
            </w:r>
          </w:p>
        </w:tc>
        <w:tc>
          <w:tcPr>
            <w:tcW w:type="dxa" w:w="6236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1 500 € à 2 000 € HT / an</w:t>
            </w:r>
          </w:p>
        </w:tc>
      </w:tr>
      <w:tr>
        <w:tc>
          <w:tcPr>
            <w:tcW w:type="dxa" w:w="2835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Ce qui est inclus</w:t>
            </w:r>
          </w:p>
        </w:tc>
        <w:tc>
          <w:tcPr>
            <w:tcW w:type="dxa" w:w="6236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Maintien de l'outil en ligne 24/7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6236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Support technique et mises à jour</w:t>
            </w:r>
          </w:p>
        </w:tc>
      </w:tr>
      <w:tr>
        <w:tc>
          <w:tcPr>
            <w:tcW w:type="dxa" w:w="2835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6236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Renouvellement du pack de 1 000 crédits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Ton coût réel</w:t>
            </w:r>
          </w:p>
        </w:tc>
        <w:tc>
          <w:tcPr>
            <w:tcW w:type="dxa" w:w="6236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~80 € serveur + jusqu'à 200 € API = 280 € max</w:t>
            </w:r>
          </w:p>
        </w:tc>
      </w:tr>
      <w:tr>
        <w:tc>
          <w:tcPr>
            <w:tcW w:type="dxa" w:w="2835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Marge nette</w:t>
            </w:r>
          </w:p>
        </w:tc>
        <w:tc>
          <w:tcPr>
            <w:tcW w:type="dxa" w:w="6236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1 200 € à 1 700 € par an, par client — revenu passif</w:t>
            </w:r>
          </w:p>
        </w:tc>
      </w:tr>
    </w:tbl>
    <w:p/>
    <w:p>
      <w:pPr>
        <w:spacing w:before="40" w:after="80"/>
        <w:ind w:left="0"/>
      </w:pPr>
      <w:r>
        <w:rPr>
          <w:sz w:val="22"/>
        </w:rPr>
        <w:t>⚠️ Erreur à éviter : l'ancienne version de ce document proposait 1 000 €/an. C'est sous-tarifer. Une journée de formation avec un coach humain coûte autant — et ne se fait qu'une fois par an. Ton outil tourne 365 jours. Facture en conséquence.</w:t>
      </w:r>
    </w:p>
    <w:p>
      <w:pPr>
        <w:spacing w:before="120" w:after="40"/>
      </w:pPr>
      <w:r>
        <w:rPr>
          <w:b/>
          <w:color w:val="3C3C3C"/>
          <w:sz w:val="22"/>
        </w:rPr>
        <w:t>Étape 3 — Les Recharges (Hors-forfait sans friction)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Pack</w:t>
            </w:r>
          </w:p>
        </w:tc>
        <w:tc>
          <w:tcPr>
            <w:tcW w:type="dxa" w:w="2268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Prix facturé</w:t>
            </w:r>
          </w:p>
        </w:tc>
        <w:tc>
          <w:tcPr>
            <w:tcW w:type="dxa" w:w="1984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Coût réel</w:t>
            </w:r>
          </w:p>
        </w:tc>
        <w:tc>
          <w:tcPr>
            <w:tcW w:type="dxa" w:w="1984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Marge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500 crédits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750 € HT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~100 €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~650 €</w:t>
            </w:r>
          </w:p>
        </w:tc>
      </w:tr>
      <w:tr>
        <w:tc>
          <w:tcPr>
            <w:tcW w:type="dxa" w:w="2835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1 000 crédits</w:t>
            </w:r>
          </w:p>
        </w:tc>
        <w:tc>
          <w:tcPr>
            <w:tcW w:type="dxa" w:w="2268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1 350 € HT</w:t>
            </w:r>
          </w:p>
        </w:tc>
        <w:tc>
          <w:tcPr>
            <w:tcW w:type="dxa" w:w="1984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~200 €</w:t>
            </w:r>
          </w:p>
        </w:tc>
        <w:tc>
          <w:tcPr>
            <w:tcW w:type="dxa" w:w="1984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~1 150 €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2 000 crédits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2 500 € HT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~400 €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~2 100 €</w:t>
            </w:r>
          </w:p>
        </w:tc>
      </w:tr>
    </w:tbl>
    <w:p/>
    <w:p>
      <w:pPr>
        <w:spacing w:before="40" w:after="80"/>
        <w:ind w:left="0"/>
      </w:pPr>
      <w:r>
        <w:rPr>
          <w:sz w:val="22"/>
        </w:rPr>
        <w:t>Si l'outil est utilisé massivement, l'outil bloque doucement et demande une recharge. Si l'usage explose, tes revenus explosent proportionnellement. Tu ne peux pas perdre d'argent.</w:t>
      </w:r>
    </w:p>
    <w:p>
      <w:pPr>
        <w:spacing w:before="200" w:after="60"/>
      </w:pPr>
      <w:r>
        <w:rPr>
          <w:b/>
          <w:color w:val="148250"/>
          <w:sz w:val="24"/>
        </w:rPr>
        <w:t>Offre C — Grand Compte (Par siège utilisateur)</w:t>
      </w:r>
    </w:p>
    <w:p>
      <w:pPr>
        <w:spacing w:before="40" w:after="80"/>
        <w:ind w:left="0"/>
      </w:pPr>
      <w:r>
        <w:rPr>
          <w:sz w:val="22"/>
        </w:rPr>
        <w:t>Quand le client a 50+ commerciaux ou utilisateurs actifs, le modèle crédits devient sous-optimal pour lui. On passe à une tarification par siège mensuelle.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Volume d'utilisateurs</w:t>
            </w:r>
          </w:p>
        </w:tc>
        <w:tc>
          <w:tcPr>
            <w:tcW w:type="dxa" w:w="2835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Prix par siège / mois</w:t>
            </w:r>
          </w:p>
        </w:tc>
        <w:tc>
          <w:tcPr>
            <w:tcW w:type="dxa" w:w="3118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Exemple concret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10 à 49 utilisateurs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45 € / utilisateur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30 users × 45 € × 12 = 16 200 €/an</w:t>
            </w:r>
          </w:p>
        </w:tc>
      </w:tr>
      <w:tr>
        <w:tc>
          <w:tcPr>
            <w:tcW w:type="dxa" w:w="3118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50 à 199 utilisateurs</w:t>
            </w:r>
          </w:p>
        </w:tc>
        <w:tc>
          <w:tcPr>
            <w:tcW w:type="dxa" w:w="2835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35 € / utilisateur</w:t>
            </w:r>
          </w:p>
        </w:tc>
        <w:tc>
          <w:tcPr>
            <w:tcW w:type="dxa" w:w="3118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100 users × 35 € × 12 = 42 000 €/an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200+ utilisateurs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Offre sur mesure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Contacter David pour devis</w:t>
            </w:r>
          </w:p>
        </w:tc>
      </w:tr>
    </w:tbl>
    <w:p/>
    <w:p>
      <w:pPr>
        <w:pStyle w:val="ListBullet"/>
        <w:spacing w:before="20" w:after="60"/>
        <w:ind w:left="397"/>
      </w:pPr>
      <w:r>
        <w:rPr>
          <w:sz w:val="22"/>
        </w:rPr>
        <w:t>À ce niveau, ton coût Render monte (forfait Standard à 25$/mois) — mais c'est une excellente nouvelle : ça veut dire que tu viens de signer un gros client.</w:t>
      </w:r>
    </w:p>
    <w:p>
      <w:pPr>
        <w:pStyle w:val="ListBullet"/>
        <w:spacing w:before="20" w:after="60"/>
        <w:ind w:left="397"/>
      </w:pPr>
      <w:r>
        <w:rPr>
          <w:sz w:val="22"/>
        </w:rPr>
        <w:t>Le setup Grand Compte se facture séparément : 5 000 € à 10 000 € selon le nombre de scénarios.</w:t>
      </w:r>
    </w:p>
    <w:p>
      <w:pPr>
        <w:pStyle w:val="ListBullet"/>
        <w:spacing w:before="20" w:after="60"/>
        <w:ind w:left="397"/>
      </w:pPr>
      <w:r>
        <w:rPr>
          <w:sz w:val="22"/>
        </w:rPr>
        <w:t>Inclure une clause de minimum garanti (ex : 10 sièges minimum) pour éviter les déconvenues.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1E5AA0"/>
          <w:sz w:val="30"/>
        </w:rPr>
        <w:t>3. La Protection Juridique — Clause d'Usage (CGV)</w:t>
      </w:r>
    </w:p>
    <w:p>
      <w:pPr>
        <w:spacing w:before="40" w:after="80"/>
        <w:ind w:left="0"/>
      </w:pPr>
      <w:r>
        <w:rPr>
          <w:sz w:val="22"/>
        </w:rPr>
        <w:t>Dans tous tes devis et contrats, cette clause protège ta marge :</w:t>
      </w:r>
    </w:p>
    <w:p>
      <w:pPr>
        <w:spacing w:before="80" w:after="80"/>
        <w:ind w:left="567" w:right="567"/>
        <w:pBdr>
          <w:left w:val="single" w:sz="6" w:space="8" w:color="1E5AA0"/>
        </w:pBdr>
      </w:pPr>
      <w:r>
        <w:rPr>
          <w:i/>
          <w:color w:val="3C3C3C"/>
          <w:sz w:val="21"/>
        </w:rPr>
        <w:t>"La licence annuelle comprend l'hébergement, la maintenance de l'outil et une allocation de 1 000 crédits d'immersion (1 crédit = 1 simulation complète de 5 à 10 minutes). Le client dispose d'un tableau de bord pour suivre sa consommation en temps réel. En cas d'épuisement de l'allocation avant la date anniversaire, des packs de recharges (500, 1 000 ou 2 000 crédits) sont disponibles à l'achat pour garantir la continuité du service sans interruption."</w:t>
      </w:r>
    </w:p>
    <w:p>
      <w:pPr>
        <w:spacing w:before="40" w:after="80"/>
        <w:ind w:left="0"/>
      </w:pPr>
      <w:r>
        <w:rPr>
          <w:sz w:val="22"/>
        </w:rPr>
        <w:t>Cette formulation est simple, transparente et protège les deux parties. Elle évite tout malentendu sur l'usage illimité et justifie les recharges comme un service additionnel normal.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1E5AA0"/>
          <w:sz w:val="30"/>
        </w:rPr>
        <w:t>4. Gérer la Technique à l'Échelle</w:t>
      </w:r>
    </w:p>
    <w:p>
      <w:pPr>
        <w:spacing w:before="200" w:after="60"/>
      </w:pPr>
      <w:r>
        <w:rPr>
          <w:b/>
          <w:color w:val="000000"/>
          <w:sz w:val="24"/>
        </w:rPr>
        <w:t>ElevenLabs (Text-to-Speech)</w:t>
      </w:r>
    </w:p>
    <w:p>
      <w:pPr>
        <w:spacing w:before="40" w:after="80"/>
        <w:ind w:left="0"/>
      </w:pPr>
      <w:r>
        <w:rPr>
          <w:sz w:val="22"/>
        </w:rPr>
        <w:t>Tu paies ElevenLabs en coulisses selon un système hybride. Voici la progression :</w:t>
      </w:r>
    </w:p>
    <w:p>
      <w:pPr>
        <w:pStyle w:val="ListNumber"/>
        <w:spacing w:before="20" w:after="60"/>
        <w:ind w:left="397"/>
      </w:pPr>
      <w:r>
        <w:rPr>
          <w:sz w:val="22"/>
        </w:rPr>
        <w:t>Phase démarrage (0 à 5 clients actifs) : abonnement Creator à ~22 $/mois — ~300 000 caractères inclus. Largement suffisant pour les démos et les premiers déploiements.</w:t>
      </w:r>
    </w:p>
    <w:p>
      <w:pPr>
        <w:pStyle w:val="ListNumber"/>
        <w:spacing w:before="20" w:after="60"/>
        <w:ind w:left="397"/>
      </w:pPr>
      <w:r>
        <w:rPr>
          <w:sz w:val="22"/>
        </w:rPr>
        <w:t>Phase croissance (5 à 20 clients) : passe au plan Pro à ~99 $/mois — jusqu'à 2 millions de caractères. Active obligatoirement l'option 'Usage-Based Billing' pour éviter la coupure API si tes clients consomment plus que prévu.</w:t>
      </w:r>
    </w:p>
    <w:p>
      <w:pPr>
        <w:pStyle w:val="ListNumber"/>
        <w:spacing w:before="20" w:after="60"/>
        <w:ind w:left="397"/>
      </w:pPr>
      <w:r>
        <w:rPr>
          <w:sz w:val="22"/>
        </w:rPr>
        <w:t>Phase scale (20+ clients) : les dépassements ElevenLabs sont couverts par les packs de recharge vendus aux clients. Tu ne risques rien.</w:t>
      </w:r>
    </w:p>
    <w:p>
      <w:pPr>
        <w:spacing w:before="40" w:after="80"/>
        <w:ind w:left="0"/>
      </w:pPr>
      <w:r>
        <w:rPr>
          <w:sz w:val="22"/>
        </w:rPr>
        <w:t>Règle d'or : activer le Usage-Based Billing dès que tu as plusieurs clients actifs simultanément. Sans ça, en cas de dépassement, les simulateurs de tous tes clients deviendraient muets en même temps.</w:t>
      </w:r>
    </w:p>
    <w:p>
      <w:pPr>
        <w:spacing w:before="200" w:after="60"/>
      </w:pPr>
      <w:r>
        <w:rPr>
          <w:b/>
          <w:color w:val="000000"/>
          <w:sz w:val="24"/>
        </w:rPr>
        <w:t>Render (Hébergement serveur)</w:t>
      </w:r>
    </w:p>
    <w:p>
      <w:pPr>
        <w:spacing w:before="40" w:after="80"/>
        <w:ind w:left="0"/>
      </w:pPr>
      <w:r>
        <w:rPr>
          <w:sz w:val="22"/>
        </w:rPr>
        <w:t>Ton serveur Render ne fait pas tourner l'IA — il agit uniquement comme un routeur WebSocket. Consommation RAM très faible.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Forfait Render</w:t>
            </w:r>
          </w:p>
        </w:tc>
        <w:tc>
          <w:tcPr>
            <w:tcW w:type="dxa" w:w="1701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Coût</w:t>
            </w:r>
          </w:p>
        </w:tc>
        <w:tc>
          <w:tcPr>
            <w:tcW w:type="dxa" w:w="3402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Capacité</w:t>
            </w:r>
          </w:p>
        </w:tc>
        <w:tc>
          <w:tcPr>
            <w:tcW w:type="dxa" w:w="3118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Usage recommandé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Starter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7 $/mois</w:t>
            </w:r>
          </w:p>
        </w:tc>
        <w:tc>
          <w:tcPr>
            <w:tcW w:type="dxa" w:w="3402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512 MB RAM — ~50 users simultanés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PME standard (90% des cas)</w:t>
            </w:r>
          </w:p>
        </w:tc>
      </w:tr>
      <w:tr>
        <w:tc>
          <w:tcPr>
            <w:tcW w:type="dxa" w:w="2551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Standard</w:t>
            </w:r>
          </w:p>
        </w:tc>
        <w:tc>
          <w:tcPr>
            <w:tcW w:type="dxa" w:w="1701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25 $/mois</w:t>
            </w:r>
          </w:p>
        </w:tc>
        <w:tc>
          <w:tcPr>
            <w:tcW w:type="dxa" w:w="3402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2 GB RAM — ~200 users simultanés</w:t>
            </w:r>
          </w:p>
        </w:tc>
        <w:tc>
          <w:tcPr>
            <w:tcW w:type="dxa" w:w="3118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Grand compte signé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Pro et au-delà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Sur mesure</w:t>
            </w:r>
          </w:p>
        </w:tc>
        <w:tc>
          <w:tcPr>
            <w:tcW w:type="dxa" w:w="3402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Scalable à volonté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Déploiement massif (500+ users)</w:t>
            </w:r>
          </w:p>
        </w:tc>
      </w:tr>
    </w:tbl>
    <w:p/>
    <w:p>
      <w:pPr>
        <w:spacing w:before="40" w:after="80"/>
        <w:ind w:left="0"/>
      </w:pPr>
      <w:r>
        <w:rPr>
          <w:sz w:val="22"/>
        </w:rPr>
        <w:t>Si Render te demande de passer à 25 $/mois, c'est une excellente nouvelle — ça signifie que tu viens de signer un grand compte qui te rapporte bien plus que ce surcoût.</w:t>
      </w:r>
    </w:p>
    <w:p>
      <w:pPr>
        <w:spacing w:before="200" w:after="60"/>
      </w:pPr>
      <w:r>
        <w:rPr>
          <w:b/>
          <w:color w:val="000000"/>
          <w:sz w:val="24"/>
        </w:rPr>
        <w:t>Gemini (Intelligence Artificielle)</w:t>
      </w:r>
    </w:p>
    <w:p>
      <w:pPr>
        <w:spacing w:before="40" w:after="80"/>
        <w:ind w:left="0"/>
      </w:pPr>
      <w:r>
        <w:rPr>
          <w:sz w:val="22"/>
        </w:rPr>
        <w:t>Confusion fréquente à lever avec les clients : l'API Gemini pour développeurs n'a rien à voir avec l'abonnement grand public Gemini Advanced à 22 €/mois.</w:t>
      </w:r>
    </w:p>
    <w:p>
      <w:pPr>
        <w:pStyle w:val="ListBullet"/>
        <w:spacing w:before="20" w:after="60"/>
        <w:ind w:left="397"/>
      </w:pPr>
      <w:r>
        <w:rPr>
          <w:sz w:val="22"/>
        </w:rPr>
        <w:t>Tu utilises une seule clé API Google Cloud pour tous tes clients.</w:t>
      </w:r>
    </w:p>
    <w:p>
      <w:pPr>
        <w:pStyle w:val="ListBullet"/>
        <w:spacing w:before="20" w:after="60"/>
        <w:ind w:left="397"/>
      </w:pPr>
      <w:r>
        <w:rPr>
          <w:sz w:val="22"/>
        </w:rPr>
        <w:t>Facturation au jeton uniquement à la consommation : ~0,075 $/million de tokens. Si personne n'utilise, tu paies 0 €.</w:t>
      </w:r>
    </w:p>
    <w:p>
      <w:pPr>
        <w:pStyle w:val="ListBullet"/>
        <w:spacing w:before="20" w:after="60"/>
        <w:ind w:left="397"/>
      </w:pPr>
      <w:r>
        <w:rPr>
          <w:sz w:val="22"/>
        </w:rPr>
        <w:t>Aucun abonnement fixe par client. Le passage à l'échelle se gère en activant le mode Pay-as-you-go dans Google Cloud AI Studio — quelques centimes absorbent le trafic de 1 000 utilisateurs.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1E5AA0"/>
          <w:sz w:val="30"/>
        </w:rPr>
        <w:t>5. Récapitulatif — Simulation de Revenus</w:t>
      </w:r>
    </w:p>
    <w:p>
      <w:pPr>
        <w:spacing w:before="40" w:after="80"/>
        <w:ind w:left="0"/>
      </w:pPr>
      <w:r>
        <w:rPr>
          <w:sz w:val="22"/>
        </w:rPr>
        <w:t>À titre d'illustration, voici une projection de revenus sur 3 ans avec une croissance modérée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134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Année</w:t>
            </w:r>
          </w:p>
        </w:tc>
        <w:tc>
          <w:tcPr>
            <w:tcW w:type="dxa" w:w="1984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Clients actifs</w:t>
            </w:r>
          </w:p>
        </w:tc>
        <w:tc>
          <w:tcPr>
            <w:tcW w:type="dxa" w:w="1984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Revenus Setup</w:t>
            </w:r>
          </w:p>
        </w:tc>
        <w:tc>
          <w:tcPr>
            <w:tcW w:type="dxa" w:w="2268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Licences annuelles</w:t>
            </w:r>
          </w:p>
        </w:tc>
        <w:tc>
          <w:tcPr>
            <w:tcW w:type="dxa" w:w="2268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Recharges estimées</w:t>
            </w:r>
          </w:p>
        </w:tc>
        <w:tc>
          <w:tcPr>
            <w:tcW w:type="dxa" w:w="1701"/>
            <w:vAlign w:val="center"/>
            <w:shd w:val="clear" w:color="auto" w:fill="1E5A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Total annuel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An 1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3 clients PME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12 000 €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1 500 €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~13 500 €</w:t>
            </w:r>
          </w:p>
        </w:tc>
      </w:tr>
      <w:tr>
        <w:tc>
          <w:tcPr>
            <w:tcW w:type="dxa" w:w="1134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An 2</w:t>
            </w:r>
          </w:p>
        </w:tc>
        <w:tc>
          <w:tcPr>
            <w:tcW w:type="dxa" w:w="1984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8 clients PME</w:t>
            </w:r>
          </w:p>
        </w:tc>
        <w:tc>
          <w:tcPr>
            <w:tcW w:type="dxa" w:w="1984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15 000 €</w:t>
            </w:r>
          </w:p>
        </w:tc>
        <w:tc>
          <w:tcPr>
            <w:tcW w:type="dxa" w:w="2268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9 000 €</w:t>
            </w:r>
          </w:p>
        </w:tc>
        <w:tc>
          <w:tcPr>
            <w:tcW w:type="dxa" w:w="2268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4 000 €</w:t>
            </w:r>
          </w:p>
        </w:tc>
        <w:tc>
          <w:tcPr>
            <w:tcW w:type="dxa" w:w="1701"/>
            <w:vAlign w:val="center"/>
            <w:shd w:val="clear" w:color="auto" w:fill="EEF4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~28 000 €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An 3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15 PME + 1 GC</w:t>
            </w:r>
          </w:p>
        </w:tc>
        <w:tc>
          <w:tcPr>
            <w:tcW w:type="dxa" w:w="1984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20 000 €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22 500 €</w:t>
            </w:r>
          </w:p>
        </w:tc>
        <w:tc>
          <w:tcPr>
            <w:tcW w:type="dxa" w:w="2268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10 000 €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~52 500 €</w:t>
            </w:r>
          </w:p>
        </w:tc>
      </w:tr>
    </w:tbl>
    <w:p/>
    <w:p>
      <w:pPr>
        <w:spacing w:before="40" w:after="80"/>
        <w:ind w:left="0"/>
      </w:pPr>
      <w:r>
        <w:rPr>
          <w:sz w:val="22"/>
        </w:rPr>
        <w:t>Ces chiffres sont conservateurs. Un seul grand compte suffit à doubler les revenus d'une année. Le modèle est structurellement profitable dès le premier client.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1E5AA0"/>
          <w:sz w:val="30"/>
        </w:rPr>
        <w:t>6. Note sur le B2C — Opportunités et Limites</w:t>
      </w:r>
    </w:p>
    <w:p>
      <w:pPr>
        <w:spacing w:before="40" w:after="80"/>
        <w:ind w:left="0"/>
      </w:pPr>
      <w:r>
        <w:rPr>
          <w:sz w:val="22"/>
        </w:rPr>
        <w:t>Le B2C est techniquement possible mais présente des défis spécifiques :</w:t>
      </w:r>
    </w:p>
    <w:p>
      <w:pPr>
        <w:pStyle w:val="ListBullet"/>
        <w:spacing w:before="20" w:after="60"/>
        <w:ind w:left="397"/>
      </w:pPr>
      <w:r>
        <w:rPr>
          <w:sz w:val="22"/>
        </w:rPr>
        <w:t>Coût d'acquisition client élevé (pub digitale : 15 à 30 € par inscrit) — il faut plusieurs mois d'abonnement pour rentabiliser.</w:t>
      </w:r>
    </w:p>
    <w:p>
      <w:pPr>
        <w:pStyle w:val="ListBullet"/>
        <w:spacing w:before="20" w:after="60"/>
        <w:ind w:left="397"/>
      </w:pPr>
      <w:r>
        <w:rPr>
          <w:sz w:val="22"/>
        </w:rPr>
        <w:t>Churn (désabonnement) élevé sur les apps de formation : motivation initiale forte, abandon rapide.</w:t>
      </w:r>
    </w:p>
    <w:p>
      <w:pPr>
        <w:pStyle w:val="ListBullet"/>
        <w:spacing w:before="20" w:after="60"/>
        <w:ind w:left="397"/>
      </w:pPr>
      <w:r>
        <w:rPr>
          <w:sz w:val="22"/>
        </w:rPr>
        <w:t>Infrastructure à adapter : authentification, gestion des comptes, tableau de bord individuel.</w:t>
      </w:r>
    </w:p>
    <w:p>
      <w:pPr>
        <w:spacing w:before="40" w:after="80"/>
        <w:ind w:left="0"/>
      </w:pPr>
      <w:r>
        <w:rPr>
          <w:sz w:val="22"/>
        </w:rPr>
        <w:t>Les niches B2C les plus prometteuses pour ce type d'outil :</w:t>
      </w:r>
    </w:p>
    <w:p>
      <w:pPr>
        <w:pStyle w:val="ListBullet"/>
        <w:spacing w:before="20" w:after="60"/>
        <w:ind w:left="397"/>
      </w:pPr>
      <w:r>
        <w:rPr>
          <w:sz w:val="22"/>
        </w:rPr>
        <w:t>Commerciaux indépendants et auto-entrepreneurs qui paient leur propre formation (pensée 'investissement', pas 'abonnement loisir'). Cible : 29 à 49 €/mois.</w:t>
      </w:r>
    </w:p>
    <w:p>
      <w:pPr>
        <w:pStyle w:val="ListBullet"/>
        <w:spacing w:before="20" w:after="60"/>
        <w:ind w:left="397"/>
      </w:pPr>
      <w:r>
        <w:rPr>
          <w:sz w:val="22"/>
        </w:rPr>
        <w:t>Apprenants en langue (oral conversationnel) — segment actuellement non couvert par Duolingo et compagnie.</w:t>
      </w:r>
    </w:p>
    <w:p>
      <w:pPr>
        <w:pStyle w:val="ListBullet"/>
        <w:spacing w:before="20" w:after="60"/>
        <w:ind w:left="397"/>
      </w:pPr>
      <w:r>
        <w:rPr>
          <w:sz w:val="22"/>
        </w:rPr>
        <w:t>Coaching prise de parole / gestion du stress — segment premium, 49 à 99 €/mois possible.</w:t>
      </w:r>
    </w:p>
    <w:p>
      <w:pPr>
        <w:spacing w:before="40" w:after="80"/>
        <w:ind w:left="0"/>
      </w:pPr>
      <w:r>
        <w:rPr>
          <w:sz w:val="22"/>
        </w:rPr>
        <w:t>Recommandation : consolider le B2B d'abord, utiliser les références clients pour crédibiliser une offre B2C 'professionnels indépendants' dans un second temps.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40"/>
        <w:jc w:val="center"/>
      </w:pPr>
      <w:r>
        <w:rPr>
          <w:i/>
          <w:color w:val="A0A0A0"/>
          <w:sz w:val="18"/>
        </w:rPr>
        <w:t>Document interne MDS — My Didaktik Stories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