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5213A" w:rsidRPr="00F50025" w:rsidRDefault="00633004" w:rsidP="00F50025">
      <w:pPr>
        <w:pStyle w:val="Cuerpo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b/>
          <w:bCs/>
          <w:sz w:val="24"/>
          <w:szCs w:val="24"/>
        </w:rPr>
        <w:t>Introducción</w:t>
      </w:r>
      <w:r w:rsidRPr="00F50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13A" w:rsidRPr="00F50025" w:rsidRDefault="00A5213A" w:rsidP="00F50025">
      <w:pPr>
        <w:pStyle w:val="Cuerpo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AE5F15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hAnsi="Times New Roman" w:cs="Times New Roman"/>
          <w:color w:val="323232"/>
          <w:sz w:val="24"/>
          <w:szCs w:val="24"/>
        </w:rPr>
        <w:t xml:space="preserve">     </w:t>
      </w:r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Dentro del proceso para otorgar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créditos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lo que se pretende es ser rentable y competitivo por lo tanto hay puntos que son indispensables de tomar en cuenta durante el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análisis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de riesgo que tienen las cuentas de nuestra cartera de clientes. Un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método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utilizado con frecuencia para el fin de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evaluación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de riesgo de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crédito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es el llamado de las "5 C", este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método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nos ayuda a identificar los posibles riesgos que podemos tener en cuanto a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Carácter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, Capacidad, Condiciones, Capital y Colateral.</w:t>
      </w:r>
    </w:p>
    <w:p w:rsidR="00A5213A" w:rsidRPr="00F50025" w:rsidRDefault="00A5213A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5213A" w:rsidRPr="00F50025" w:rsidRDefault="00AE5F15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hAnsi="Times New Roman" w:cs="Times New Roman"/>
          <w:color w:val="323232"/>
          <w:sz w:val="24"/>
          <w:szCs w:val="24"/>
        </w:rPr>
        <w:t xml:space="preserve">     </w:t>
      </w:r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El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crédito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es el motor de la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economía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, por lo que las organizaciones lo promueven y otorgan,</w:t>
      </w:r>
    </w:p>
    <w:p w:rsidR="00A5213A" w:rsidRPr="00F50025" w:rsidRDefault="00633004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la </w:t>
      </w:r>
      <w:proofErr w:type="spellStart"/>
      <w:r w:rsidRPr="00F50025">
        <w:rPr>
          <w:rFonts w:ascii="Times New Roman" w:hAnsi="Times New Roman" w:cs="Times New Roman"/>
          <w:color w:val="323232"/>
          <w:sz w:val="24"/>
          <w:szCs w:val="24"/>
        </w:rPr>
        <w:t>solución</w:t>
      </w:r>
      <w:proofErr w:type="spellEnd"/>
      <w:r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para reducir el </w:t>
      </w:r>
      <w:proofErr w:type="spellStart"/>
      <w:r w:rsidRPr="00F50025">
        <w:rPr>
          <w:rFonts w:ascii="Times New Roman" w:hAnsi="Times New Roman" w:cs="Times New Roman"/>
          <w:color w:val="323232"/>
          <w:sz w:val="24"/>
          <w:szCs w:val="24"/>
        </w:rPr>
        <w:t>número</w:t>
      </w:r>
      <w:proofErr w:type="spellEnd"/>
      <w:r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de cuentas incobrables o incrementar la </w:t>
      </w:r>
      <w:proofErr w:type="spellStart"/>
      <w:r w:rsidRPr="00F50025">
        <w:rPr>
          <w:rFonts w:ascii="Times New Roman" w:hAnsi="Times New Roman" w:cs="Times New Roman"/>
          <w:color w:val="323232"/>
          <w:sz w:val="24"/>
          <w:szCs w:val="24"/>
        </w:rPr>
        <w:t>recuperación</w:t>
      </w:r>
      <w:proofErr w:type="spellEnd"/>
      <w:r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de las mismas no </w:t>
      </w:r>
      <w:proofErr w:type="spellStart"/>
      <w:r w:rsidRPr="00F50025">
        <w:rPr>
          <w:rFonts w:ascii="Times New Roman" w:hAnsi="Times New Roman" w:cs="Times New Roman"/>
          <w:color w:val="323232"/>
          <w:sz w:val="24"/>
          <w:szCs w:val="24"/>
        </w:rPr>
        <w:t>esta</w:t>
      </w:r>
      <w:proofErr w:type="spellEnd"/>
      <w:r w:rsidRPr="00F50025">
        <w:rPr>
          <w:rFonts w:ascii="Times New Roman" w:hAnsi="Times New Roman" w:cs="Times New Roman"/>
          <w:color w:val="323232"/>
          <w:sz w:val="24"/>
          <w:szCs w:val="24"/>
        </w:rPr>
        <w:t>́ en limitar o reducir las ventas a crédito, sino en romper este paradigma y vender</w:t>
      </w:r>
    </w:p>
    <w:p w:rsidR="00A5213A" w:rsidRPr="00F50025" w:rsidRDefault="00633004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F50025">
        <w:rPr>
          <w:rFonts w:ascii="Times New Roman" w:hAnsi="Times New Roman" w:cs="Times New Roman"/>
          <w:color w:val="323232"/>
          <w:sz w:val="24"/>
          <w:szCs w:val="24"/>
          <w:lang w:val="it-IT"/>
        </w:rPr>
        <w:t>a cre</w:t>
      </w:r>
      <w:r w:rsidRPr="00F50025">
        <w:rPr>
          <w:rFonts w:ascii="Times New Roman" w:hAnsi="Times New Roman" w:cs="Times New Roman"/>
          <w:color w:val="323232"/>
          <w:sz w:val="24"/>
          <w:szCs w:val="24"/>
        </w:rPr>
        <w:t>́</w:t>
      </w:r>
      <w:r w:rsidRPr="00F50025">
        <w:rPr>
          <w:rFonts w:ascii="Times New Roman" w:hAnsi="Times New Roman" w:cs="Times New Roman"/>
          <w:color w:val="323232"/>
          <w:sz w:val="24"/>
          <w:szCs w:val="24"/>
          <w:lang w:val="it-IT"/>
        </w:rPr>
        <w:t>dito con bases so</w:t>
      </w:r>
      <w:r w:rsidRPr="00F50025">
        <w:rPr>
          <w:rFonts w:ascii="Times New Roman" w:hAnsi="Times New Roman" w:cs="Times New Roman"/>
          <w:color w:val="323232"/>
          <w:sz w:val="24"/>
          <w:szCs w:val="24"/>
        </w:rPr>
        <w:t>́lidas, informadas, completas y bien planificadas.</w:t>
      </w:r>
    </w:p>
    <w:p w:rsidR="00A5213A" w:rsidRPr="00F50025" w:rsidRDefault="00A5213A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5213A" w:rsidRPr="00F50025" w:rsidRDefault="00AE5F15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hAnsi="Times New Roman" w:cs="Times New Roman"/>
          <w:color w:val="323232"/>
          <w:sz w:val="24"/>
          <w:szCs w:val="24"/>
        </w:rPr>
        <w:t xml:space="preserve">     </w:t>
      </w:r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El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análisis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previo al otorgamiento de un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crédito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, es una actividad trascendental para la sana marcha del negocio y se ha vuelto todo un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método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de la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administración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y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planeación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 xml:space="preserve"> financiera, que en algunos casos llega a requerir un alto grado de </w:t>
      </w:r>
      <w:proofErr w:type="spellStart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especialización</w:t>
      </w:r>
      <w:proofErr w:type="spellEnd"/>
      <w:r w:rsidR="00633004" w:rsidRPr="00F50025">
        <w:rPr>
          <w:rFonts w:ascii="Times New Roman" w:hAnsi="Times New Roman" w:cs="Times New Roman"/>
          <w:color w:val="323232"/>
          <w:sz w:val="24"/>
          <w:szCs w:val="24"/>
        </w:rPr>
        <w:t>.</w:t>
      </w:r>
    </w:p>
    <w:p w:rsidR="00A5213A" w:rsidRPr="00F50025" w:rsidRDefault="00A5213A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5213A" w:rsidRPr="00F50025" w:rsidRDefault="00A5213A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5213A" w:rsidRDefault="00A5213A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E5F15" w:rsidRPr="00F50025" w:rsidRDefault="00AE5F15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5213A" w:rsidRPr="00F50025" w:rsidRDefault="00A5213A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5213A" w:rsidRPr="00F50025" w:rsidRDefault="00A5213A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Evaluaciones</w:t>
      </w:r>
      <w:proofErr w:type="spellEnd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proofErr w:type="gramStart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crédito</w:t>
      </w:r>
      <w:proofErr w:type="spellEnd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método</w:t>
      </w:r>
      <w:proofErr w:type="spellEnd"/>
      <w:proofErr w:type="gramEnd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las </w:t>
      </w:r>
      <w:proofErr w:type="spellStart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>cinco</w:t>
      </w:r>
      <w:proofErr w:type="spellEnd"/>
      <w:r w:rsidRPr="00F500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</w:t>
      </w:r>
    </w:p>
    <w:p w:rsidR="00A5213A" w:rsidRPr="00F50025" w:rsidRDefault="00A5213A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213A" w:rsidRPr="00F50025" w:rsidRDefault="00163613" w:rsidP="00F50025">
      <w:pPr>
        <w:pStyle w:val="Poromisin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Fonts w:ascii="Times New Roman" w:hAnsi="Times New Roman" w:cs="Times New Roman"/>
          <w:sz w:val="24"/>
          <w:szCs w:val="24"/>
        </w:rPr>
        <w:t xml:space="preserve">Los banqueros deben usar en su actividad herramientas para escoger a los mejores pagadores o deudores. Entre ellas, analizan las cinco “c” </w:t>
      </w:r>
      <w:r w:rsidR="00633004" w:rsidRPr="00F50025">
        <w:rPr>
          <w:rFonts w:ascii="Times New Roman" w:hAnsi="Times New Roman" w:cs="Times New Roman"/>
          <w:sz w:val="24"/>
          <w:szCs w:val="24"/>
          <w:lang w:val="it-IT"/>
        </w:rPr>
        <w:t>del cr</w:t>
      </w:r>
      <w:r w:rsidR="00633004" w:rsidRPr="00F50025">
        <w:rPr>
          <w:rFonts w:ascii="Times New Roman" w:hAnsi="Times New Roman" w:cs="Times New Roman"/>
          <w:sz w:val="24"/>
          <w:szCs w:val="24"/>
        </w:rPr>
        <w:t>é</w:t>
      </w:r>
      <w:r w:rsidR="00633004" w:rsidRPr="00F50025">
        <w:rPr>
          <w:rFonts w:ascii="Times New Roman" w:hAnsi="Times New Roman" w:cs="Times New Roman"/>
          <w:sz w:val="24"/>
          <w:szCs w:val="24"/>
          <w:lang w:val="it-IT"/>
        </w:rPr>
        <w:t>dito.</w:t>
      </w:r>
    </w:p>
    <w:p w:rsidR="00A5213A" w:rsidRPr="00F50025" w:rsidRDefault="00A5213A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025">
        <w:rPr>
          <w:rFonts w:ascii="Times New Roman" w:hAnsi="Times New Roman" w:cs="Times New Roman"/>
          <w:b/>
          <w:bCs/>
          <w:sz w:val="24"/>
          <w:szCs w:val="24"/>
          <w:lang w:val="de-DE"/>
        </w:rPr>
        <w:t>CARA</w:t>
      </w:r>
      <w:r w:rsidRPr="00F50025">
        <w:rPr>
          <w:rFonts w:ascii="Times New Roman" w:hAnsi="Times New Roman" w:cs="Times New Roman"/>
          <w:b/>
          <w:bCs/>
          <w:sz w:val="24"/>
          <w:szCs w:val="24"/>
        </w:rPr>
        <w:t>́</w:t>
      </w:r>
      <w:r w:rsidRPr="00F50025">
        <w:rPr>
          <w:rFonts w:ascii="Times New Roman" w:hAnsi="Times New Roman" w:cs="Times New Roman"/>
          <w:b/>
          <w:bCs/>
          <w:sz w:val="24"/>
          <w:szCs w:val="24"/>
          <w:lang w:val="de-DE"/>
        </w:rPr>
        <w:t>CTER</w:t>
      </w:r>
      <w:r w:rsidRPr="00F50025">
        <w:rPr>
          <w:rFonts w:ascii="Times New Roman" w:hAnsi="Times New Roman" w:cs="Times New Roman"/>
          <w:b/>
          <w:bCs/>
          <w:sz w:val="24"/>
          <w:szCs w:val="24"/>
        </w:rPr>
        <w:t xml:space="preserve"> (Solvencia Moral)</w:t>
      </w:r>
    </w:p>
    <w:p w:rsidR="00A5213A" w:rsidRPr="00F50025" w:rsidRDefault="00A5213A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Fonts w:ascii="Times New Roman" w:hAnsi="Times New Roman" w:cs="Times New Roman"/>
          <w:sz w:val="24"/>
          <w:szCs w:val="24"/>
        </w:rPr>
        <w:t xml:space="preserve">Son las cualidades de honorabilidad y solvencia moral que tiene el acreditado para responder a nuestro </w:t>
      </w:r>
      <w:proofErr w:type="spellStart"/>
      <w:r w:rsidR="00633004" w:rsidRPr="00F50025">
        <w:rPr>
          <w:rFonts w:ascii="Times New Roman" w:hAnsi="Times New Roman" w:cs="Times New Roman"/>
          <w:sz w:val="24"/>
          <w:szCs w:val="24"/>
        </w:rPr>
        <w:t>cre</w:t>
      </w:r>
      <w:proofErr w:type="spellEnd"/>
      <w:r w:rsidR="00633004" w:rsidRPr="00F50025">
        <w:rPr>
          <w:rFonts w:ascii="Times New Roman" w:hAnsi="Times New Roman" w:cs="Times New Roman"/>
          <w:sz w:val="24"/>
          <w:szCs w:val="24"/>
        </w:rPr>
        <w:t>́</w:t>
      </w:r>
      <w:r w:rsidR="00633004" w:rsidRPr="00F50025">
        <w:rPr>
          <w:rFonts w:ascii="Times New Roman" w:hAnsi="Times New Roman" w:cs="Times New Roman"/>
          <w:sz w:val="24"/>
          <w:szCs w:val="24"/>
          <w:lang w:val="it-IT"/>
        </w:rPr>
        <w:t>dito.</w:t>
      </w:r>
    </w:p>
    <w:p w:rsidR="00A5213A" w:rsidRPr="00F50025" w:rsidRDefault="00163613" w:rsidP="00F50025">
      <w:pPr>
        <w:pStyle w:val="Cuerpo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Fonts w:ascii="Times New Roman" w:hAnsi="Times New Roman" w:cs="Times New Roman"/>
          <w:sz w:val="24"/>
          <w:szCs w:val="24"/>
        </w:rPr>
        <w:t xml:space="preserve">Se dice que una persona tiene </w:t>
      </w:r>
      <w:proofErr w:type="spellStart"/>
      <w:r w:rsidR="00633004" w:rsidRPr="00F50025">
        <w:rPr>
          <w:rFonts w:ascii="Times New Roman" w:hAnsi="Times New Roman" w:cs="Times New Roman"/>
          <w:sz w:val="24"/>
          <w:szCs w:val="24"/>
        </w:rPr>
        <w:t>carácter</w:t>
      </w:r>
      <w:proofErr w:type="spellEnd"/>
      <w:r w:rsidR="00633004" w:rsidRPr="00F50025">
        <w:rPr>
          <w:rFonts w:ascii="Times New Roman" w:hAnsi="Times New Roman" w:cs="Times New Roman"/>
          <w:sz w:val="24"/>
          <w:szCs w:val="24"/>
        </w:rPr>
        <w:t xml:space="preserve"> cuando está gobernada por un alto sentido de lo moralmente correcto en los negocios; </w:t>
      </w:r>
      <w:proofErr w:type="spellStart"/>
      <w:r w:rsidR="00633004" w:rsidRPr="00F50025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633004" w:rsidRPr="00F50025">
        <w:rPr>
          <w:rFonts w:ascii="Times New Roman" w:hAnsi="Times New Roman" w:cs="Times New Roman"/>
          <w:sz w:val="24"/>
          <w:szCs w:val="24"/>
        </w:rPr>
        <w:t xml:space="preserve">́ definido, el </w:t>
      </w:r>
      <w:proofErr w:type="spellStart"/>
      <w:r w:rsidR="00633004" w:rsidRPr="00F50025">
        <w:rPr>
          <w:rFonts w:ascii="Times New Roman" w:hAnsi="Times New Roman" w:cs="Times New Roman"/>
          <w:sz w:val="24"/>
          <w:szCs w:val="24"/>
        </w:rPr>
        <w:t>carácter</w:t>
      </w:r>
      <w:proofErr w:type="spellEnd"/>
      <w:r w:rsidR="00633004" w:rsidRPr="00F50025">
        <w:rPr>
          <w:rFonts w:ascii="Times New Roman" w:hAnsi="Times New Roman" w:cs="Times New Roman"/>
          <w:sz w:val="24"/>
          <w:szCs w:val="24"/>
        </w:rPr>
        <w:t xml:space="preserve"> se convierte en crediticio cuando</w:t>
      </w:r>
    </w:p>
    <w:p w:rsidR="00A5213A" w:rsidRPr="00F50025" w:rsidRDefault="00633004" w:rsidP="00F50025">
      <w:pPr>
        <w:pStyle w:val="Cuerpo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Fonts w:ascii="Times New Roman" w:hAnsi="Times New Roman" w:cs="Times New Roman"/>
          <w:sz w:val="24"/>
          <w:szCs w:val="24"/>
        </w:rPr>
        <w:t xml:space="preserve">estas cualidades se combinan y hacen a la persona consciente de sus </w:t>
      </w:r>
      <w:r w:rsidRPr="00F50025">
        <w:rPr>
          <w:rFonts w:ascii="Times New Roman" w:hAnsi="Times New Roman" w:cs="Times New Roman"/>
          <w:sz w:val="24"/>
          <w:szCs w:val="24"/>
          <w:lang w:val="pt-PT"/>
        </w:rPr>
        <w:t>compromisos de cre</w:t>
      </w:r>
      <w:r w:rsidRPr="00F50025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F50025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F50025">
        <w:rPr>
          <w:rFonts w:ascii="Times New Roman" w:hAnsi="Times New Roman" w:cs="Times New Roman"/>
          <w:sz w:val="24"/>
          <w:szCs w:val="24"/>
        </w:rPr>
        <w:t xml:space="preserve"> y deudas.</w:t>
      </w: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Cuando se hace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it-IT"/>
        </w:rPr>
        <w:t xml:space="preserve"> un ana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́lisis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, lo que se busca es de alguna manera ser capaces de predecir el futuro comportamiento de pago de un cliente, por lo que debemos echar mano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información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sobre sus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hábitos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pago y comportamiento, dicha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informacio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fr-FR"/>
        </w:rPr>
        <w:t>n tendra</w:t>
      </w:r>
      <w:r w:rsidRPr="00F50025">
        <w:rPr>
          <w:rStyle w:val="Ninguno"/>
          <w:rFonts w:ascii="Times New Roman" w:hAnsi="Times New Roman" w:cs="Times New Roman"/>
          <w:sz w:val="24"/>
          <w:szCs w:val="24"/>
        </w:rPr>
        <w:t>́ que hacer referencia al pasado (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cómo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se ha comportado en operaciones crediticias pasadas) y al presente (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cómo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esta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 comportando actualmente en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relación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a sus pagos) esto nos marcará una tendencia y por ende una probabilidad de mantener un similar comportamiento para futuros eventos.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evaluacio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it-IT"/>
        </w:rPr>
        <w:t>n del cara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cter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o solvencia moral de un cliente debe hacerse a partir de elementos contunden- tes, medibles y verificables tales como: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lastRenderedPageBreak/>
        <w:t xml:space="preserve">• Pedir Referencias Comerciales a otros proveedores con quienes tenga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cre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it-IT"/>
        </w:rPr>
        <w:t>dito.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Obtener un Reporte de Sociedades de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Información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Crediticia (quienes cuentan con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múltiples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herramientas y alternativas).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Verificar demandas judiciales (en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México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existen empresas que por un pago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mínimo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te dan ese tipo de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información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>).</w:t>
      </w:r>
    </w:p>
    <w:p w:rsidR="00A5213A" w:rsidRPr="00F50025" w:rsidRDefault="00633004" w:rsidP="00F50025">
      <w:pPr>
        <w:pStyle w:val="Cuerpo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>Obtener Referencias Bancarias (por medio de una carta o pedirlas directamente al banco).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025">
        <w:rPr>
          <w:rFonts w:ascii="Times New Roman" w:hAnsi="Times New Roman" w:cs="Times New Roman"/>
          <w:b/>
          <w:bCs/>
          <w:sz w:val="24"/>
          <w:szCs w:val="24"/>
          <w:lang w:val="de-DE"/>
        </w:rPr>
        <w:t>CAPACIDAD</w:t>
      </w:r>
      <w:r w:rsidRPr="00F50025">
        <w:rPr>
          <w:rFonts w:ascii="Times New Roman" w:hAnsi="Times New Roman" w:cs="Times New Roman"/>
          <w:b/>
          <w:bCs/>
          <w:sz w:val="24"/>
          <w:szCs w:val="24"/>
        </w:rPr>
        <w:t xml:space="preserve"> (Manejo y experiencia en el negocio)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Es la habilidad y experiencia en la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administración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y entrega de resultados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prácticos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que tiene la persona o empresa.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Cuando se trata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a empresas su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evaluación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toma en cuenta la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antigüedad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el crecimiento de la empresa, sus canales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distribución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actividades, operaciones, zona de influencia,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número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empleados, sucursales, etc.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Los nuevos negocios ofrecen un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difícil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problema para el departamento de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pues miles de establecimientos cada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año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fallan en un gran porcentaje, debido a la falta de habilidad de llevar un negocio con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éxito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(cifras compartidas por la empresa de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consultoría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financiera PWC nos dicen que cerca del 50% de las empresas no llegan a cumplir 1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año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operación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>).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En general de lo que se trata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aqui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 es de saber qué tanta experiencia y estructura tiene nuestro cliente para manejar y desarrollar de la mejor forma su negocio, recordemos que la mejor venta es la que se repite ya que no solo buscamos una compra </w:t>
      </w:r>
      <w:proofErr w:type="spellStart"/>
      <w:proofErr w:type="gram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esporádica</w:t>
      </w:r>
      <w:proofErr w:type="spellEnd"/>
      <w:proofErr w:type="gram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sino que el cliente tenga la capacidad de seguir comprando constantemente y pagá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pt-PT"/>
        </w:rPr>
        <w:t>ndonos oportunamente.</w:t>
      </w:r>
    </w:p>
    <w:p w:rsidR="00A5213A" w:rsidRPr="00F50025" w:rsidRDefault="00A5213A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025">
        <w:rPr>
          <w:rFonts w:ascii="Times New Roman" w:hAnsi="Times New Roman" w:cs="Times New Roman"/>
          <w:b/>
          <w:bCs/>
          <w:sz w:val="24"/>
          <w:szCs w:val="24"/>
          <w:lang w:val="de-DE"/>
        </w:rPr>
        <w:t>CONDICIONES</w:t>
      </w:r>
      <w:r w:rsidRPr="00F50025">
        <w:rPr>
          <w:rFonts w:ascii="Times New Roman" w:hAnsi="Times New Roman" w:cs="Times New Roman"/>
          <w:b/>
          <w:bCs/>
          <w:sz w:val="24"/>
          <w:szCs w:val="24"/>
        </w:rPr>
        <w:t xml:space="preserve"> (Del mercado y externos)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Son los factores externos que pueden afectar la marcha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algún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negocio, es decir aquellos que no dependen de su trabajo.</w:t>
      </w: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Los negocios en general y las condiciones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económicas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sobre los que los individuos no tienen control, pueden alterar el cumplimiento del pago,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asi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 como su deseo de cumplir con sus obligaciones.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Algunos elementos a considerar</w:t>
      </w:r>
      <w:proofErr w:type="gram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son: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Modificaciones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políticas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econo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pt-PT"/>
        </w:rPr>
        <w:t>micas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it-IT"/>
        </w:rPr>
        <w:t>Entorno natural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Ubicación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y condiciones del inmueble (seguro contra robo, incendio, temblores, etc.)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Si bien estos factores no pueden evitarse, una correcta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evaluación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permite al menos prever sus posibles efectos e incluirlos en 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ana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pt-PT"/>
        </w:rPr>
        <w:t>lisis como riesgos contingentes.</w:t>
      </w:r>
    </w:p>
    <w:p w:rsidR="00A5213A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E5F15" w:rsidRPr="00F50025" w:rsidRDefault="00AE5F15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Fonts w:ascii="Times New Roman" w:hAnsi="Times New Roman" w:cs="Times New Roman"/>
          <w:b/>
          <w:bCs/>
          <w:sz w:val="24"/>
          <w:szCs w:val="24"/>
        </w:rPr>
        <w:lastRenderedPageBreak/>
        <w:t>CAPITAL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Se refiere a los valores invertidos en el negocio,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asi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 como sus compromisos, es decir, el estudio de sus finanzas, para su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evaluación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se requiere del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análisis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a su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situacio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fr-FR"/>
        </w:rPr>
        <w:t xml:space="preserve">n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fr-FR"/>
        </w:rPr>
        <w:t>financiera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fr-FR"/>
        </w:rPr>
        <w:t>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análisis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financiero detallado nos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permitira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 conocer completamente sus posibilidades de pago, su flujo de ingresos y egresos,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asi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 como la capacidad de endeudamiento, para llevar a cabo un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análisis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esta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índole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es necesario conocer algunos elementos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básicos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aplicación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pra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pt-PT"/>
        </w:rPr>
        <w:t>ctica para que a trave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́s de un balance, puedas medir el flujo de liquidez, la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rotación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del inventario, el tiempo promedio que tarda en pagar, etc.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0025">
        <w:rPr>
          <w:rFonts w:ascii="Times New Roman" w:hAnsi="Times New Roman" w:cs="Times New Roman"/>
          <w:b/>
          <w:bCs/>
          <w:sz w:val="24"/>
          <w:szCs w:val="24"/>
          <w:lang w:val="de-DE"/>
        </w:rPr>
        <w:t>COLATERAL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Son todos aquellos elementos de que dispone el negocio o sus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dueños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para garantizar el cumplimiento de pago en 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es decir las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garantías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o apoyos colaterales; mismos que se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evalúan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fr-FR"/>
        </w:rPr>
        <w:t>a trave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́s de sus activos fijos, el valor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económico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y la calidad de estos.</w:t>
      </w: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Uno de los fundamentos del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análisis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establece que no debe otorgarse un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que no tenga prevista una segunda fuente de pago, a menos que el margen de la utilidad sea muy alto, lo que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permitiría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correr un mayor riesgo.</w:t>
      </w: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La segunda fuente hace las veces de un plan alterno de cobro, en caso de que el cliente no pague, algunas opciones de respaldo colateral o segunda fuente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podrían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ser: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>• Aval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pt-PT"/>
        </w:rPr>
        <w:t>Pagare</w:t>
      </w: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 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fr-FR"/>
        </w:rPr>
        <w:t>en garanti</w:t>
      </w:r>
      <w:r w:rsidRPr="00F50025">
        <w:rPr>
          <w:rStyle w:val="Ninguno"/>
          <w:rFonts w:ascii="Times New Roman" w:hAnsi="Times New Roman" w:cs="Times New Roman"/>
          <w:sz w:val="24"/>
          <w:szCs w:val="24"/>
        </w:rPr>
        <w:t>́a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it-IT"/>
        </w:rPr>
        <w:t>Contrato prendario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it-IT"/>
        </w:rPr>
        <w:t>Fianza</w:t>
      </w: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</w:t>
      </w:r>
      <w:r w:rsidRPr="00F50025">
        <w:rPr>
          <w:rStyle w:val="Ninguno"/>
          <w:rFonts w:ascii="Times New Roman" w:hAnsi="Times New Roman" w:cs="Times New Roman"/>
          <w:sz w:val="24"/>
          <w:szCs w:val="24"/>
          <w:lang w:val="pt-PT"/>
        </w:rPr>
        <w:t>Seguro de cre</w:t>
      </w:r>
      <w:r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dito</w:t>
      </w:r>
      <w:proofErr w:type="spellEnd"/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Depósito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garantía</w:t>
      </w:r>
      <w:proofErr w:type="spellEnd"/>
    </w:p>
    <w:p w:rsidR="00A5213A" w:rsidRPr="00F50025" w:rsidRDefault="00633004" w:rsidP="00F50025">
      <w:pPr>
        <w:pStyle w:val="Cuerpo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0025">
        <w:rPr>
          <w:rStyle w:val="Ninguno"/>
          <w:rFonts w:ascii="Times New Roman" w:hAnsi="Times New Roman" w:cs="Times New Roman"/>
          <w:sz w:val="24"/>
          <w:szCs w:val="24"/>
        </w:rPr>
        <w:t>Garantía</w:t>
      </w:r>
      <w:proofErr w:type="spellEnd"/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inmobiliaria, etc.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recomendación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que hacen los expertos sobre este tema es que no se debe determinar el monto del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basado en el valor que tiene la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garantía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pues es una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práctica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poco sana ya que lo que se pretende es que el monto del financiamiento se calcule con la base de la capacidad de pago del cliente y no con el valor de lo que le podemos embargar si no paga.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análisis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implica el conocimiento detallado de una amplia gama de elementos, todos ellos pueden tener un mayor o menor valor dependiendo del tipo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a otorgar, el mercado en el que se desarrolla el cliente, el monto del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y otros elementos.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E5F15" w:rsidRDefault="00AE5F15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E5F15" w:rsidRDefault="00AE5F15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E5F15" w:rsidRDefault="00AE5F15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E5F15" w:rsidRDefault="00AE5F15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E5F15" w:rsidRPr="00F50025" w:rsidRDefault="00AE5F15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633004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 w:rsidRPr="00F5002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Conclusión</w:t>
      </w:r>
      <w:r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Pr="00F50025" w:rsidRDefault="00163613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método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las 5 C sigue siendo tan efectivo como lo era en el pasado, sin </w:t>
      </w:r>
      <w:proofErr w:type="gram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embargo</w:t>
      </w:r>
      <w:proofErr w:type="gram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globalización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la competencia y los esquemas cada vez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más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agresivos de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comercialización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productos y servicios han detonado poco a poco un cambio en las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políticas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a veces tan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rígidas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que permeaban en el otorgamiento y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evaluacio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nl-NL"/>
        </w:rPr>
        <w:t>n de cre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dito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las organizaciones.</w:t>
      </w:r>
    </w:p>
    <w:p w:rsidR="00A5213A" w:rsidRPr="00F50025" w:rsidRDefault="00A5213A" w:rsidP="00F50025">
      <w:pPr>
        <w:pStyle w:val="Cuerpo"/>
        <w:spacing w:line="480" w:lineRule="auto"/>
        <w:rPr>
          <w:rStyle w:val="Ninguno"/>
          <w:rFonts w:ascii="Times New Roman" w:eastAsia="Times New Roman" w:hAnsi="Times New Roman" w:cs="Times New Roman"/>
          <w:sz w:val="24"/>
          <w:szCs w:val="24"/>
        </w:rPr>
      </w:pPr>
    </w:p>
    <w:p w:rsidR="00A5213A" w:rsidRDefault="00163613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  <w:r>
        <w:rPr>
          <w:rStyle w:val="Ninguno"/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La certidumbre en los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créditos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es ahora mucho mejor que antes, afortunadamente las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políticas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financieras han moldeado un camino mucho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más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confiable para participar en cualquier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transacción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, los riesgos siempre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están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presentes sin embargo ahora hay un mayor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índice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de confianza para prestar y para pedir, por lo cual se recomendaría aprovechar este momento de crecimiento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económico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esta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 xml:space="preserve">́ dando en el </w:t>
      </w:r>
      <w:proofErr w:type="spellStart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pai</w:t>
      </w:r>
      <w:proofErr w:type="spellEnd"/>
      <w:r w:rsidR="00633004" w:rsidRPr="00F50025">
        <w:rPr>
          <w:rStyle w:val="Ninguno"/>
          <w:rFonts w:ascii="Times New Roman" w:hAnsi="Times New Roman" w:cs="Times New Roman"/>
          <w:sz w:val="24"/>
          <w:szCs w:val="24"/>
        </w:rPr>
        <w:t>́</w:t>
      </w:r>
      <w:r w:rsidR="00633004" w:rsidRPr="00F50025">
        <w:rPr>
          <w:rStyle w:val="Ninguno"/>
          <w:rFonts w:ascii="Times New Roman" w:hAnsi="Times New Roman" w:cs="Times New Roman"/>
          <w:sz w:val="24"/>
          <w:szCs w:val="24"/>
          <w:lang w:val="pt-PT"/>
        </w:rPr>
        <w:t>s.</w:t>
      </w: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24928" w:rsidRDefault="00A24928" w:rsidP="00F50025">
      <w:pPr>
        <w:pStyle w:val="Cuerpo"/>
        <w:spacing w:line="480" w:lineRule="auto"/>
        <w:rPr>
          <w:rStyle w:val="Ninguno"/>
          <w:rFonts w:ascii="Times New Roman" w:hAnsi="Times New Roman" w:cs="Times New Roman"/>
          <w:sz w:val="24"/>
          <w:szCs w:val="24"/>
          <w:lang w:val="pt-PT"/>
        </w:rPr>
      </w:pPr>
    </w:p>
    <w:p w:rsidR="00AE5F15" w:rsidRDefault="00AE5F15" w:rsidP="00F50025">
      <w:pPr>
        <w:pStyle w:val="Cuerpo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Referencias</w:t>
      </w:r>
    </w:p>
    <w:p w:rsidR="00451109" w:rsidRDefault="00451109" w:rsidP="00F50025">
      <w:pPr>
        <w:pStyle w:val="Cuerpo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E5F15" w:rsidRDefault="00AE5F15" w:rsidP="00AE5F15">
      <w:pPr>
        <w:pStyle w:val="Cuerpo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F15">
        <w:rPr>
          <w:rFonts w:ascii="Times New Roman" w:hAnsi="Times New Roman" w:cs="Times New Roman"/>
          <w:sz w:val="24"/>
          <w:szCs w:val="24"/>
        </w:rPr>
        <w:t>Edgar Huérfano. (2010). Las cinco "C" para conseguir un crédito. El Empresario, 5.</w:t>
      </w:r>
    </w:p>
    <w:p w:rsidR="00AE5F15" w:rsidRDefault="00AE5F15" w:rsidP="00AE5F15">
      <w:pPr>
        <w:pStyle w:val="Cuerpo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F15">
        <w:rPr>
          <w:rFonts w:ascii="Times New Roman" w:hAnsi="Times New Roman" w:cs="Times New Roman"/>
          <w:sz w:val="24"/>
          <w:szCs w:val="24"/>
        </w:rPr>
        <w:t>Gerardo Corrales. (2017). Las cinco ‘c’ del crédito. La Nación, 18.</w:t>
      </w:r>
    </w:p>
    <w:p w:rsidR="00AE5F15" w:rsidRPr="00AE5F15" w:rsidRDefault="00AE5F15" w:rsidP="00AE5F15">
      <w:pPr>
        <w:pStyle w:val="Cuerpo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5F15">
        <w:rPr>
          <w:rFonts w:ascii="Times New Roman" w:hAnsi="Times New Roman" w:cs="Times New Roman"/>
          <w:sz w:val="24"/>
          <w:szCs w:val="24"/>
        </w:rPr>
        <w:t xml:space="preserve">Wells Fargo. (2018). Sepa qué buscan los prestamistas. 10-10-2018, de Wells Fargo Sitio web: </w:t>
      </w:r>
      <w:hyperlink r:id="rId7" w:history="1">
        <w:r w:rsidRPr="00AE5F15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https://www.wellsfargo.com/es/financial-education/credit-management/five-c/</w:t>
        </w:r>
      </w:hyperlink>
    </w:p>
    <w:p w:rsidR="00AE5F15" w:rsidRPr="00AE5F15" w:rsidRDefault="00A24928" w:rsidP="00AE5F15">
      <w:pPr>
        <w:pStyle w:val="Cuerpo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4928">
        <w:rPr>
          <w:rFonts w:ascii="Times New Roman" w:hAnsi="Times New Roman" w:cs="Times New Roman"/>
          <w:sz w:val="24"/>
          <w:szCs w:val="24"/>
        </w:rPr>
        <w:t>Corral, L; Gamboa, M; Pérez, R; Almonte, J. (</w:t>
      </w:r>
      <w:proofErr w:type="gramStart"/>
      <w:r w:rsidRPr="00A24928">
        <w:rPr>
          <w:rFonts w:ascii="Times New Roman" w:hAnsi="Times New Roman" w:cs="Times New Roman"/>
          <w:sz w:val="24"/>
          <w:szCs w:val="24"/>
        </w:rPr>
        <w:t>Mayo</w:t>
      </w:r>
      <w:proofErr w:type="gramEnd"/>
      <w:r w:rsidRPr="00A24928">
        <w:rPr>
          <w:rFonts w:ascii="Times New Roman" w:hAnsi="Times New Roman" w:cs="Times New Roman"/>
          <w:sz w:val="24"/>
          <w:szCs w:val="24"/>
        </w:rPr>
        <w:t xml:space="preserve"> 2014). Cambio. La 6ta C del crédito. Ciclo de riesgo, México, 4, 22-25.</w:t>
      </w:r>
    </w:p>
    <w:sectPr w:rsidR="00AE5F15" w:rsidRPr="00AE5F15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956" w:rsidRDefault="00C43956">
      <w:r>
        <w:separator/>
      </w:r>
    </w:p>
  </w:endnote>
  <w:endnote w:type="continuationSeparator" w:id="0">
    <w:p w:rsidR="00C43956" w:rsidRDefault="00C4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956" w:rsidRDefault="00C43956">
      <w:r>
        <w:separator/>
      </w:r>
    </w:p>
  </w:footnote>
  <w:footnote w:type="continuationSeparator" w:id="0">
    <w:p w:rsidR="00C43956" w:rsidRDefault="00C4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0094458"/>
      <w:docPartObj>
        <w:docPartGallery w:val="Page Numbers (Top of Page)"/>
        <w:docPartUnique/>
      </w:docPartObj>
    </w:sdtPr>
    <w:sdtEndPr/>
    <w:sdtContent>
      <w:p w:rsidR="00AE5F15" w:rsidRDefault="00AE5F1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5213A" w:rsidRDefault="00A521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E291E"/>
    <w:multiLevelType w:val="hybridMultilevel"/>
    <w:tmpl w:val="2A707D52"/>
    <w:numStyleLink w:val="Vieta"/>
  </w:abstractNum>
  <w:abstractNum w:abstractNumId="1" w15:restartNumberingAfterBreak="0">
    <w:nsid w:val="494B01A2"/>
    <w:multiLevelType w:val="hybridMultilevel"/>
    <w:tmpl w:val="DA90519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B4F7C"/>
    <w:multiLevelType w:val="hybridMultilevel"/>
    <w:tmpl w:val="2A707D52"/>
    <w:styleLink w:val="Vieta"/>
    <w:lvl w:ilvl="0" w:tplc="0FA6CAE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6F8C7E6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B90B206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AEAE23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2767B5C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1E799A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0CA0FC6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0CA16E2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106F99A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13A"/>
    <w:rsid w:val="00163613"/>
    <w:rsid w:val="001A1FB5"/>
    <w:rsid w:val="00451109"/>
    <w:rsid w:val="00633004"/>
    <w:rsid w:val="00A24928"/>
    <w:rsid w:val="00A5213A"/>
    <w:rsid w:val="00AE5F15"/>
    <w:rsid w:val="00C43956"/>
    <w:rsid w:val="00F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676D"/>
  <w15:docId w15:val="{5CE9DBA9-A1FA-4307-81FC-605C5CEC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numbering" w:customStyle="1" w:styleId="Vieta">
    <w:name w:val="Viñet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AE5F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F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E5F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F15"/>
    <w:rPr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ellsfargo.com/es/financial-education/credit-management/five-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1282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Angel</cp:lastModifiedBy>
  <cp:revision>4</cp:revision>
  <dcterms:created xsi:type="dcterms:W3CDTF">2018-10-11T03:18:00Z</dcterms:created>
  <dcterms:modified xsi:type="dcterms:W3CDTF">2018-10-11T03:23:00Z</dcterms:modified>
</cp:coreProperties>
</file>