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AE2B" w14:textId="77777777" w:rsidR="007951CA" w:rsidRPr="00EB061A" w:rsidRDefault="00000000">
      <w:pPr>
        <w:pStyle w:val="Ttulo1"/>
        <w:rPr>
          <w:lang w:val="es-ES"/>
        </w:rPr>
      </w:pPr>
      <w:bookmarkStart w:id="0" w:name="X1241c7d0ce8b443ec3ade330b6d034a4a20b7c7"/>
      <w:r w:rsidRPr="00EB061A">
        <w:rPr>
          <w:lang w:val="es-ES"/>
        </w:rPr>
        <w:t>Protocolo del buzón virtual ciudadano de preocupaciones y propuestas</w:t>
      </w:r>
    </w:p>
    <w:p w14:paraId="6F0F6788" w14:textId="77777777" w:rsidR="007951CA" w:rsidRPr="00EB061A" w:rsidRDefault="00000000">
      <w:pPr>
        <w:pStyle w:val="Ttulo2"/>
        <w:rPr>
          <w:lang w:val="es-ES"/>
        </w:rPr>
      </w:pPr>
      <w:bookmarkStart w:id="1" w:name="X9cf4733a46f0b841626482852e4c9cc29372401"/>
      <w:r w:rsidRPr="00EB061A">
        <w:rPr>
          <w:lang w:val="es-ES"/>
        </w:rPr>
        <w:t>1. Finalidad y límites</w:t>
      </w:r>
    </w:p>
    <w:p w14:paraId="3D03CA49" w14:textId="1905A841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 xml:space="preserve">El buzón virtual ciudadano recopila </w:t>
      </w:r>
      <w:r w:rsidRPr="00EB061A">
        <w:rPr>
          <w:b/>
          <w:bCs/>
          <w:lang w:val="es-ES"/>
        </w:rPr>
        <w:t>preocupaciones, incidencias no urgentes y propuestas de mejora</w:t>
      </w:r>
      <w:r w:rsidRPr="00EB061A">
        <w:rPr>
          <w:lang w:val="es-ES"/>
        </w:rPr>
        <w:t xml:space="preserve"> vinculadas con la gestión pública en Ceuta</w:t>
      </w:r>
      <w:r w:rsidR="00EB061A" w:rsidRPr="00EB061A">
        <w:rPr>
          <w:lang w:val="es-ES"/>
        </w:rPr>
        <w:t xml:space="preserve"> durante la situación de emergencia que vive actualmente la ciudad</w:t>
      </w:r>
      <w:r w:rsidRPr="00EB061A">
        <w:rPr>
          <w:lang w:val="es-ES"/>
        </w:rPr>
        <w:t>. Su finalidad es identificar patrones, asignar cada comunicación al organismo que previsiblemente puede actuar y ofrecer una respuesta agregada y verificable. No es un registro de quejas formales, un canal de emergencias, una vía de denuncia ni un procedimiento para solicitar prestaciones individualizadas.</w:t>
      </w:r>
    </w:p>
    <w:p w14:paraId="5574325A" w14:textId="0AFA2322" w:rsidR="007951CA" w:rsidRPr="00EB061A" w:rsidRDefault="00000000">
      <w:pPr>
        <w:pStyle w:val="Textoindependiente"/>
        <w:rPr>
          <w:lang w:val="es-ES"/>
        </w:rPr>
      </w:pPr>
      <w:r w:rsidRPr="00EB061A">
        <w:rPr>
          <w:lang w:val="es-ES"/>
        </w:rPr>
        <w:t xml:space="preserve">Este diseño debe comunicar desde la pantalla inicial tres límites: (1) una sugerencia no equivale a una reclamación administrativa; (2) el envío no inicia un expediente ni garantiza que la medida se adopte; y (3) una urgencia debe dirigirse al servicio competente. Establecer expectativas claras es especialmente importante porque los mecanismos de </w:t>
      </w:r>
      <w:r w:rsidR="00EB061A" w:rsidRPr="00EB061A">
        <w:rPr>
          <w:lang w:val="es-ES"/>
        </w:rPr>
        <w:t>comunicación organizacional</w:t>
      </w:r>
      <w:r w:rsidRPr="00EB061A">
        <w:rPr>
          <w:lang w:val="es-ES"/>
        </w:rPr>
        <w:t xml:space="preserve"> solo funcionan si existe una respuesta comprensible y visible; las revisiones señalan que jerarquías, cultura y seguridad psicológica condicionan de manera decisiva la efectividad de estos canales.</w:t>
      </w:r>
    </w:p>
    <w:p w14:paraId="65BC8CBF" w14:textId="77777777" w:rsidR="007951CA" w:rsidRPr="00EB061A" w:rsidRDefault="00000000">
      <w:pPr>
        <w:pStyle w:val="Ttulo2"/>
        <w:rPr>
          <w:lang w:val="es-ES"/>
        </w:rPr>
      </w:pPr>
      <w:bookmarkStart w:id="2" w:name="X93df5727fba78f4576a9ed88c228c4337b7a227"/>
      <w:bookmarkEnd w:id="1"/>
      <w:r w:rsidRPr="00EB061A">
        <w:rPr>
          <w:lang w:val="es-ES"/>
        </w:rPr>
        <w:t>2. Categorías y organismo de acción propuesto</w:t>
      </w:r>
    </w:p>
    <w:p w14:paraId="0D70645D" w14:textId="4FE13E40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 xml:space="preserve">La asignación del formulario será una </w:t>
      </w:r>
      <w:r w:rsidRPr="00EB061A">
        <w:rPr>
          <w:b/>
          <w:bCs/>
          <w:lang w:val="es-ES"/>
        </w:rPr>
        <w:t>propuesta de organismo competente</w:t>
      </w:r>
      <w:r w:rsidRPr="00EB061A">
        <w:rPr>
          <w:lang w:val="es-ES"/>
        </w:rPr>
        <w:t>, no una resolución jurídica de competencia. La unidad gestora deberá poder reasignar una comunicación y registrar el motivo. La estructura organizativa y el Estatuto de Autonomía de Ceuta respaldan que la Ciudad ejerza competencias, entre otras materias, de urbanismo, transportes, desarrollo económico, asistencia social, sanidad e higiene, policía local y gestión ambiental; las unidades concretas pueden cambiar por resolución organizativa.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2410"/>
        <w:gridCol w:w="2571"/>
        <w:gridCol w:w="2264"/>
      </w:tblGrid>
      <w:tr w:rsidR="007951CA" w:rsidRPr="00EB061A" w14:paraId="150E3EE1" w14:textId="77777777" w:rsidTr="00EB0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</w:tcPr>
          <w:p w14:paraId="2BC7099F" w14:textId="3497D790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Categoría principal</w:t>
            </w:r>
          </w:p>
        </w:tc>
        <w:tc>
          <w:tcPr>
            <w:tcW w:w="2410" w:type="dxa"/>
          </w:tcPr>
          <w:p w14:paraId="0DC8D755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Subcategorías mínimas del formulario</w:t>
            </w:r>
          </w:p>
        </w:tc>
        <w:tc>
          <w:tcPr>
            <w:tcW w:w="2571" w:type="dxa"/>
          </w:tcPr>
          <w:p w14:paraId="6CF97EB0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Organismo de acción propuesto</w:t>
            </w:r>
          </w:p>
        </w:tc>
        <w:tc>
          <w:tcPr>
            <w:tcW w:w="2264" w:type="dxa"/>
          </w:tcPr>
          <w:p w14:paraId="3A7E2996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Organismo alternativo / derivación</w:t>
            </w:r>
          </w:p>
        </w:tc>
      </w:tr>
      <w:tr w:rsidR="007951CA" w:rsidRPr="00EB061A" w14:paraId="47F6CBC6" w14:textId="77777777" w:rsidTr="00EB061A">
        <w:tc>
          <w:tcPr>
            <w:tcW w:w="1809" w:type="dxa"/>
          </w:tcPr>
          <w:p w14:paraId="5E8EF9FB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Urbanismo</w:t>
            </w:r>
          </w:p>
        </w:tc>
        <w:tc>
          <w:tcPr>
            <w:tcW w:w="2410" w:type="dxa"/>
          </w:tcPr>
          <w:p w14:paraId="2E18ED86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Planeamiento, licencias, vivienda, obras, accesibilidad urbana, patrimonio</w:t>
            </w:r>
          </w:p>
        </w:tc>
        <w:tc>
          <w:tcPr>
            <w:tcW w:w="2571" w:type="dxa"/>
          </w:tcPr>
          <w:p w14:paraId="0D5CF145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Ciudad Autónoma de Ceuta: Consejería/Dirección General de Urbanismo y Patrimonio</w:t>
            </w:r>
          </w:p>
        </w:tc>
        <w:tc>
          <w:tcPr>
            <w:tcW w:w="2264" w:type="dxa"/>
          </w:tcPr>
          <w:p w14:paraId="41A09166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Medio Ambiente, Servicios Urbanos y Vivienda; Administración General del Estado si se trata de obra o dominio estatal.</w:t>
            </w:r>
          </w:p>
        </w:tc>
      </w:tr>
      <w:tr w:rsidR="007951CA" w:rsidRPr="00EB061A" w14:paraId="2237181A" w14:textId="77777777" w:rsidTr="00EB061A">
        <w:tc>
          <w:tcPr>
            <w:tcW w:w="1809" w:type="dxa"/>
          </w:tcPr>
          <w:p w14:paraId="61F43CF9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lastRenderedPageBreak/>
              <w:t>Movilidad</w:t>
            </w:r>
          </w:p>
        </w:tc>
        <w:tc>
          <w:tcPr>
            <w:tcW w:w="2410" w:type="dxa"/>
          </w:tcPr>
          <w:p w14:paraId="71D418A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Transporte público, tráfico, aparcamiento, itinerarios peatonales, accesibilidad, carga y descarga</w:t>
            </w:r>
          </w:p>
        </w:tc>
        <w:tc>
          <w:tcPr>
            <w:tcW w:w="2571" w:type="dxa"/>
          </w:tcPr>
          <w:p w14:paraId="70C3F7EB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Ciudad Autónoma de Ceuta: Dirección General de Transporte y Movilidad Urbana</w:t>
            </w:r>
          </w:p>
        </w:tc>
        <w:tc>
          <w:tcPr>
            <w:tcW w:w="2264" w:type="dxa"/>
          </w:tcPr>
          <w:p w14:paraId="290AE670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Policía Local o Delegación del Gobierno cuando el asunto corresponda a seguridad vial, tráfico o competencia estatal.</w:t>
            </w:r>
          </w:p>
        </w:tc>
      </w:tr>
      <w:tr w:rsidR="007951CA" w:rsidRPr="00EB061A" w14:paraId="229FD27D" w14:textId="77777777" w:rsidTr="00EB061A">
        <w:tc>
          <w:tcPr>
            <w:tcW w:w="1809" w:type="dxa"/>
          </w:tcPr>
          <w:p w14:paraId="36A466E0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Educación no universitaria</w:t>
            </w:r>
          </w:p>
        </w:tc>
        <w:tc>
          <w:tcPr>
            <w:tcW w:w="2410" w:type="dxa"/>
          </w:tcPr>
          <w:p w14:paraId="5C0B7983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Centros, escolarización, profesorado, currículo, formación profesional, convivencia escolar</w:t>
            </w:r>
          </w:p>
        </w:tc>
        <w:tc>
          <w:tcPr>
            <w:tcW w:w="2571" w:type="dxa"/>
          </w:tcPr>
          <w:p w14:paraId="3F418423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Dirección Provincial de Educación del Ministerio de Educación, Formación Profesional y Deportes</w:t>
            </w:r>
          </w:p>
        </w:tc>
        <w:tc>
          <w:tcPr>
            <w:tcW w:w="2264" w:type="dxa"/>
          </w:tcPr>
          <w:p w14:paraId="4F76FB9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Ciudad Autónoma: Dirección General de Educación para asuntos de su ámbito; dirección del centro solo para cuestiones internas no urgentes.</w:t>
            </w:r>
          </w:p>
        </w:tc>
      </w:tr>
      <w:tr w:rsidR="007951CA" w:rsidRPr="00EB061A" w14:paraId="2E1DDF14" w14:textId="77777777" w:rsidTr="00EB061A">
        <w:tc>
          <w:tcPr>
            <w:tcW w:w="1809" w:type="dxa"/>
          </w:tcPr>
          <w:p w14:paraId="685AC313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Universidad</w:t>
            </w:r>
          </w:p>
        </w:tc>
        <w:tc>
          <w:tcPr>
            <w:tcW w:w="2410" w:type="dxa"/>
          </w:tcPr>
          <w:p w14:paraId="7CFA9C8C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Docencia, investigación, becas, instalaciones, vida universitaria</w:t>
            </w:r>
          </w:p>
        </w:tc>
        <w:tc>
          <w:tcPr>
            <w:tcW w:w="2571" w:type="dxa"/>
          </w:tcPr>
          <w:p w14:paraId="35548F3C" w14:textId="1EEE58D4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Universidad titular competente</w:t>
            </w:r>
          </w:p>
        </w:tc>
        <w:tc>
          <w:tcPr>
            <w:tcW w:w="2264" w:type="dxa"/>
          </w:tcPr>
          <w:p w14:paraId="0807CBB0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Ministerio competente en universidades o Ciudad Autónoma cuando la propuesta requiera colaboración institucional o financiación propia.</w:t>
            </w:r>
          </w:p>
        </w:tc>
      </w:tr>
      <w:tr w:rsidR="007951CA" w:rsidRPr="00EB061A" w14:paraId="2F0EA433" w14:textId="77777777" w:rsidTr="00EB061A">
        <w:tc>
          <w:tcPr>
            <w:tcW w:w="1809" w:type="dxa"/>
          </w:tcPr>
          <w:p w14:paraId="4B03C853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Economía</w:t>
            </w:r>
          </w:p>
        </w:tc>
        <w:tc>
          <w:tcPr>
            <w:tcW w:w="2410" w:type="dxa"/>
          </w:tcPr>
          <w:p w14:paraId="6B28EB9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Empleo, comercio, emprendimiento, turismo, ayudas, transformación económica</w:t>
            </w:r>
          </w:p>
        </w:tc>
        <w:tc>
          <w:tcPr>
            <w:tcW w:w="2571" w:type="dxa"/>
          </w:tcPr>
          <w:p w14:paraId="1BE419F1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Ciudad Autónoma de Ceuta: Consejería/Dirección General de Comercio, Turismo y Empleo o de Hacienda y Transición Económica, según materia</w:t>
            </w:r>
          </w:p>
        </w:tc>
        <w:tc>
          <w:tcPr>
            <w:tcW w:w="2264" w:type="dxa"/>
          </w:tcPr>
          <w:p w14:paraId="18C3EAAD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Administración General del Estado si afecta a competencia, programa o prestación estatal.</w:t>
            </w:r>
          </w:p>
        </w:tc>
      </w:tr>
      <w:tr w:rsidR="007951CA" w:rsidRPr="00EB061A" w14:paraId="2683B882" w14:textId="77777777" w:rsidTr="00EB061A">
        <w:tc>
          <w:tcPr>
            <w:tcW w:w="1809" w:type="dxa"/>
          </w:tcPr>
          <w:p w14:paraId="5FBDF897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lastRenderedPageBreak/>
              <w:t>Sanidad</w:t>
            </w:r>
          </w:p>
        </w:tc>
        <w:tc>
          <w:tcPr>
            <w:tcW w:w="2410" w:type="dxa"/>
          </w:tcPr>
          <w:p w14:paraId="15F69E50" w14:textId="341B8C05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Salud pública, atención sanitaria, accesibilidad sanitaria, prevención</w:t>
            </w:r>
            <w:r w:rsidR="00C17D79">
              <w:rPr>
                <w:lang w:val="es-ES"/>
              </w:rPr>
              <w:t xml:space="preserve"> sanitaria</w:t>
            </w:r>
          </w:p>
        </w:tc>
        <w:tc>
          <w:tcPr>
            <w:tcW w:w="2571" w:type="dxa"/>
          </w:tcPr>
          <w:p w14:paraId="3124144B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Dirección Territorial de INGESA para asistencia sanitaria y prestaciones</w:t>
            </w:r>
          </w:p>
        </w:tc>
        <w:tc>
          <w:tcPr>
            <w:tcW w:w="2264" w:type="dxa"/>
          </w:tcPr>
          <w:p w14:paraId="502B41A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Ciudad Autónoma: Dirección General de Sanidad para actuaciones de su ámbito; emergencias, por el canal específico.</w:t>
            </w:r>
          </w:p>
        </w:tc>
      </w:tr>
      <w:tr w:rsidR="007951CA" w:rsidRPr="00EB061A" w14:paraId="1804700A" w14:textId="77777777" w:rsidTr="00EB061A">
        <w:tc>
          <w:tcPr>
            <w:tcW w:w="1809" w:type="dxa"/>
          </w:tcPr>
          <w:p w14:paraId="264A1637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Seguridad</w:t>
            </w:r>
          </w:p>
        </w:tc>
        <w:tc>
          <w:tcPr>
            <w:tcW w:w="2410" w:type="dxa"/>
          </w:tcPr>
          <w:p w14:paraId="0342FE4C" w14:textId="392BDC28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Seguridad ciudadana, seguridad de instalaciones, policía local, prevención</w:t>
            </w:r>
            <w:r w:rsidR="00C17D79">
              <w:rPr>
                <w:lang w:val="es-ES"/>
              </w:rPr>
              <w:t xml:space="preserve"> seguridad</w:t>
            </w:r>
          </w:p>
        </w:tc>
        <w:tc>
          <w:tcPr>
            <w:tcW w:w="2571" w:type="dxa"/>
          </w:tcPr>
          <w:p w14:paraId="3C225392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Ciudad Autónoma: área de Gobernación/Policía Local para asuntos municipales</w:t>
            </w:r>
          </w:p>
        </w:tc>
        <w:tc>
          <w:tcPr>
            <w:tcW w:w="2264" w:type="dxa"/>
          </w:tcPr>
          <w:p w14:paraId="0BECD718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Delegación del Gobierno y Fuerzas y Cuerpos de Seguridad del Estado para materias estatales; emergencias, canal específico.</w:t>
            </w:r>
          </w:p>
        </w:tc>
      </w:tr>
      <w:tr w:rsidR="007951CA" w:rsidRPr="00EB061A" w14:paraId="789D7724" w14:textId="77777777" w:rsidTr="00EB061A">
        <w:tc>
          <w:tcPr>
            <w:tcW w:w="1809" w:type="dxa"/>
          </w:tcPr>
          <w:p w14:paraId="7D4AEB92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Servicios Sociales</w:t>
            </w:r>
          </w:p>
        </w:tc>
        <w:tc>
          <w:tcPr>
            <w:tcW w:w="2410" w:type="dxa"/>
          </w:tcPr>
          <w:p w14:paraId="3E3C4C3B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Atención social, dependencia, inclusión, vulnerabilidad, igualdad, apoyo comunitario</w:t>
            </w:r>
          </w:p>
        </w:tc>
        <w:tc>
          <w:tcPr>
            <w:tcW w:w="2571" w:type="dxa"/>
          </w:tcPr>
          <w:p w14:paraId="2A454794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Ciudad Autónoma de Ceuta: Dirección General de Servicios Sociales</w:t>
            </w:r>
          </w:p>
        </w:tc>
        <w:tc>
          <w:tcPr>
            <w:tcW w:w="2264" w:type="dxa"/>
          </w:tcPr>
          <w:p w14:paraId="3ED7D1EE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Dirección General de Igualdad y Lucha contra la Violencia de Género cuando corresponda; servicio estatal competente si la prestación lo exige.</w:t>
            </w:r>
          </w:p>
        </w:tc>
      </w:tr>
      <w:tr w:rsidR="007951CA" w:rsidRPr="00EB061A" w14:paraId="44D0C7FE" w14:textId="77777777" w:rsidTr="00EB061A">
        <w:tc>
          <w:tcPr>
            <w:tcW w:w="1809" w:type="dxa"/>
          </w:tcPr>
          <w:p w14:paraId="4BF09E8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Medioambiente</w:t>
            </w:r>
          </w:p>
        </w:tc>
        <w:tc>
          <w:tcPr>
            <w:tcW w:w="2410" w:type="dxa"/>
          </w:tcPr>
          <w:p w14:paraId="68FF9ECD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Residuos, limpieza, ruido, zonas verdes, contaminación, sostenibilidad</w:t>
            </w:r>
          </w:p>
        </w:tc>
        <w:tc>
          <w:tcPr>
            <w:tcW w:w="2571" w:type="dxa"/>
          </w:tcPr>
          <w:p w14:paraId="317C09EC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Ciudad Autónoma de Ceuta: Dirección General de Medio Ambiente</w:t>
            </w:r>
          </w:p>
        </w:tc>
        <w:tc>
          <w:tcPr>
            <w:tcW w:w="2264" w:type="dxa"/>
          </w:tcPr>
          <w:p w14:paraId="7E956857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Servicios Urbanos, autoridad portuaria u organismo estatal competente según el foco de la incidencia.</w:t>
            </w:r>
          </w:p>
        </w:tc>
      </w:tr>
    </w:tbl>
    <w:p w14:paraId="189534D1" w14:textId="54588DA0" w:rsidR="007951CA" w:rsidRPr="00EB061A" w:rsidRDefault="00EB061A">
      <w:pPr>
        <w:pStyle w:val="Textoindependiente"/>
        <w:rPr>
          <w:lang w:val="es-ES"/>
        </w:rPr>
      </w:pPr>
      <w:r>
        <w:rPr>
          <w:lang w:val="es-ES"/>
        </w:rPr>
        <w:t>En todo caso, l</w:t>
      </w:r>
      <w:r w:rsidRPr="00EB061A">
        <w:rPr>
          <w:lang w:val="es-ES"/>
        </w:rPr>
        <w:t xml:space="preserve">a matriz no debe usarse para rechazar comunicaciones: cuando haya duda, la unidad gestora marcará </w:t>
      </w:r>
      <w:r w:rsidRPr="00EB061A">
        <w:rPr>
          <w:b/>
          <w:bCs/>
          <w:lang w:val="es-ES"/>
        </w:rPr>
        <w:t>“competencia por confirmar”</w:t>
      </w:r>
      <w:r w:rsidRPr="00EB061A">
        <w:rPr>
          <w:lang w:val="es-ES"/>
        </w:rPr>
        <w:t xml:space="preserve"> y solicitará aclaración o la remitirá al punto institucional adecuado.</w:t>
      </w:r>
    </w:p>
    <w:p w14:paraId="2F17EBBA" w14:textId="77777777" w:rsidR="007951CA" w:rsidRPr="00EB061A" w:rsidRDefault="00000000">
      <w:pPr>
        <w:pStyle w:val="Ttulo2"/>
        <w:rPr>
          <w:lang w:val="es-ES"/>
        </w:rPr>
      </w:pPr>
      <w:bookmarkStart w:id="3" w:name="X8b3f475ef4a5e6515ec50d7d979656bd5467cd9"/>
      <w:bookmarkEnd w:id="2"/>
      <w:r w:rsidRPr="00EB061A">
        <w:rPr>
          <w:lang w:val="es-ES"/>
        </w:rPr>
        <w:t>3. Formulario: datos mínimos y diseño</w:t>
      </w:r>
    </w:p>
    <w:p w14:paraId="43BB0215" w14:textId="35B6AF60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 xml:space="preserve">El formulario no pedirá DNI, dirección postal, correo electrónico, teléfono, nombre, fecha de nacimiento ni adjuntos por defecto. El envío será anónimo. Solo se habilitará un contacto </w:t>
      </w:r>
      <w:r w:rsidRPr="00EB061A">
        <w:rPr>
          <w:b/>
          <w:bCs/>
          <w:lang w:val="es-ES"/>
        </w:rPr>
        <w:t>opcional y separado</w:t>
      </w:r>
      <w:r w:rsidRPr="00EB061A">
        <w:rPr>
          <w:lang w:val="es-ES"/>
        </w:rPr>
        <w:t xml:space="preserve"> si la persona quiere recibir respuesta individual; no se trasladará al organismo propuesto hasta que sea imprescindible para esa respuesta y conforme al diseño validado de protección de datos.</w:t>
      </w:r>
    </w:p>
    <w:p w14:paraId="784BAC5A" w14:textId="77777777" w:rsidR="007951CA" w:rsidRPr="00EB061A" w:rsidRDefault="00000000">
      <w:pPr>
        <w:pStyle w:val="Textoindependiente"/>
        <w:rPr>
          <w:lang w:val="es-ES"/>
        </w:rPr>
      </w:pPr>
      <w:r w:rsidRPr="00EB061A">
        <w:rPr>
          <w:lang w:val="es-ES"/>
        </w:rPr>
        <w:lastRenderedPageBreak/>
        <w:t>Campos del formulario:</w:t>
      </w:r>
    </w:p>
    <w:p w14:paraId="0A1FF8E7" w14:textId="77777777" w:rsidR="007951CA" w:rsidRPr="00EB061A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EB061A">
        <w:rPr>
          <w:lang w:val="es-ES"/>
        </w:rPr>
        <w:t>Categoría principal y subcategoría.</w:t>
      </w:r>
    </w:p>
    <w:p w14:paraId="079C614E" w14:textId="77777777" w:rsidR="007951CA" w:rsidRPr="00EB061A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EB061A">
        <w:rPr>
          <w:lang w:val="es-ES"/>
        </w:rPr>
        <w:t>Zona aproximada o barrio, con opción “no deseo indicarlo”; no pedir dirección exacta salvo que el canal competente lo requiera y la persona lo consienta.</w:t>
      </w:r>
    </w:p>
    <w:p w14:paraId="154DA755" w14:textId="77777777" w:rsidR="007951CA" w:rsidRPr="00EB061A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EB061A">
        <w:rPr>
          <w:lang w:val="es-ES"/>
        </w:rPr>
        <w:t>Descripción breve: “¿Qué problema observa o qué propuesta plantea?” (máximo recomendado: 1.000 caracteres).</w:t>
      </w:r>
    </w:p>
    <w:p w14:paraId="5F1931FB" w14:textId="77777777" w:rsidR="007951CA" w:rsidRPr="00EB061A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EB061A">
        <w:rPr>
          <w:lang w:val="es-ES"/>
        </w:rPr>
        <w:t>Resultado esperado o propuesta de mejora (opcional).</w:t>
      </w:r>
    </w:p>
    <w:p w14:paraId="50B3214D" w14:textId="77777777" w:rsidR="007951CA" w:rsidRPr="00EB061A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EB061A">
        <w:rPr>
          <w:lang w:val="es-ES"/>
        </w:rPr>
        <w:t>Aceptación de la información de privacidad y de los límites del buzón.</w:t>
      </w:r>
    </w:p>
    <w:p w14:paraId="0311799E" w14:textId="17EFD953" w:rsidR="007951CA" w:rsidRPr="00EB061A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EB061A">
        <w:rPr>
          <w:lang w:val="es-ES"/>
        </w:rPr>
        <w:t>Canal de contacto opcional, en campo separado.</w:t>
      </w:r>
    </w:p>
    <w:p w14:paraId="5073526D" w14:textId="74DCEFD1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 xml:space="preserve">La eliminación automática de nombres, DNI o correos del texto libre </w:t>
      </w:r>
      <w:r w:rsidRPr="00EB061A">
        <w:rPr>
          <w:b/>
          <w:bCs/>
          <w:lang w:val="es-ES"/>
        </w:rPr>
        <w:t>no basta para afirmar que un archivo esté anonimizado</w:t>
      </w:r>
      <w:r w:rsidRPr="00EB061A">
        <w:rPr>
          <w:lang w:val="es-ES"/>
        </w:rPr>
        <w:t xml:space="preserve">. La AEPD diferencia anonimización de seudonimización: los datos </w:t>
      </w:r>
      <w:proofErr w:type="spellStart"/>
      <w:r w:rsidRPr="00EB061A">
        <w:rPr>
          <w:lang w:val="es-ES"/>
        </w:rPr>
        <w:t>seudonimizados</w:t>
      </w:r>
      <w:proofErr w:type="spellEnd"/>
      <w:r w:rsidRPr="00EB061A">
        <w:rPr>
          <w:lang w:val="es-ES"/>
        </w:rPr>
        <w:t xml:space="preserve"> siguen sujetos al RGPD y la anonimización requiere que no exista una probabilidad razonable de </w:t>
      </w:r>
      <w:proofErr w:type="spellStart"/>
      <w:r w:rsidRPr="00EB061A">
        <w:rPr>
          <w:lang w:val="es-ES"/>
        </w:rPr>
        <w:t>reidentificar</w:t>
      </w:r>
      <w:proofErr w:type="spellEnd"/>
      <w:r w:rsidRPr="00EB061A">
        <w:rPr>
          <w:lang w:val="es-ES"/>
        </w:rPr>
        <w:t xml:space="preserve"> a la persona, incluso combinando la información con otros datos. Un lugar, fecha, hecho poco frecuente o relato detallado también puede identificar indirectamente. Por tanto, el sistema debe prevenir la recogida innecesaria, aplicar detección automática y revisión humana antes de distribuir los resultados, y evaluar de forma periódica el riesgo de </w:t>
      </w:r>
      <w:proofErr w:type="spellStart"/>
      <w:r w:rsidRPr="00EB061A">
        <w:rPr>
          <w:lang w:val="es-ES"/>
        </w:rPr>
        <w:t>reidentificación</w:t>
      </w:r>
      <w:proofErr w:type="spellEnd"/>
      <w:r w:rsidRPr="00EB061A">
        <w:rPr>
          <w:lang w:val="es-ES"/>
        </w:rPr>
        <w:t>.</w:t>
      </w:r>
    </w:p>
    <w:p w14:paraId="732E09FF" w14:textId="77777777" w:rsidR="007951CA" w:rsidRPr="00EB061A" w:rsidRDefault="00000000">
      <w:pPr>
        <w:pStyle w:val="Ttulo2"/>
        <w:rPr>
          <w:lang w:val="es-ES"/>
        </w:rPr>
      </w:pPr>
      <w:bookmarkStart w:id="4" w:name="X0af55f4925e4ff714e83b15cb7b137ef25d4eea"/>
      <w:bookmarkEnd w:id="3"/>
      <w:r w:rsidRPr="00EB061A">
        <w:rPr>
          <w:lang w:val="es-ES"/>
        </w:rPr>
        <w:t>4. Flujo de datos y clasificación</w:t>
      </w:r>
    </w:p>
    <w:p w14:paraId="484269C8" w14:textId="77777777" w:rsidR="007951CA" w:rsidRPr="00EB061A" w:rsidRDefault="00000000">
      <w:pPr>
        <w:pStyle w:val="Ttulo3"/>
        <w:rPr>
          <w:lang w:val="es-ES"/>
        </w:rPr>
      </w:pPr>
      <w:bookmarkStart w:id="5" w:name="X3430472a56623ab3b68dcfabe289286f8ebe48a"/>
      <w:r w:rsidRPr="00EB061A">
        <w:rPr>
          <w:lang w:val="es-ES"/>
        </w:rPr>
        <w:t>4.1. Conjunto de datos separado</w:t>
      </w:r>
    </w:p>
    <w:p w14:paraId="36E0F7F2" w14:textId="77777777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>Se crearán tres niveles, físicamente separados y con permisos distintos: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2977"/>
        <w:gridCol w:w="2004"/>
        <w:gridCol w:w="2264"/>
      </w:tblGrid>
      <w:tr w:rsidR="007951CA" w:rsidRPr="00EB061A" w14:paraId="796054E8" w14:textId="77777777" w:rsidTr="00EB0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</w:tcPr>
          <w:p w14:paraId="6F94D408" w14:textId="2A17477D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Nivel</w:t>
            </w:r>
          </w:p>
        </w:tc>
        <w:tc>
          <w:tcPr>
            <w:tcW w:w="2977" w:type="dxa"/>
          </w:tcPr>
          <w:p w14:paraId="3B971DE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Contenido</w:t>
            </w:r>
          </w:p>
        </w:tc>
        <w:tc>
          <w:tcPr>
            <w:tcW w:w="2004" w:type="dxa"/>
          </w:tcPr>
          <w:p w14:paraId="2F642A60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Acceso</w:t>
            </w:r>
          </w:p>
        </w:tc>
        <w:tc>
          <w:tcPr>
            <w:tcW w:w="2264" w:type="dxa"/>
          </w:tcPr>
          <w:p w14:paraId="30BA6278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Finalidad</w:t>
            </w:r>
          </w:p>
        </w:tc>
      </w:tr>
      <w:tr w:rsidR="007951CA" w:rsidRPr="00EB061A" w14:paraId="4AC887C7" w14:textId="77777777" w:rsidTr="00EB061A">
        <w:tc>
          <w:tcPr>
            <w:tcW w:w="1809" w:type="dxa"/>
          </w:tcPr>
          <w:p w14:paraId="7FA634C6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A. Entrada restringida</w:t>
            </w:r>
          </w:p>
        </w:tc>
        <w:tc>
          <w:tcPr>
            <w:tcW w:w="2977" w:type="dxa"/>
          </w:tcPr>
          <w:p w14:paraId="264390BC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Respuesta original del formulario y, si existe, contacto opcional</w:t>
            </w:r>
          </w:p>
        </w:tc>
        <w:tc>
          <w:tcPr>
            <w:tcW w:w="2004" w:type="dxa"/>
          </w:tcPr>
          <w:p w14:paraId="09143911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Equipo mínimo autorizado de la unidad gestora</w:t>
            </w:r>
          </w:p>
        </w:tc>
        <w:tc>
          <w:tcPr>
            <w:tcW w:w="2264" w:type="dxa"/>
          </w:tcPr>
          <w:p w14:paraId="67DE0090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Recepción, comprobación de urgencia y respuesta individual solicitada.</w:t>
            </w:r>
          </w:p>
        </w:tc>
      </w:tr>
      <w:tr w:rsidR="007951CA" w:rsidRPr="00EB061A" w14:paraId="47EDF51D" w14:textId="77777777" w:rsidTr="00EB061A">
        <w:tc>
          <w:tcPr>
            <w:tcW w:w="1809" w:type="dxa"/>
          </w:tcPr>
          <w:p w14:paraId="0A0DB39D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 xml:space="preserve">B. Registro de trabajo </w:t>
            </w:r>
            <w:proofErr w:type="spellStart"/>
            <w:r w:rsidRPr="00EB061A">
              <w:rPr>
                <w:lang w:val="es-ES"/>
              </w:rPr>
              <w:t>seudonimizado</w:t>
            </w:r>
            <w:proofErr w:type="spellEnd"/>
          </w:p>
        </w:tc>
        <w:tc>
          <w:tcPr>
            <w:tcW w:w="2977" w:type="dxa"/>
          </w:tcPr>
          <w:p w14:paraId="4AB04B1A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 xml:space="preserve">Identificador aleatorio; categoría; subcategoría; organismo propuesto; estado; fecha; versión </w:t>
            </w:r>
            <w:proofErr w:type="spellStart"/>
            <w:r w:rsidRPr="00EB061A">
              <w:rPr>
                <w:lang w:val="es-ES"/>
              </w:rPr>
              <w:t>desidentificada</w:t>
            </w:r>
            <w:proofErr w:type="spellEnd"/>
            <w:r w:rsidRPr="00EB061A">
              <w:rPr>
                <w:lang w:val="es-ES"/>
              </w:rPr>
              <w:t xml:space="preserve"> del texto; etiquetas de riesgo</w:t>
            </w:r>
          </w:p>
        </w:tc>
        <w:tc>
          <w:tcPr>
            <w:tcW w:w="2004" w:type="dxa"/>
          </w:tcPr>
          <w:p w14:paraId="683DFFB5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Equipo gestor y revisores autorizados</w:t>
            </w:r>
          </w:p>
        </w:tc>
        <w:tc>
          <w:tcPr>
            <w:tcW w:w="2264" w:type="dxa"/>
          </w:tcPr>
          <w:p w14:paraId="2D87A5BC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Clasificación, derivación y seguimiento operativo.</w:t>
            </w:r>
          </w:p>
        </w:tc>
      </w:tr>
      <w:tr w:rsidR="007951CA" w:rsidRPr="00EB061A" w14:paraId="702B45CD" w14:textId="77777777" w:rsidTr="00EB061A">
        <w:tc>
          <w:tcPr>
            <w:tcW w:w="1809" w:type="dxa"/>
          </w:tcPr>
          <w:p w14:paraId="0EE12EE2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C. Salida analítica agregada</w:t>
            </w:r>
          </w:p>
        </w:tc>
        <w:tc>
          <w:tcPr>
            <w:tcW w:w="2977" w:type="dxa"/>
          </w:tcPr>
          <w:p w14:paraId="6FD0434E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Recuentos, tendencias, categorías y textos resumidos/</w:t>
            </w:r>
            <w:proofErr w:type="spellStart"/>
            <w:r w:rsidRPr="00EB061A">
              <w:rPr>
                <w:lang w:val="es-ES"/>
              </w:rPr>
              <w:t>desidentificados</w:t>
            </w:r>
            <w:proofErr w:type="spellEnd"/>
            <w:r w:rsidRPr="00EB061A">
              <w:rPr>
                <w:lang w:val="es-ES"/>
              </w:rPr>
              <w:t xml:space="preserve"> con supresión de celdas pequeñas</w:t>
            </w:r>
          </w:p>
        </w:tc>
        <w:tc>
          <w:tcPr>
            <w:tcW w:w="2004" w:type="dxa"/>
          </w:tcPr>
          <w:p w14:paraId="23B2F1D0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Organismos receptores, órganos de seguimiento y publicación</w:t>
            </w:r>
          </w:p>
        </w:tc>
        <w:tc>
          <w:tcPr>
            <w:tcW w:w="2264" w:type="dxa"/>
          </w:tcPr>
          <w:p w14:paraId="22F37063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Toma de decisiones y transparencia.</w:t>
            </w:r>
          </w:p>
        </w:tc>
      </w:tr>
    </w:tbl>
    <w:p w14:paraId="4721C062" w14:textId="53430869" w:rsidR="007951CA" w:rsidRPr="00EB061A" w:rsidRDefault="00000000">
      <w:pPr>
        <w:pStyle w:val="Textoindependiente"/>
        <w:rPr>
          <w:lang w:val="es-ES"/>
        </w:rPr>
      </w:pPr>
      <w:r w:rsidRPr="00EB061A">
        <w:rPr>
          <w:lang w:val="es-ES"/>
        </w:rPr>
        <w:t xml:space="preserve">El script de Python </w:t>
      </w:r>
      <w:r w:rsidR="00EB061A">
        <w:rPr>
          <w:lang w:val="es-ES"/>
        </w:rPr>
        <w:t xml:space="preserve">utilizado para el análisis automático de la información </w:t>
      </w:r>
      <w:r w:rsidRPr="00EB061A">
        <w:rPr>
          <w:lang w:val="es-ES"/>
        </w:rPr>
        <w:t xml:space="preserve">deberá producir el nivel B y los archivos de salida C; no debe sobrescribir ni destruir automáticamente el </w:t>
      </w:r>
      <w:r w:rsidRPr="00EB061A">
        <w:rPr>
          <w:lang w:val="es-ES"/>
        </w:rPr>
        <w:lastRenderedPageBreak/>
        <w:t xml:space="preserve">nivel A hasta que finalice el periodo de conservación aprobado. El nivel B es </w:t>
      </w:r>
      <w:proofErr w:type="spellStart"/>
      <w:r w:rsidRPr="00EB061A">
        <w:rPr>
          <w:b/>
          <w:bCs/>
          <w:lang w:val="es-ES"/>
        </w:rPr>
        <w:t>seudonimizado</w:t>
      </w:r>
      <w:proofErr w:type="spellEnd"/>
      <w:r w:rsidRPr="00EB061A">
        <w:rPr>
          <w:lang w:val="es-ES"/>
        </w:rPr>
        <w:t xml:space="preserve">, no necesariamente anónimo, y por ello requiere controles de acceso, conservación y finalidad. La AEPD indica que la seudonimización genera información adicional separada y que tanto esta como el conjunto </w:t>
      </w:r>
      <w:proofErr w:type="spellStart"/>
      <w:r w:rsidRPr="00EB061A">
        <w:rPr>
          <w:lang w:val="es-ES"/>
        </w:rPr>
        <w:t>seudonimizado</w:t>
      </w:r>
      <w:proofErr w:type="spellEnd"/>
      <w:r w:rsidRPr="00EB061A">
        <w:rPr>
          <w:lang w:val="es-ES"/>
        </w:rPr>
        <w:t xml:space="preserve"> permanecen en el ámbito del RGPD.</w:t>
      </w:r>
    </w:p>
    <w:p w14:paraId="74DE53A1" w14:textId="77777777" w:rsidR="007951CA" w:rsidRPr="00EB061A" w:rsidRDefault="00000000">
      <w:pPr>
        <w:pStyle w:val="Ttulo3"/>
        <w:rPr>
          <w:lang w:val="es-ES"/>
        </w:rPr>
      </w:pPr>
      <w:bookmarkStart w:id="6" w:name="X973b5214d4a69886792e1bce07bd8c9c4cebbb6"/>
      <w:bookmarkEnd w:id="5"/>
      <w:r w:rsidRPr="00EB061A">
        <w:rPr>
          <w:lang w:val="es-ES"/>
        </w:rPr>
        <w:t>4.2. Pasos de procesamiento</w:t>
      </w:r>
    </w:p>
    <w:p w14:paraId="103B3423" w14:textId="77777777" w:rsidR="007951CA" w:rsidRPr="00EB061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EB061A">
        <w:rPr>
          <w:b/>
          <w:bCs/>
          <w:lang w:val="es-ES"/>
        </w:rPr>
        <w:t>Filtro de seguridad:</w:t>
      </w:r>
      <w:r w:rsidRPr="00EB061A">
        <w:rPr>
          <w:lang w:val="es-ES"/>
        </w:rPr>
        <w:t xml:space="preserve"> detectar términos que sugieran emergencia, violencia, riesgo vital, menores en riesgo o delito. Mostrar inmediatamente el canal alternativo; el equipo humano revisará la alerta con prioridad, sin sustituir los servicios de emergencia.</w:t>
      </w:r>
    </w:p>
    <w:p w14:paraId="4A4BE4BA" w14:textId="77777777" w:rsidR="007951CA" w:rsidRPr="00EB061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EB061A">
        <w:rPr>
          <w:b/>
          <w:bCs/>
          <w:lang w:val="es-ES"/>
        </w:rPr>
        <w:t>Validación y minimización:</w:t>
      </w:r>
      <w:r w:rsidRPr="00EB061A">
        <w:rPr>
          <w:lang w:val="es-ES"/>
        </w:rPr>
        <w:t xml:space="preserve"> descartar campos no permitidos, detectar patrones de correo, teléfono, DNI/NIE, dirección o nombre en el texto y reemplazarlos por “[dato personal eliminado]”.</w:t>
      </w:r>
    </w:p>
    <w:p w14:paraId="5C928E62" w14:textId="77777777" w:rsidR="007951CA" w:rsidRPr="00EB061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EB061A">
        <w:rPr>
          <w:b/>
          <w:bCs/>
          <w:lang w:val="es-ES"/>
        </w:rPr>
        <w:t>Revisión humana de privacidad:</w:t>
      </w:r>
      <w:r w:rsidRPr="00EB061A">
        <w:rPr>
          <w:lang w:val="es-ES"/>
        </w:rPr>
        <w:t xml:space="preserve"> una muestra de todos los registros detectados y una muestra aleatoria de los no detectados se revisarán antes de circular el texto. Si persiste la posibilidad de identificación indirecta, generalizar zona/fecha, resumir el relato o excluirlo de la salida C.</w:t>
      </w:r>
    </w:p>
    <w:p w14:paraId="7D6D2522" w14:textId="77777777" w:rsidR="007951CA" w:rsidRPr="00EB061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EB061A">
        <w:rPr>
          <w:b/>
          <w:bCs/>
          <w:lang w:val="es-ES"/>
        </w:rPr>
        <w:t>Clasificación doble:</w:t>
      </w:r>
      <w:r w:rsidRPr="00EB061A">
        <w:rPr>
          <w:lang w:val="es-ES"/>
        </w:rPr>
        <w:t xml:space="preserve"> el script propone categoría, subcategoría y organismo; una persona revisora confirma o corrige la clasificación. Las reglas automatizadas apoyan la consistencia, pero no toman la decisión final de competencia.</w:t>
      </w:r>
    </w:p>
    <w:p w14:paraId="5F3679E4" w14:textId="77777777" w:rsidR="007951CA" w:rsidRPr="00EB061A" w:rsidRDefault="00000000">
      <w:pPr>
        <w:pStyle w:val="Compact"/>
        <w:numPr>
          <w:ilvl w:val="0"/>
          <w:numId w:val="3"/>
        </w:numPr>
        <w:rPr>
          <w:lang w:val="es-ES"/>
        </w:rPr>
      </w:pPr>
      <w:proofErr w:type="spellStart"/>
      <w:r w:rsidRPr="00EB061A">
        <w:rPr>
          <w:b/>
          <w:bCs/>
          <w:lang w:val="es-ES"/>
        </w:rPr>
        <w:t>Deduplicación</w:t>
      </w:r>
      <w:proofErr w:type="spellEnd"/>
      <w:r w:rsidRPr="00EB061A">
        <w:rPr>
          <w:b/>
          <w:bCs/>
          <w:lang w:val="es-ES"/>
        </w:rPr>
        <w:t>:</w:t>
      </w:r>
      <w:r w:rsidRPr="00EB061A">
        <w:rPr>
          <w:lang w:val="es-ES"/>
        </w:rPr>
        <w:t xml:space="preserve"> identificar mensajes sustancialmente iguales o campañas coordinadas sin borrar su recuento. Conservar “número de envíos” y “número de temas únicos” como indicadores distintos.</w:t>
      </w:r>
    </w:p>
    <w:p w14:paraId="47EF1949" w14:textId="77777777" w:rsidR="007951CA" w:rsidRPr="00EB061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EB061A">
        <w:rPr>
          <w:b/>
          <w:bCs/>
          <w:lang w:val="es-ES"/>
        </w:rPr>
        <w:t>Derivación:</w:t>
      </w:r>
      <w:r w:rsidRPr="00EB061A">
        <w:rPr>
          <w:lang w:val="es-ES"/>
        </w:rPr>
        <w:t xml:space="preserve"> enviar al organismo propuesto solo la información necesaria del nivel B; si existe incertidumbre competencial, marcar “pendiente de asignación” y resolverla en la unidad gestora.</w:t>
      </w:r>
    </w:p>
    <w:p w14:paraId="3AA9F038" w14:textId="77777777" w:rsidR="007951CA" w:rsidRPr="00EB061A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EB061A">
        <w:rPr>
          <w:b/>
          <w:bCs/>
          <w:lang w:val="es-ES"/>
        </w:rPr>
        <w:t>Agregación y seguimiento:</w:t>
      </w:r>
      <w:r w:rsidRPr="00EB061A">
        <w:rPr>
          <w:lang w:val="es-ES"/>
        </w:rPr>
        <w:t xml:space="preserve"> el script crea un archivo por categoría y un cuadro maestro con estado, tendencia, organismo, acción y fecha de respuesta.</w:t>
      </w:r>
    </w:p>
    <w:p w14:paraId="247160FF" w14:textId="77777777" w:rsidR="007951CA" w:rsidRPr="00EB061A" w:rsidRDefault="00000000">
      <w:pPr>
        <w:pStyle w:val="Ttulo2"/>
        <w:rPr>
          <w:lang w:val="es-ES"/>
        </w:rPr>
      </w:pPr>
      <w:bookmarkStart w:id="7" w:name="X47b860218498fc1778e8d3b6a85771306b9406c"/>
      <w:bookmarkEnd w:id="4"/>
      <w:bookmarkEnd w:id="6"/>
      <w:r w:rsidRPr="00EB061A">
        <w:rPr>
          <w:lang w:val="es-ES"/>
        </w:rPr>
        <w:t>5. Reglas de clasificación y calidad</w:t>
      </w:r>
    </w:p>
    <w:p w14:paraId="2CA2E982" w14:textId="237566A1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 xml:space="preserve">Cada registro tendrá los siguientes campos obligatorios en el registro de trabajo: </w:t>
      </w:r>
      <w:proofErr w:type="spellStart"/>
      <w:r w:rsidRPr="00EB061A">
        <w:rPr>
          <w:rStyle w:val="VerbatimChar"/>
          <w:lang w:val="es-ES"/>
        </w:rPr>
        <w:t>id_aleatorio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fecha_recepcion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categoria_principal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subcategoria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organismo_propuesto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organismo_confirmado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nivel_urgencia</w:t>
      </w:r>
      <w:proofErr w:type="spellEnd"/>
      <w:r w:rsidRPr="00EB061A">
        <w:rPr>
          <w:lang w:val="es-ES"/>
        </w:rPr>
        <w:t xml:space="preserve">, </w:t>
      </w:r>
      <w:r w:rsidRPr="00EB061A">
        <w:rPr>
          <w:rStyle w:val="VerbatimChar"/>
          <w:lang w:val="es-ES"/>
        </w:rPr>
        <w:t>estado</w:t>
      </w:r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texto_desidentificado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posible_duplicado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requiere_revision_privacidad</w:t>
      </w:r>
      <w:proofErr w:type="spellEnd"/>
      <w:r w:rsidRPr="00EB061A">
        <w:rPr>
          <w:lang w:val="es-ES"/>
        </w:rPr>
        <w:t xml:space="preserve">, </w:t>
      </w:r>
      <w:proofErr w:type="spellStart"/>
      <w:r w:rsidRPr="00EB061A">
        <w:rPr>
          <w:rStyle w:val="VerbatimChar"/>
          <w:lang w:val="es-ES"/>
        </w:rPr>
        <w:t>accion_adoptada</w:t>
      </w:r>
      <w:proofErr w:type="spellEnd"/>
      <w:r w:rsidRPr="00EB061A">
        <w:rPr>
          <w:lang w:val="es-ES"/>
        </w:rPr>
        <w:t xml:space="preserve"> y </w:t>
      </w:r>
      <w:proofErr w:type="spellStart"/>
      <w:r w:rsidRPr="00EB061A">
        <w:rPr>
          <w:rStyle w:val="VerbatimChar"/>
          <w:lang w:val="es-ES"/>
        </w:rPr>
        <w:t>fecha_ultima_actualizacion</w:t>
      </w:r>
      <w:proofErr w:type="spellEnd"/>
      <w:r w:rsidRPr="00EB061A">
        <w:rPr>
          <w:lang w:val="es-ES"/>
        </w:rPr>
        <w:t>.</w:t>
      </w:r>
    </w:p>
    <w:p w14:paraId="00E4F606" w14:textId="77777777" w:rsidR="007951CA" w:rsidRPr="00EB061A" w:rsidRDefault="00000000">
      <w:pPr>
        <w:pStyle w:val="Textoindependiente"/>
        <w:rPr>
          <w:lang w:val="es-ES"/>
        </w:rPr>
      </w:pPr>
      <w:r w:rsidRPr="00EB061A">
        <w:rPr>
          <w:b/>
          <w:bCs/>
          <w:lang w:val="es-ES"/>
        </w:rPr>
        <w:t>Reglas de decisión:</w:t>
      </w:r>
    </w:p>
    <w:p w14:paraId="6ABEF6D4" w14:textId="77777777" w:rsidR="007951CA" w:rsidRPr="00EB061A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EB061A">
        <w:rPr>
          <w:lang w:val="es-ES"/>
        </w:rPr>
        <w:t>Elegir una categoría principal y, como máximo, dos etiquetas secundarias.</w:t>
      </w:r>
    </w:p>
    <w:p w14:paraId="3B101B21" w14:textId="77777777" w:rsidR="007951CA" w:rsidRPr="00EB061A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EB061A">
        <w:rPr>
          <w:lang w:val="es-ES"/>
        </w:rPr>
        <w:t>Elegir un único organismo confirmado cuando sea posible; si intervienen varios, designar uno como coordinador y registrar los demás como colaboradores.</w:t>
      </w:r>
    </w:p>
    <w:p w14:paraId="73ED8672" w14:textId="77777777" w:rsidR="007951CA" w:rsidRPr="00EB061A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EB061A">
        <w:rPr>
          <w:lang w:val="es-ES"/>
        </w:rPr>
        <w:t>Usar “competencia por confirmar” cuando la información sea insuficiente o afecte a varios niveles administrativos.</w:t>
      </w:r>
    </w:p>
    <w:p w14:paraId="7A4BABDC" w14:textId="77777777" w:rsidR="007951CA" w:rsidRPr="00EB061A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EB061A">
        <w:rPr>
          <w:lang w:val="es-ES"/>
        </w:rPr>
        <w:lastRenderedPageBreak/>
        <w:t>No clasificar por supuestos sobre nacionalidad, origen, ideología, religión u otros datos personales; clasificar por el contenido de la acción solicitada.</w:t>
      </w:r>
    </w:p>
    <w:p w14:paraId="440D1F11" w14:textId="0442A439" w:rsidR="007951CA" w:rsidRPr="00EB061A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EB061A">
        <w:rPr>
          <w:lang w:val="es-ES"/>
        </w:rPr>
        <w:t>Priorizar por riesgo y reversibilidad: riesgo inmediato o daño potencial alto se escala antes; una propuesta general sin urgencia entra en el ciclo ordinario de análisis.</w:t>
      </w:r>
    </w:p>
    <w:p w14:paraId="466DAAAA" w14:textId="3E3EF8C5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>Antes de activar el sistema, se probará la taxonomía con una muestra de comunicaciones simuladas y se revisará el acuerdo entre dos personas clasificadoras. Durante el primer mes, se auditará semanalmente la proporción de reclasificaciones, duplicados, registros con datos personales y derivaciones erróneas; estos indicadores permitirán modificar reglas y palabras clave.</w:t>
      </w:r>
    </w:p>
    <w:p w14:paraId="78390D47" w14:textId="77777777" w:rsidR="007951CA" w:rsidRPr="00EB061A" w:rsidRDefault="00000000">
      <w:pPr>
        <w:pStyle w:val="Ttulo2"/>
        <w:rPr>
          <w:lang w:val="es-ES"/>
        </w:rPr>
      </w:pPr>
      <w:bookmarkStart w:id="8" w:name="X181d331f418b06e161b78361a224912988e1b11"/>
      <w:bookmarkEnd w:id="7"/>
      <w:r w:rsidRPr="00EB061A">
        <w:rPr>
          <w:lang w:val="es-ES"/>
        </w:rPr>
        <w:t>6. Respuesta, transparencia y plazos</w:t>
      </w:r>
    </w:p>
    <w:p w14:paraId="3FBF4E9C" w14:textId="77777777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>El buzón no debe prometer la adopción de una propuesta. Sí debe comprometerse a un proceso predecible: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7951CA" w:rsidRPr="00EB061A" w14:paraId="24C8878B" w14:textId="77777777" w:rsidTr="00795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0" w:type="dxa"/>
          </w:tcPr>
          <w:p w14:paraId="29378D37" w14:textId="44F15AB1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Hito</w:t>
            </w:r>
          </w:p>
        </w:tc>
        <w:tc>
          <w:tcPr>
            <w:tcW w:w="3960" w:type="dxa"/>
          </w:tcPr>
          <w:p w14:paraId="533148F4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Compromiso operativo</w:t>
            </w:r>
          </w:p>
        </w:tc>
      </w:tr>
      <w:tr w:rsidR="007951CA" w:rsidRPr="00EB061A" w14:paraId="5E637266" w14:textId="77777777">
        <w:tc>
          <w:tcPr>
            <w:tcW w:w="3960" w:type="dxa"/>
          </w:tcPr>
          <w:p w14:paraId="3C049D3D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Acuse a comunicaciones con contacto</w:t>
            </w:r>
          </w:p>
        </w:tc>
        <w:tc>
          <w:tcPr>
            <w:tcW w:w="3960" w:type="dxa"/>
          </w:tcPr>
          <w:p w14:paraId="1810FA6A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Confirmación de recepción y recordatorio de límites/canales alternativos.</w:t>
            </w:r>
          </w:p>
        </w:tc>
      </w:tr>
      <w:tr w:rsidR="007951CA" w:rsidRPr="00EB061A" w14:paraId="267EAFB5" w14:textId="77777777">
        <w:tc>
          <w:tcPr>
            <w:tcW w:w="3960" w:type="dxa"/>
          </w:tcPr>
          <w:p w14:paraId="28288E3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Clasificación</w:t>
            </w:r>
          </w:p>
        </w:tc>
        <w:tc>
          <w:tcPr>
            <w:tcW w:w="3960" w:type="dxa"/>
          </w:tcPr>
          <w:p w14:paraId="36E5BC89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Categoría y organismo propuesto o “competencia por confirmar”.</w:t>
            </w:r>
          </w:p>
        </w:tc>
      </w:tr>
      <w:tr w:rsidR="007951CA" w:rsidRPr="00EB061A" w14:paraId="52354553" w14:textId="77777777">
        <w:tc>
          <w:tcPr>
            <w:tcW w:w="3960" w:type="dxa"/>
          </w:tcPr>
          <w:p w14:paraId="652787B8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Información pública mensual</w:t>
            </w:r>
          </w:p>
        </w:tc>
        <w:tc>
          <w:tcPr>
            <w:tcW w:w="3960" w:type="dxa"/>
          </w:tcPr>
          <w:p w14:paraId="388E9D4C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Recuentos por categoría, principales temas, organismos a los que se han remitido, acciones en curso y asuntos sin competencia resuelta.</w:t>
            </w:r>
          </w:p>
        </w:tc>
      </w:tr>
      <w:tr w:rsidR="007951CA" w:rsidRPr="00EB061A" w14:paraId="5391C0CE" w14:textId="77777777">
        <w:tc>
          <w:tcPr>
            <w:tcW w:w="3960" w:type="dxa"/>
          </w:tcPr>
          <w:p w14:paraId="60B15D63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Respuesta individual</w:t>
            </w:r>
          </w:p>
        </w:tc>
        <w:tc>
          <w:tcPr>
            <w:tcW w:w="3960" w:type="dxa"/>
          </w:tcPr>
          <w:p w14:paraId="0F588FC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Solo cuando se haya facilitado contacto y sea viable; debe indicar la decisión o el canal competente, no datos de otras personas.</w:t>
            </w:r>
          </w:p>
        </w:tc>
      </w:tr>
      <w:tr w:rsidR="007951CA" w:rsidRPr="00EB061A" w14:paraId="03CC172A" w14:textId="77777777">
        <w:tc>
          <w:tcPr>
            <w:tcW w:w="3960" w:type="dxa"/>
          </w:tcPr>
          <w:p w14:paraId="199E790D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Revisión del protocolo</w:t>
            </w:r>
          </w:p>
        </w:tc>
        <w:tc>
          <w:tcPr>
            <w:tcW w:w="3960" w:type="dxa"/>
          </w:tcPr>
          <w:p w14:paraId="6F96B5DF" w14:textId="77777777" w:rsidR="007951CA" w:rsidRPr="00EB061A" w:rsidRDefault="00000000">
            <w:pPr>
              <w:pStyle w:val="Compact"/>
              <w:rPr>
                <w:lang w:val="es-ES"/>
              </w:rPr>
            </w:pPr>
            <w:r w:rsidRPr="00EB061A">
              <w:rPr>
                <w:lang w:val="es-ES"/>
              </w:rPr>
              <w:t>Mensual los tres primeros meses y trimestral después.</w:t>
            </w:r>
          </w:p>
        </w:tc>
      </w:tr>
    </w:tbl>
    <w:p w14:paraId="47A14FFE" w14:textId="5B570198" w:rsidR="007951CA" w:rsidRPr="00EB061A" w:rsidRDefault="00000000">
      <w:pPr>
        <w:pStyle w:val="Textoindependiente"/>
        <w:rPr>
          <w:lang w:val="es-ES"/>
        </w:rPr>
      </w:pPr>
      <w:r w:rsidRPr="00EB061A">
        <w:rPr>
          <w:lang w:val="es-ES"/>
        </w:rPr>
        <w:t>La transparencia debe informar de decisiones, pendientes y criterios, no publicar narrativas originales ni microdatos. En Ceuta, las competencias sobre materias locales incluyen urbanismo, transportes, desarrollo económico, asistencia social, sanidad e higiene, y medio ambiente; la propia estructura de gobierno asigna órganos para esas áreas. La unidad gestora debe mantener una versión fechada de la matriz de derivación, pues las denominaciones o responsabilidades pueden cambiar.</w:t>
      </w:r>
    </w:p>
    <w:p w14:paraId="1286A3C9" w14:textId="77777777" w:rsidR="007951CA" w:rsidRPr="00EB061A" w:rsidRDefault="00000000">
      <w:pPr>
        <w:pStyle w:val="Ttulo2"/>
        <w:rPr>
          <w:lang w:val="es-ES"/>
        </w:rPr>
      </w:pPr>
      <w:bookmarkStart w:id="9" w:name="X214737dc5f4f1fbd4dfb4c344f0a17589a51512"/>
      <w:bookmarkEnd w:id="8"/>
      <w:r w:rsidRPr="00EB061A">
        <w:rPr>
          <w:lang w:val="es-ES"/>
        </w:rPr>
        <w:t>7. Gobernanza y salvaguardas obligatorias antes del lanzamiento</w:t>
      </w:r>
    </w:p>
    <w:p w14:paraId="524607B2" w14:textId="77777777" w:rsidR="007951CA" w:rsidRPr="00EB061A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EB061A">
        <w:rPr>
          <w:lang w:val="es-ES"/>
        </w:rPr>
        <w:t>Designar por escrito a la unidad responsable del tratamiento y al equipo gestor, con permisos de acceso nominativos.</w:t>
      </w:r>
    </w:p>
    <w:p w14:paraId="63A221E9" w14:textId="77777777" w:rsidR="007951CA" w:rsidRPr="00EB061A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EB061A">
        <w:rPr>
          <w:lang w:val="es-ES"/>
        </w:rPr>
        <w:lastRenderedPageBreak/>
        <w:t>Validar la información de privacidad, evaluación de riesgos, base jurídica, plazos de conservación, contratos con proveedores y medidas técnicas con el delegado de protección de datos y asesoría jurídica competente.</w:t>
      </w:r>
    </w:p>
    <w:p w14:paraId="5DFBD736" w14:textId="77777777" w:rsidR="007951CA" w:rsidRPr="00EB061A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EB061A">
        <w:rPr>
          <w:lang w:val="es-ES"/>
        </w:rPr>
        <w:t>Publicar un protocolo de urgencias separado y visible.</w:t>
      </w:r>
    </w:p>
    <w:p w14:paraId="217C1E37" w14:textId="77777777" w:rsidR="007951CA" w:rsidRPr="00EB061A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EB061A">
        <w:rPr>
          <w:lang w:val="es-ES"/>
        </w:rPr>
        <w:t xml:space="preserve">Acordar la matriz de derivación con los organismos receptores; cada uno deberá aceptar la recepción de información </w:t>
      </w:r>
      <w:proofErr w:type="spellStart"/>
      <w:r w:rsidRPr="00EB061A">
        <w:rPr>
          <w:lang w:val="es-ES"/>
        </w:rPr>
        <w:t>desidentificada</w:t>
      </w:r>
      <w:proofErr w:type="spellEnd"/>
      <w:r w:rsidRPr="00EB061A">
        <w:rPr>
          <w:lang w:val="es-ES"/>
        </w:rPr>
        <w:t xml:space="preserve"> y designar un punto de contacto.</w:t>
      </w:r>
    </w:p>
    <w:p w14:paraId="319FF787" w14:textId="77777777" w:rsidR="007951CA" w:rsidRPr="00EB061A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EB061A">
        <w:rPr>
          <w:lang w:val="es-ES"/>
        </w:rPr>
        <w:t>Ejecutar una prueba piloto de dos semanas con datos simulados, incluyendo prueba de detección de datos personales, revisión humana y simulación de derivaciones interadministrativas.</w:t>
      </w:r>
    </w:p>
    <w:p w14:paraId="60E7BDD3" w14:textId="77777777" w:rsidR="007951CA" w:rsidRPr="00EB061A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EB061A">
        <w:rPr>
          <w:lang w:val="es-ES"/>
        </w:rPr>
        <w:t>Mantener revisión humana antes de remitir o publicar textos libres; un sistema basado solo en expresiones regulares o listas de palabras no detectará todos los identificadores indirectos.</w:t>
      </w:r>
    </w:p>
    <w:p w14:paraId="356A21F1" w14:textId="77777777" w:rsidR="007951CA" w:rsidRPr="00EB061A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EB061A">
        <w:rPr>
          <w:lang w:val="es-ES"/>
        </w:rPr>
        <w:t xml:space="preserve">Publicar una nota de transparencia mensual y una revisión trimestral del funcionamiento, errores de clasificación, tiempos y medidas </w:t>
      </w:r>
      <w:proofErr w:type="gramStart"/>
      <w:r w:rsidRPr="00EB061A">
        <w:rPr>
          <w:lang w:val="es-ES"/>
        </w:rPr>
        <w:t>adoptadas.[</w:t>
      </w:r>
      <w:proofErr w:type="gramEnd"/>
      <w:r w:rsidRPr="00EB061A">
        <w:rPr>
          <w:lang w:val="es-ES"/>
        </w:rPr>
        <w:t>1, 5]</w:t>
      </w:r>
    </w:p>
    <w:p w14:paraId="43A4EFAB" w14:textId="77777777" w:rsidR="007951CA" w:rsidRPr="00EB061A" w:rsidRDefault="00000000">
      <w:pPr>
        <w:pStyle w:val="Ttulo2"/>
        <w:rPr>
          <w:lang w:val="es-ES"/>
        </w:rPr>
      </w:pPr>
      <w:bookmarkStart w:id="10" w:name="referencias-seleccionadas"/>
      <w:bookmarkEnd w:id="9"/>
      <w:r w:rsidRPr="00EB061A">
        <w:rPr>
          <w:lang w:val="es-ES"/>
        </w:rPr>
        <w:t>Referencias seleccionadas</w:t>
      </w:r>
    </w:p>
    <w:p w14:paraId="298B5A26" w14:textId="429F417A" w:rsidR="007951CA" w:rsidRPr="00EB061A" w:rsidRDefault="00000000">
      <w:pPr>
        <w:pStyle w:val="FirstParagraph"/>
        <w:rPr>
          <w:lang w:val="es-ES"/>
        </w:rPr>
      </w:pPr>
      <w:r w:rsidRPr="00EB061A">
        <w:rPr>
          <w:lang w:val="es-ES"/>
        </w:rPr>
        <w:t xml:space="preserve">Agencia Española de Protección de Datos. (2021, 6 de octubre). </w:t>
      </w:r>
      <w:r w:rsidRPr="00EB061A">
        <w:rPr>
          <w:i/>
          <w:iCs/>
          <w:lang w:val="es-ES"/>
        </w:rPr>
        <w:t>Anonimización y seudonimización</w:t>
      </w:r>
      <w:r w:rsidRPr="00EB061A">
        <w:rPr>
          <w:lang w:val="es-ES"/>
        </w:rPr>
        <w:t>.</w:t>
      </w:r>
      <w:r w:rsidR="00EB061A">
        <w:rPr>
          <w:lang w:val="es-ES"/>
        </w:rPr>
        <w:t xml:space="preserve"> </w:t>
      </w:r>
      <w:hyperlink r:id="rId5">
        <w:r w:rsidR="00EB061A" w:rsidRPr="00EB061A">
          <w:rPr>
            <w:rStyle w:val="Hipervnculo"/>
            <w:lang w:val="es-ES"/>
          </w:rPr>
          <w:t>https://www.aepd.es/prensa-y-comunicacion/blog/anonimizacion-y-seudonimizacion</w:t>
        </w:r>
      </w:hyperlink>
    </w:p>
    <w:p w14:paraId="620E3447" w14:textId="4531D5E6" w:rsidR="007951CA" w:rsidRPr="00EB061A" w:rsidRDefault="00000000">
      <w:pPr>
        <w:pStyle w:val="Textoindependiente"/>
        <w:rPr>
          <w:lang w:val="es-ES"/>
        </w:rPr>
      </w:pPr>
      <w:r w:rsidRPr="00EB061A">
        <w:rPr>
          <w:lang w:val="es-ES"/>
        </w:rPr>
        <w:t xml:space="preserve">Ciudad Autónoma de Ceuta. (s. f.). </w:t>
      </w:r>
      <w:r w:rsidRPr="00EB061A">
        <w:rPr>
          <w:i/>
          <w:iCs/>
          <w:lang w:val="es-ES"/>
        </w:rPr>
        <w:t>Título II. De las competencias de la Ciudad de Ceuta</w:t>
      </w:r>
      <w:r w:rsidRPr="00EB061A">
        <w:rPr>
          <w:lang w:val="es-ES"/>
        </w:rPr>
        <w:t>.</w:t>
      </w:r>
      <w:r w:rsidR="00EB061A">
        <w:rPr>
          <w:lang w:val="es-ES"/>
        </w:rPr>
        <w:t xml:space="preserve"> </w:t>
      </w:r>
      <w:hyperlink r:id="rId6">
        <w:r w:rsidR="00EB061A" w:rsidRPr="00EB061A">
          <w:rPr>
            <w:rStyle w:val="Hipervnculo"/>
            <w:lang w:val="es-ES"/>
          </w:rPr>
          <w:t>https://www.ceuta.es/ceuta/la-institucion/normativa/45-paginas/paginas/estatuto-de-autonomia/11-titulo-ii-de-las-competencias-de-la-ciudad-de-ceuta</w:t>
        </w:r>
      </w:hyperlink>
    </w:p>
    <w:p w14:paraId="55F864C7" w14:textId="4440921F" w:rsidR="007951CA" w:rsidRPr="00EB061A" w:rsidRDefault="00000000">
      <w:pPr>
        <w:pStyle w:val="Textoindependiente"/>
        <w:rPr>
          <w:lang w:val="es-ES"/>
        </w:rPr>
      </w:pPr>
      <w:r w:rsidRPr="00EB061A">
        <w:rPr>
          <w:lang w:val="es-ES"/>
        </w:rPr>
        <w:t xml:space="preserve">Ciudad Autónoma de Ceuta. (2026). </w:t>
      </w:r>
      <w:r w:rsidRPr="00EB061A">
        <w:rPr>
          <w:i/>
          <w:iCs/>
          <w:lang w:val="es-ES"/>
        </w:rPr>
        <w:t>Estructura organizativa y funciones</w:t>
      </w:r>
      <w:r w:rsidRPr="00EB061A">
        <w:rPr>
          <w:lang w:val="es-ES"/>
        </w:rPr>
        <w:t>.</w:t>
      </w:r>
      <w:r w:rsidR="00EB061A">
        <w:rPr>
          <w:lang w:val="es-ES"/>
        </w:rPr>
        <w:t xml:space="preserve"> </w:t>
      </w:r>
      <w:hyperlink r:id="rId7">
        <w:r w:rsidR="00EB061A" w:rsidRPr="00EB061A">
          <w:rPr>
            <w:rStyle w:val="Hipervnculo"/>
            <w:lang w:val="es-ES"/>
          </w:rPr>
          <w:t>https://www.ceuta.es/ceuta/institucional/estructura-organizativa</w:t>
        </w:r>
      </w:hyperlink>
    </w:p>
    <w:p w14:paraId="353F1018" w14:textId="5FB80F35" w:rsidR="007951CA" w:rsidRPr="00EB061A" w:rsidRDefault="00000000">
      <w:pPr>
        <w:pStyle w:val="Textoindependiente"/>
        <w:rPr>
          <w:lang w:val="es-ES"/>
        </w:rPr>
      </w:pPr>
      <w:r w:rsidRPr="00EB061A">
        <w:rPr>
          <w:lang w:val="es-ES"/>
        </w:rPr>
        <w:t xml:space="preserve">Jones, A., Blake, J., Adams, M., Kelly, D., Mannion, R., &amp; Maben, J. (2021). </w:t>
      </w:r>
      <w:proofErr w:type="spellStart"/>
      <w:r w:rsidRPr="00EB061A">
        <w:rPr>
          <w:lang w:val="es-ES"/>
        </w:rPr>
        <w:t>Interventions</w:t>
      </w:r>
      <w:proofErr w:type="spellEnd"/>
      <w:r w:rsidRPr="00EB061A">
        <w:rPr>
          <w:lang w:val="es-ES"/>
        </w:rPr>
        <w:t xml:space="preserve"> </w:t>
      </w:r>
      <w:proofErr w:type="spellStart"/>
      <w:r w:rsidRPr="00EB061A">
        <w:rPr>
          <w:lang w:val="es-ES"/>
        </w:rPr>
        <w:t>promoting</w:t>
      </w:r>
      <w:proofErr w:type="spellEnd"/>
      <w:r w:rsidRPr="00EB061A">
        <w:rPr>
          <w:lang w:val="es-ES"/>
        </w:rPr>
        <w:t xml:space="preserve"> </w:t>
      </w:r>
      <w:proofErr w:type="spellStart"/>
      <w:r w:rsidRPr="00EB061A">
        <w:rPr>
          <w:lang w:val="es-ES"/>
        </w:rPr>
        <w:t>employee</w:t>
      </w:r>
      <w:proofErr w:type="spellEnd"/>
      <w:r w:rsidRPr="00EB061A">
        <w:rPr>
          <w:lang w:val="es-ES"/>
        </w:rPr>
        <w:t xml:space="preserve"> “</w:t>
      </w:r>
      <w:proofErr w:type="spellStart"/>
      <w:r w:rsidRPr="00EB061A">
        <w:rPr>
          <w:lang w:val="es-ES"/>
        </w:rPr>
        <w:t>speaking</w:t>
      </w:r>
      <w:proofErr w:type="spellEnd"/>
      <w:r w:rsidRPr="00EB061A">
        <w:rPr>
          <w:lang w:val="es-ES"/>
        </w:rPr>
        <w:t xml:space="preserve">-up” </w:t>
      </w:r>
      <w:proofErr w:type="spellStart"/>
      <w:r w:rsidRPr="00EB061A">
        <w:rPr>
          <w:lang w:val="es-ES"/>
        </w:rPr>
        <w:t>within</w:t>
      </w:r>
      <w:proofErr w:type="spellEnd"/>
      <w:r w:rsidRPr="00EB061A">
        <w:rPr>
          <w:lang w:val="es-ES"/>
        </w:rPr>
        <w:t xml:space="preserve"> </w:t>
      </w:r>
      <w:proofErr w:type="spellStart"/>
      <w:r w:rsidRPr="00EB061A">
        <w:rPr>
          <w:lang w:val="es-ES"/>
        </w:rPr>
        <w:t>healthcare</w:t>
      </w:r>
      <w:proofErr w:type="spellEnd"/>
      <w:r w:rsidRPr="00EB061A">
        <w:rPr>
          <w:lang w:val="es-ES"/>
        </w:rPr>
        <w:t xml:space="preserve"> </w:t>
      </w:r>
      <w:proofErr w:type="spellStart"/>
      <w:r w:rsidRPr="00EB061A">
        <w:rPr>
          <w:lang w:val="es-ES"/>
        </w:rPr>
        <w:t>workplaces</w:t>
      </w:r>
      <w:proofErr w:type="spellEnd"/>
      <w:r w:rsidRPr="00EB061A">
        <w:rPr>
          <w:lang w:val="es-ES"/>
        </w:rPr>
        <w:t xml:space="preserve">: A </w:t>
      </w:r>
      <w:proofErr w:type="spellStart"/>
      <w:r w:rsidRPr="00EB061A">
        <w:rPr>
          <w:lang w:val="es-ES"/>
        </w:rPr>
        <w:t>systematic</w:t>
      </w:r>
      <w:proofErr w:type="spellEnd"/>
      <w:r w:rsidRPr="00EB061A">
        <w:rPr>
          <w:lang w:val="es-ES"/>
        </w:rPr>
        <w:t xml:space="preserve"> narrative </w:t>
      </w:r>
      <w:proofErr w:type="spellStart"/>
      <w:r w:rsidRPr="00EB061A">
        <w:rPr>
          <w:lang w:val="es-ES"/>
        </w:rPr>
        <w:t>review</w:t>
      </w:r>
      <w:proofErr w:type="spellEnd"/>
      <w:r w:rsidRPr="00EB061A">
        <w:rPr>
          <w:lang w:val="es-ES"/>
        </w:rPr>
        <w:t xml:space="preserve"> </w:t>
      </w:r>
      <w:proofErr w:type="spellStart"/>
      <w:r w:rsidRPr="00EB061A">
        <w:rPr>
          <w:lang w:val="es-ES"/>
        </w:rPr>
        <w:t>of</w:t>
      </w:r>
      <w:proofErr w:type="spellEnd"/>
      <w:r w:rsidRPr="00EB061A">
        <w:rPr>
          <w:lang w:val="es-ES"/>
        </w:rPr>
        <w:t xml:space="preserve"> </w:t>
      </w:r>
      <w:proofErr w:type="spellStart"/>
      <w:r w:rsidRPr="00EB061A">
        <w:rPr>
          <w:lang w:val="es-ES"/>
        </w:rPr>
        <w:t>the</w:t>
      </w:r>
      <w:proofErr w:type="spellEnd"/>
      <w:r w:rsidRPr="00EB061A">
        <w:rPr>
          <w:lang w:val="es-ES"/>
        </w:rPr>
        <w:t xml:space="preserve"> </w:t>
      </w:r>
      <w:proofErr w:type="spellStart"/>
      <w:r w:rsidRPr="00EB061A">
        <w:rPr>
          <w:lang w:val="es-ES"/>
        </w:rPr>
        <w:t>international</w:t>
      </w:r>
      <w:proofErr w:type="spellEnd"/>
      <w:r w:rsidRPr="00EB061A">
        <w:rPr>
          <w:lang w:val="es-ES"/>
        </w:rPr>
        <w:t xml:space="preserve"> </w:t>
      </w:r>
      <w:proofErr w:type="spellStart"/>
      <w:r w:rsidRPr="00EB061A">
        <w:rPr>
          <w:lang w:val="es-ES"/>
        </w:rPr>
        <w:t>literature</w:t>
      </w:r>
      <w:proofErr w:type="spellEnd"/>
      <w:r w:rsidRPr="00EB061A">
        <w:rPr>
          <w:lang w:val="es-ES"/>
        </w:rPr>
        <w:t xml:space="preserve">. </w:t>
      </w:r>
      <w:r w:rsidRPr="00EB061A">
        <w:rPr>
          <w:i/>
          <w:iCs/>
          <w:lang w:val="es-ES"/>
        </w:rPr>
        <w:t>Health Policy, 125</w:t>
      </w:r>
      <w:r w:rsidRPr="00EB061A">
        <w:rPr>
          <w:lang w:val="es-ES"/>
        </w:rPr>
        <w:t>(3), 281–290.</w:t>
      </w:r>
      <w:r w:rsidR="00EB061A">
        <w:rPr>
          <w:lang w:val="es-ES"/>
        </w:rPr>
        <w:t xml:space="preserve"> </w:t>
      </w:r>
      <w:hyperlink r:id="rId8">
        <w:r w:rsidR="00EB061A" w:rsidRPr="00EB061A">
          <w:rPr>
            <w:rStyle w:val="Hipervnculo"/>
            <w:lang w:val="es-ES"/>
          </w:rPr>
          <w:t>https://doi.org/10.1016/j.healthpol.2020.12.016</w:t>
        </w:r>
      </w:hyperlink>
    </w:p>
    <w:p w14:paraId="4F592E7A" w14:textId="4593A834" w:rsidR="007951CA" w:rsidRPr="00EB061A" w:rsidRDefault="00000000">
      <w:pPr>
        <w:pStyle w:val="Textoindependiente"/>
        <w:rPr>
          <w:lang w:val="es-ES"/>
        </w:rPr>
      </w:pPr>
      <w:r w:rsidRPr="00EB061A">
        <w:rPr>
          <w:lang w:val="es-ES"/>
        </w:rPr>
        <w:t xml:space="preserve">Instituto Nacional de Gestión Sanitaria. (s. f.). </w:t>
      </w:r>
      <w:r w:rsidRPr="00EB061A">
        <w:rPr>
          <w:i/>
          <w:iCs/>
          <w:lang w:val="es-ES"/>
        </w:rPr>
        <w:t>Dirección Territorial: Área Sanitaria de Ceuta</w:t>
      </w:r>
      <w:r w:rsidRPr="00EB061A">
        <w:rPr>
          <w:lang w:val="es-ES"/>
        </w:rPr>
        <w:t>.</w:t>
      </w:r>
      <w:r w:rsidR="00EB061A">
        <w:rPr>
          <w:lang w:val="es-ES"/>
        </w:rPr>
        <w:t xml:space="preserve"> </w:t>
      </w:r>
      <w:hyperlink r:id="rId9">
        <w:r w:rsidR="00EB061A" w:rsidRPr="00EB061A">
          <w:rPr>
            <w:rStyle w:val="Hipervnculo"/>
            <w:lang w:val="es-ES"/>
          </w:rPr>
          <w:t>https://ingesa.sanidad.gob.es/ceuta/Organizaci-n/Direcci-n-Territorial.html</w:t>
        </w:r>
      </w:hyperlink>
    </w:p>
    <w:p w14:paraId="20308ED1" w14:textId="341BB8BE" w:rsidR="007951CA" w:rsidRPr="00EB061A" w:rsidRDefault="007951CA">
      <w:pPr>
        <w:pStyle w:val="Bibliografa"/>
        <w:rPr>
          <w:lang w:val="es-ES"/>
        </w:rPr>
      </w:pPr>
      <w:bookmarkStart w:id="11" w:name="bibliography"/>
      <w:bookmarkStart w:id="12" w:name="refs"/>
      <w:bookmarkStart w:id="13" w:name="ref-ref-4"/>
      <w:bookmarkEnd w:id="0"/>
      <w:bookmarkEnd w:id="10"/>
      <w:bookmarkEnd w:id="11"/>
      <w:bookmarkEnd w:id="12"/>
      <w:bookmarkEnd w:id="13"/>
    </w:p>
    <w:sectPr w:rsidR="007951CA" w:rsidRPr="00EB061A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2687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3EA7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D9656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3978318">
    <w:abstractNumId w:val="0"/>
  </w:num>
  <w:num w:numId="2" w16cid:durableId="1031802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7842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2104989">
    <w:abstractNumId w:val="1"/>
  </w:num>
  <w:num w:numId="5" w16cid:durableId="134298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1CA"/>
    <w:rsid w:val="00097998"/>
    <w:rsid w:val="000E3799"/>
    <w:rsid w:val="003F1AE2"/>
    <w:rsid w:val="007951CA"/>
    <w:rsid w:val="0097439D"/>
    <w:rsid w:val="00C17D79"/>
    <w:rsid w:val="00EB061A"/>
    <w:rsid w:val="00FE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7CCA0"/>
  <w15:docId w15:val="{7BB03C2A-B144-7545-BBC4-DBEDDB60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4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20" w:after="120" w:line="276" w:lineRule="auto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  <w:jc w:val="left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  <w:tblCellMar>
        <w:top w:w="55" w:type="dxa"/>
        <w:left w:w="108" w:type="dxa"/>
        <w:bottom w:w="55" w:type="dxa"/>
        <w:right w:w="108" w:type="dxa"/>
      </w:tblCellMar>
    </w:tblPr>
    <w:trPr>
      <w:cantSplit/>
    </w:trPr>
    <w:tcPr>
      <w:tc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</w:tcBorders>
    </w:tcPr>
    <w:tblStylePr w:type="firstRow">
      <w:rPr>
        <w:b/>
        <w:bCs/>
      </w:rPr>
      <w:tblPr>
        <w:jc w:val="left"/>
      </w:tblPr>
      <w:trPr>
        <w:tblHeader/>
        <w:jc w:val="left"/>
      </w:trPr>
      <w:tcPr>
        <w:tcBorders>
          <w:top w:val="single" w:sz="6" w:space="0" w:color="404040"/>
          <w:left w:val="single" w:sz="4" w:space="0" w:color="404040"/>
          <w:bottom w:val="single" w:sz="6" w:space="0" w:color="404040"/>
          <w:right w:val="single" w:sz="4" w:space="0" w:color="404040"/>
        </w:tcBorders>
        <w:shd w:val="clear" w:color="auto" w:fill="F0F0F0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EB0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healthpol.2020.12.0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euta.es/ceuta/institucional/estructura-organizati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euta.es/ceuta/la-institucion/normativa/45-paginas/paginas/estatuto-de-autonomia/11-titulo-ii-de-las-competencias-de-la-ciudad-de-ceu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epd.es/prensa-y-comunicacion/blog/anonimizacion-y-seudonimizac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gesa.sanidad.gob.es/ceuta/Organizaci-n/Direcci-n-Terri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F05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2247</Words>
  <Characters>12363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Adrian Romero Olmedo</cp:lastModifiedBy>
  <cp:revision>4</cp:revision>
  <dcterms:created xsi:type="dcterms:W3CDTF">2026-09-09T16:06:00Z</dcterms:created>
  <dcterms:modified xsi:type="dcterms:W3CDTF">2026-09-18T12:14:00Z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l">
    <vt:lpwstr>/code/chef/pandoc/springer-basic-brackets.csl</vt:lpwstr>
  </property>
  <property fmtid="{D5CDD505-2E9C-101B-9397-08002B2CF9AE}" pid="3" name="nocite">
    <vt:lpwstr>@*</vt:lpwstr>
  </property>
  <property fmtid="{D5CDD505-2E9C-101B-9397-08002B2CF9AE}" pid="4" name="reference-section-title">
    <vt:lpwstr>References</vt:lpwstr>
  </property>
  <property fmtid="{D5CDD505-2E9C-101B-9397-08002B2CF9AE}" pid="5" name="references">
    <vt:lpwstr/>
  </property>
</Properties>
</file>