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bookmarkStart w:colFirst="0" w:colLast="0" w:name="_3hjyivlp34hj" w:id="0"/>
      <w:bookmarkEnd w:id="0"/>
      <w:r w:rsidDel="00000000" w:rsidR="00000000" w:rsidRPr="00000000">
        <w:rPr>
          <w:sz w:val="40"/>
          <w:szCs w:val="40"/>
          <w:rtl w:val="0"/>
        </w:rPr>
        <w:t xml:space="preserve">1.1 Licencias Open Source más utilizadas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Licencia de Apache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Apache permite a los usuarios reusar el código para cualquiera propósito incluido hacerlo parte de un software propietario</w:t>
            </w:r>
          </w:p>
        </w:tc>
        <w:tc>
          <w:tcPr>
            <w:tcBorders>
              <w:top w:color="000000" w:space="0" w:sz="18" w:val="single"/>
              <w:left w:color="ffffff" w:space="0" w:sz="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3335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Common Development and Distribution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Permite combinar licencias sin importar que sea software propietario o de código abierto, a cambio de que se mantenga esta misma licencia sobre las otras que sean combinadas</w:t>
            </w:r>
          </w:p>
        </w:tc>
        <w:tc>
          <w:tcPr>
            <w:tcBorders>
              <w:left w:color="ffffff" w:space="0" w:sz="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193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Licencia Pública de Eclipse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Es una licencia que permite la colaboración y la distribución de software abierto, también tiene copyleft débil que permite el uso de otras licencias y por último, tiene protección para los derechos de autor y patentes</w:t>
            </w:r>
          </w:p>
        </w:tc>
        <w:tc>
          <w:tcPr>
            <w:tcBorders>
              <w:left w:color="ffffff" w:space="0" w:sz="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8890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Licencia Pública de GNU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 licencia obliga a que los derivados del software se sometan a la misma licencia, y promueve el uso de código libre y lo que esto complica</w:t>
            </w:r>
          </w:p>
        </w:tc>
        <w:tc>
          <w:tcPr>
            <w:tcBorders>
              <w:left w:color="ffffff" w:space="0" w:sz="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86479" cy="1546213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479" cy="1546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Licencia pública de Mozilla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 una licencia de código abierto que permite tanto como software libre y propietario puedan coexistir, permite la modificación del código y la publicación de estos</w:t>
            </w:r>
          </w:p>
        </w:tc>
        <w:tc>
          <w:tcPr>
            <w:tcBorders>
              <w:left w:color="ffffff" w:space="0" w:sz="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81163" cy="1745823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7458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  <w:t xml:space="preserve">David Joseph Cuenca Quiroga</w:t>
      <w:tab/>
      <w:tab/>
      <w:tab/>
      <w:tab/>
      <w:tab/>
      <w:tab/>
      <w:tab/>
      <w:t xml:space="preserve">2ºDAM</w:t>
    </w:r>
  </w:p>
  <w:p w:rsidR="00000000" w:rsidDel="00000000" w:rsidP="00000000" w:rsidRDefault="00000000" w:rsidRPr="00000000" w14:paraId="00000014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