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F80EF2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 xml:space="preserve">Regulador de Voltaje </w:t>
      </w:r>
      <w:proofErr w:type="spellStart"/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YwRobot</w:t>
      </w:r>
      <w:proofErr w:type="spellEnd"/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3123C" w:rsidRPr="00403526" w:rsidRDefault="00DA296C" w:rsidP="0033123C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 xml:space="preserve">Figura </w:t>
      </w:r>
    </w:p>
    <w:p w:rsidR="0033123C" w:rsidRDefault="0033123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3123C" w:rsidRDefault="0033123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58240" behindDoc="0" locked="0" layoutInCell="1" allowOverlap="1" wp14:anchorId="39A8FB8D" wp14:editId="22C727E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71390" cy="311397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lador de voltaje para proto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11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Pr="00403526" w:rsidRDefault="00DA296C" w:rsidP="00DA296C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Desarrollo</w:t>
      </w:r>
    </w:p>
    <w:p w:rsidR="00DA296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</w:pPr>
      <w:r w:rsidRPr="00DA296C"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  <w:t>1. Introducción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El módulo YwRobot MB-V2 (también conocido como MB102) es un regulador de voltaje diseñado para insertarse directamente en una protoboard. Su objetivo principal es proporcionar tensiones estables de 3.3 V y 5 V para alimentar circuitos electrónicos y placas de desarrollo como Arduino o ESP32.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</w:pPr>
      <w:r w:rsidRPr="00DA296C"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  <w:t>2. Características principales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Alimentación de entrada: 6.5 V a 12 V mediante conector de jack (5.5 mm × 2.1 mm) o pines.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Salidas de voltaje: seleccionables entre 3.3 V y 5 V de forma independiente para cada riel de la protoboard (mediante jumpers).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Corriente máxima: hasta 700 mA según especificación, aunque en la práctica es recomendable no superar 200 mA para evitar sobrecalentamientos.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Interruptor ON/OFF: permite encender o apagar el módulo sin desconectar la fuente.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lastRenderedPageBreak/>
        <w:t>Indicador LED: muestra cuándo el módulo está encendido.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Conector USB hembra: sirve como salida de 5 V para alimentar placas pequeñas (no es entrada).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</w:pPr>
      <w:r w:rsidRPr="00DA296C"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  <w:t>3. Conexión en protoboard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El módulo se inserta sobre la protoboard, alineando los pines de salida con los rieles laterales de positivo (+) y negativo (–).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Es importante verificar la polaridad para no invertir las líneas de alimentación.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</w:pPr>
      <w:r w:rsidRPr="00DA296C">
        <w:rPr>
          <w:rFonts w:ascii="Calibri" w:eastAsia="Times New Roman" w:hAnsi="Calibri" w:cs="Calibri"/>
          <w:b/>
          <w:noProof/>
          <w:sz w:val="22"/>
          <w:szCs w:val="22"/>
          <w:lang w:eastAsia="es-AR"/>
        </w:rPr>
        <w:t>4. Ventajas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Fácil de usar y de instalar en la protoboard.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Permite trabajar tanto con 5 V como con 3.3 V.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Ocupa poco espacio en la mesa de trabajo.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Ideal para proyectos educativos y prototipado rápido.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lang w:eastAsia="es-AR"/>
        </w:rPr>
      </w:pPr>
      <w:r w:rsidRPr="00DA296C">
        <w:rPr>
          <w:rFonts w:ascii="Calibri" w:eastAsia="Times New Roman" w:hAnsi="Calibri" w:cs="Calibri"/>
          <w:b/>
          <w:noProof/>
          <w:lang w:eastAsia="es-AR"/>
        </w:rPr>
        <w:t>5. Limitaciones y precauciones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El regulador se calienta si la entrada es muy alta (ejemplo: 12 V) y la carga demanda bastante corriente.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Puede fallar si se conecta un cargador USB al conector, ya que este es solo salida.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En caso de sobrecarga, existe el riesgo de que el voltaje de entrada (por ejemplo, 12 V) llegue directamente a la salida, dañando los componentes conectados.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Recomendación: usar siempre entradas de 7 V a 9 V y corrientes bajas para mayor seguridad.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noProof/>
          <w:lang w:eastAsia="es-AR"/>
        </w:rPr>
      </w:pPr>
      <w:r w:rsidRPr="00DA296C">
        <w:rPr>
          <w:rFonts w:ascii="Calibri" w:eastAsia="Times New Roman" w:hAnsi="Calibri" w:cs="Calibri"/>
          <w:b/>
          <w:noProof/>
          <w:lang w:eastAsia="es-AR"/>
        </w:rPr>
        <w:t>6. Buenas prácticas para estudiantes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Verificar el voltaje de salida con un multímetro antes de conectar dispositivos sensibles.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Usar fuentes de alimentación confiables (adaptadores regulados o baterías).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No sobrecargar el módulo: mantener consumos bajos (menos de 200 mA).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Recordar que el puerto USB es solo salida.</w:t>
      </w:r>
    </w:p>
    <w:p w:rsidR="00DA296C" w:rsidRPr="00DA296C" w:rsidRDefault="00DA296C" w:rsidP="00DA296C">
      <w:pPr>
        <w:shd w:val="clear" w:color="auto" w:fill="FFFFFF"/>
        <w:spacing w:after="0" w:line="285" w:lineRule="atLeast"/>
        <w:rPr>
          <w:rFonts w:ascii="Calibri" w:eastAsia="Times New Roman" w:hAnsi="Calibri" w:cs="Calibri"/>
          <w:noProof/>
          <w:lang w:eastAsia="es-AR"/>
        </w:rPr>
      </w:pPr>
    </w:p>
    <w:p w:rsidR="0033123C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 w:rsidRPr="00DA296C">
        <w:rPr>
          <w:rFonts w:ascii="Calibri" w:eastAsia="Times New Roman" w:hAnsi="Calibri" w:cs="Calibri"/>
          <w:noProof/>
          <w:lang w:eastAsia="es-AR"/>
        </w:rPr>
        <w:t>Desconectar el módulo cuando no se esté utilizando para evitar calentamientos innecesarios.</w:t>
      </w:r>
      <w:r w:rsidR="0033123C" w:rsidRPr="00DA296C">
        <w:rPr>
          <w:rFonts w:ascii="Calibri" w:eastAsia="Times New Roman" w:hAnsi="Calibri" w:cs="Calibri"/>
          <w:noProof/>
          <w:lang w:eastAsia="es-AR"/>
        </w:rPr>
        <w:br/>
      </w:r>
      <w:r w:rsidR="0033123C">
        <w:rPr>
          <w:rFonts w:ascii="Consolas" w:eastAsia="Times New Roman" w:hAnsi="Consolas" w:cs="Times New Roman"/>
          <w:noProof/>
          <w:color w:val="00979D"/>
          <w:lang w:eastAsia="es-AR"/>
        </w:rPr>
        <w:br/>
      </w:r>
      <w:bookmarkStart w:id="0" w:name="_GoBack"/>
      <w:bookmarkEnd w:id="0"/>
    </w:p>
    <w:p w:rsidR="0033123C" w:rsidRDefault="0033123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33123C" w:rsidRDefault="0033123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sectPr w:rsidR="0033123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5EF" w:rsidRDefault="002025EF" w:rsidP="00B546A6">
      <w:pPr>
        <w:spacing w:after="0" w:line="240" w:lineRule="auto"/>
      </w:pPr>
      <w:r>
        <w:separator/>
      </w:r>
    </w:p>
  </w:endnote>
  <w:endnote w:type="continuationSeparator" w:id="0">
    <w:p w:rsidR="002025EF" w:rsidRDefault="002025EF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A25D3" w:rsidRPr="007A25D3">
          <w:rPr>
            <w:noProof/>
            <w:lang w:val="es-ES"/>
          </w:rPr>
          <w:t>1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5EF" w:rsidRDefault="002025EF" w:rsidP="00B546A6">
      <w:pPr>
        <w:spacing w:after="0" w:line="240" w:lineRule="auto"/>
      </w:pPr>
      <w:r>
        <w:separator/>
      </w:r>
    </w:p>
  </w:footnote>
  <w:footnote w:type="continuationSeparator" w:id="0">
    <w:p w:rsidR="002025EF" w:rsidRDefault="002025EF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025EF"/>
    <w:rsid w:val="00212424"/>
    <w:rsid w:val="0022771D"/>
    <w:rsid w:val="00240E03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123C"/>
    <w:rsid w:val="0033576C"/>
    <w:rsid w:val="00352127"/>
    <w:rsid w:val="00385AE7"/>
    <w:rsid w:val="003A6BD5"/>
    <w:rsid w:val="003C7390"/>
    <w:rsid w:val="003E0D99"/>
    <w:rsid w:val="00403526"/>
    <w:rsid w:val="00436A8B"/>
    <w:rsid w:val="00442039"/>
    <w:rsid w:val="00475E85"/>
    <w:rsid w:val="00486A99"/>
    <w:rsid w:val="004B43E2"/>
    <w:rsid w:val="005202DD"/>
    <w:rsid w:val="0059180F"/>
    <w:rsid w:val="006148D5"/>
    <w:rsid w:val="006218AD"/>
    <w:rsid w:val="006C35D6"/>
    <w:rsid w:val="006D419A"/>
    <w:rsid w:val="00706059"/>
    <w:rsid w:val="00753597"/>
    <w:rsid w:val="007621B2"/>
    <w:rsid w:val="007A25D3"/>
    <w:rsid w:val="007A5C0F"/>
    <w:rsid w:val="007D1043"/>
    <w:rsid w:val="0081344E"/>
    <w:rsid w:val="0088553F"/>
    <w:rsid w:val="008A0FEB"/>
    <w:rsid w:val="008E4972"/>
    <w:rsid w:val="00904F3E"/>
    <w:rsid w:val="00A36566"/>
    <w:rsid w:val="00A64036"/>
    <w:rsid w:val="00AB17D2"/>
    <w:rsid w:val="00AC32F1"/>
    <w:rsid w:val="00AD2B07"/>
    <w:rsid w:val="00B15B8B"/>
    <w:rsid w:val="00B546A6"/>
    <w:rsid w:val="00B931E3"/>
    <w:rsid w:val="00BC3272"/>
    <w:rsid w:val="00BE2B92"/>
    <w:rsid w:val="00BF53C8"/>
    <w:rsid w:val="00BF7AB1"/>
    <w:rsid w:val="00C757B2"/>
    <w:rsid w:val="00D91107"/>
    <w:rsid w:val="00DA296C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41890"/>
    <w:rsid w:val="00F43D05"/>
    <w:rsid w:val="00F51AF9"/>
    <w:rsid w:val="00F80EF2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75CF-B211-4CE6-A86D-06A3D9B9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4</cp:revision>
  <dcterms:created xsi:type="dcterms:W3CDTF">2025-08-16T01:22:00Z</dcterms:created>
  <dcterms:modified xsi:type="dcterms:W3CDTF">2025-08-16T02:10:00Z</dcterms:modified>
</cp:coreProperties>
</file>