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E2761"/>
          <w:sz w:val="56"/>
          <w:szCs w:val="56"/>
        </w:rPr>
        <w:t xml:space="preserve">GuardIA GT</w:t>
      </w:r>
    </w:p>
    <w:p>
      <w:pPr>
        <w:spacing w:after="400"/>
        <w:jc w:val="center"/>
      </w:pPr>
      <w:r>
        <w:rPr>
          <w:b/>
          <w:bCs/>
          <w:color w:val="0F766E"/>
          <w:sz w:val="32"/>
          <w:szCs w:val="32"/>
        </w:rPr>
        <w:t xml:space="preserve">Documento de Costos e Ingresos Proyectados</w:t>
      </w:r>
    </w:p>
    <w:p>
      <w:pPr>
        <w:spacing w:after="800"/>
        <w:jc w:val="center"/>
      </w:pPr>
      <w:r>
        <w:rPr>
          <w:i/>
          <w:iCs/>
          <w:sz w:val="24"/>
          <w:szCs w:val="24"/>
        </w:rPr>
        <w:t xml:space="preserve">Plataforma de Ciberseguridad con IA para Guatemala y Centroamérica</w:t>
      </w:r>
    </w:p>
    <w:p>
      <w:pPr>
        <w:spacing w:after="3200"/>
        <w:jc w:val="center"/>
      </w:pPr>
      <w:r>
        <w:rPr>
          <w:color w:val="6B7280"/>
          <w:sz w:val="22"/>
          <w:szCs w:val="22"/>
        </w:rPr>
        <w:t xml:space="preserve">Versión: 1.0.0   |   Fecha: 27 de julio de 2026</w:t>
      </w:r>
    </w:p>
    <w:p>
      <w:pPr>
        <w:spacing w:after="80"/>
        <w:jc w:val="center"/>
      </w:pPr>
      <w:r>
        <w:rPr>
          <w:sz w:val="22"/>
          <w:szCs w:val="22"/>
        </w:rPr>
        <w:t xml:space="preserve">Maestría en Seguridad Informática</w:t>
      </w:r>
    </w:p>
    <w:p>
      <w:pPr>
        <w:spacing w:after="80"/>
        <w:jc w:val="center"/>
      </w:pPr>
      <w:r>
        <w:rPr>
          <w:sz w:val="22"/>
          <w:szCs w:val="22"/>
        </w:rPr>
        <w:t xml:space="preserve">Universidad Mariano Gálvez de Guatemala</w:t>
      </w:r>
    </w:p>
    <w:p>
      <w:pPr>
        <w:jc w:val="center"/>
      </w:pPr>
      <w:r>
        <w:rPr>
          <w:color w:val="6B7280"/>
          <w:sz w:val="22"/>
          <w:szCs w:val="22"/>
        </w:rPr>
        <w:t xml:space="preserve">Julio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Resumen Ejecutivo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GuardIA GT es una plataforma SaaS de gestión preventiva de riesgos cibernéticos con inteligencia artificial, diseñada para instituciones guatemaltecas y centroamericanas. Este documento presenta los costos operativos estimados y un modelo de ingresos proyectado para los primeros 3 años de operación.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Inversión inicial estimada: $0 – $150/mes (fase MVP)</w:t>
      </w:r>
    </w:p>
    <w:p>
      <w:pPr>
        <w:spacing w:after="80"/>
        <w:ind w:left="360"/>
      </w:pPr>
      <w:r>
        <w:rPr>
          <w:sz w:val="22"/>
          <w:szCs w:val="22"/>
        </w:rPr>
        <w:t xml:space="preserve">•  Punto de equilibrio: 5–10 clientes en plan básico</w:t>
      </w:r>
    </w:p>
    <w:p>
      <w:pPr>
        <w:spacing w:after="80"/>
        <w:ind w:left="360"/>
      </w:pPr>
      <w:r>
        <w:rPr>
          <w:sz w:val="22"/>
          <w:szCs w:val="22"/>
        </w:rPr>
        <w:t xml:space="preserve">•  Potencial de ingreso anual (Año 3): $50,000 – $120,000 USD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2. Análisis de Costos de Infraestructura</w:t>
      </w:r>
    </w:p>
    <w:p>
      <w:pPr>
        <w:pStyle w:val="Heading2"/>
        <w:spacing w:after="120" w:before="240"/>
      </w:pPr>
      <w:r>
        <w:t xml:space="preserve">2.1 Hosting y Cloud (Render.com)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100"/>
        <w:gridCol w:w="2100"/>
        <w:gridCol w:w="2000"/>
      </w:tblGrid>
      <w:tr>
        <w:trPr>
          <w:tblHeader/>
        </w:trPr>
        <w:tc>
          <w:tcPr>
            <w:tcW w:type="dxa" w:w="31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Actual (Gratuito)</w:t>
            </w:r>
          </w:p>
        </w:tc>
        <w:tc>
          <w:tcPr>
            <w:tcW w:type="dxa" w:w="2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Starter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Producción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 (Static Site)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$0/mes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$0/mes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$0/mes</w:t>
            </w:r>
          </w:p>
        </w:tc>
      </w:tr>
      <w:tr>
        <w:tc>
          <w:tcPr>
            <w:tcW w:type="dxa" w:w="3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(Web Service)</w:t>
            </w:r>
          </w:p>
        </w:tc>
        <w:tc>
          <w:tcPr>
            <w:tcW w:type="dxa" w:w="21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$0/mes</w:t>
            </w:r>
          </w:p>
        </w:tc>
        <w:tc>
          <w:tcPr>
            <w:tcW w:type="dxa" w:w="21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$7/mes (Starter)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$25/mes (Standard)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$0/mes (90 días)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$6/mes (Basic-256mb)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$19/mes (Basic-1gb)</w:t>
            </w:r>
          </w:p>
        </w:tc>
      </w:tr>
      <w:tr>
        <w:tc>
          <w:tcPr>
            <w:tcW w:type="dxa" w:w="3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Dominio personalizado</w:t>
            </w:r>
          </w:p>
        </w:tc>
        <w:tc>
          <w:tcPr>
            <w:tcW w:type="dxa" w:w="21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  <w:tc>
          <w:tcPr>
            <w:tcW w:type="dxa" w:w="21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$0.25/mes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$0.25/mes</w:t>
            </w:r>
          </w:p>
        </w:tc>
      </w:tr>
      <w:tr>
        <w:tc>
          <w:tcPr>
            <w:tcW w:type="dxa" w:w="31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infraestructura</w:t>
            </w:r>
          </w:p>
        </w:tc>
        <w:tc>
          <w:tcPr>
            <w:tcW w:type="dxa" w:w="21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$0/mes</w:t>
            </w:r>
          </w:p>
        </w:tc>
        <w:tc>
          <w:tcPr>
            <w:tcW w:type="dxa" w:w="21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$13.25/mes</w:t>
            </w:r>
          </w:p>
        </w:tc>
        <w:tc>
          <w:tcPr>
            <w:tcW w:type="dxa" w:w="2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$44.25/mes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Notas:</w:t>
      </w:r>
    </w:p>
    <w:p>
      <w:pPr>
        <w:spacing w:after="80"/>
        <w:ind w:left="360"/>
      </w:pPr>
      <w:r>
        <w:rPr>
          <w:sz w:val="22"/>
          <w:szCs w:val="22"/>
        </w:rPr>
        <w:t xml:space="preserve">•  Plan gratuito Render: la base de datos se elimina después de 90 días de inactividad.</w:t>
      </w:r>
    </w:p>
    <w:p>
      <w:pPr>
        <w:spacing w:after="80"/>
        <w:ind w:left="360"/>
      </w:pPr>
      <w:r>
        <w:rPr>
          <w:sz w:val="22"/>
          <w:szCs w:val="22"/>
        </w:rPr>
        <w:t xml:space="preserve">•  Plan Starter: suficiente para 1–10 clientes, ~100 activos escaneados.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 Plan Producción: para 10–50 clientes, alta disponibilidad.</w:t>
      </w:r>
    </w:p>
    <w:p>
      <w:pPr>
        <w:pStyle w:val="Heading2"/>
        <w:spacing w:after="120" w:before="240"/>
      </w:pPr>
      <w:r>
        <w:t xml:space="preserve">2.2 Servicios de IA (OpenAI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160"/>
        <w:gridCol w:w="200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GuardIA GT</w:t>
            </w:r>
          </w:p>
        </w:tc>
        <w:tc>
          <w:tcPr>
            <w:tcW w:type="dxa" w:w="21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por 1M tokens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 estimado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GPT-4.1 Mini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de vulnerabilidades, generación de reportes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$0.40 input / $1.60 output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$15-30/mes</w:t>
            </w:r>
          </w:p>
        </w:tc>
      </w:tr>
      <w:tr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GPT-4.1 Nano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Clasificación de severidad, routing</w:t>
            </w:r>
          </w:p>
        </w:tc>
        <w:tc>
          <w:tcPr>
            <w:tcW w:type="dxa" w:w="2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$0.10 input / $0.40 output</w:t>
            </w:r>
          </w:p>
        </w:tc>
        <w:tc>
          <w:tcPr>
            <w:tcW w:type="dxa" w:w="2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$5-10/mes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Búsqueda semántica de CVEs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$0.02/1M tokens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$1-3/mes</w:t>
            </w:r>
          </w:p>
        </w:tc>
      </w:tr>
      <w:tr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IA</w:t>
            </w:r>
          </w:p>
        </w:tc>
        <w:tc>
          <w:tcPr>
            <w:tcW w:type="dxa" w:w="34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$21-43/mes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Estimación de uso por cliente:</w:t>
      </w:r>
    </w:p>
    <w:p>
      <w:pPr>
        <w:spacing w:after="80"/>
        <w:ind w:left="360"/>
      </w:pPr>
      <w:r>
        <w:rPr>
          <w:sz w:val="22"/>
          <w:szCs w:val="22"/>
        </w:rPr>
        <w:t xml:space="preserve">•  500 peticiones IA/mes (análisis + reportes)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 ~2,000 tokens promedio por petición</w:t>
      </w:r>
    </w:p>
    <w:p>
      <w:pPr>
        <w:spacing w:after="80"/>
        <w:ind w:left="360"/>
      </w:pPr>
      <w:r>
        <w:rPr>
          <w:sz w:val="22"/>
          <w:szCs w:val="22"/>
        </w:rPr>
        <w:t xml:space="preserve">•  50 clientes = 25,000 peticiones/mes = ~50M tokens/mes</w:t>
      </w:r>
    </w:p>
    <w:p>
      <w:pPr>
        <w:pStyle w:val="Heading2"/>
        <w:spacing w:after="120" w:before="240"/>
      </w:pPr>
      <w:r>
        <w:t xml:space="preserve">2.3 Herramientas de Escaneo (Integración Futura)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200"/>
        <w:gridCol w:w="2200"/>
      </w:tblGrid>
      <w:tr>
        <w:trPr>
          <w:tblHeader/>
        </w:trPr>
        <w:tc>
          <w:tcPr>
            <w:tcW w:type="dxa" w:w="39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Licencia</w:t>
            </w:r>
          </w:p>
        </w:tc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OpenVAS (open source)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GNU GPL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Nmap (open source)</w:t>
            </w:r>
          </w:p>
        </w:tc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GNU GPL</w:t>
            </w:r>
          </w:p>
        </w:tc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Nessus Essentials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Gratis (hasta 16 IPs)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Nessus Professional</w:t>
            </w:r>
          </w:p>
        </w:tc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$299/mes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Wazuh (open source)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GNU GPL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Shodan API</w:t>
            </w:r>
          </w:p>
        </w:tc>
        <w:tc>
          <w:tcPr>
            <w:tcW w:type="dxa" w:w="3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22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$49/mes (Small)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Recomendación para MVP: OpenVAS + Nmap (gratuitos).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Para producción: Nessus Professional + Shodan ($348/mes).</w:t>
      </w:r>
    </w:p>
    <w:p>
      <w:pPr>
        <w:pStyle w:val="Heading2"/>
        <w:spacing w:after="120" w:before="240"/>
      </w:pPr>
      <w:r>
        <w:t xml:space="preserve">2.4 Otros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Certificado SSL (Let's Encrypt)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 (gratuito)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transaccional (SendGrid)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 (plan gratis: 100/día)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Monitoreo (UptimeRobot)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 (plan gratis)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Backups automáticos (Render)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Incluido en plan pago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otros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$0/mes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3. Resumen de Costos Operativos Mensuales</w:t>
      </w:r>
    </w:p>
    <w:p>
      <w:pPr>
        <w:pStyle w:val="Heading2"/>
        <w:spacing w:after="120" w:before="240"/>
      </w:pPr>
      <w:r>
        <w:t xml:space="preserve">Escenario 1: MVP / Prototipo (0-5 clientes)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Infraestructura (Render Free)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IA (OpenAI - uso mínimo)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Escaneo (OpenVAS + Nmap)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Dominio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$0.25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$10.25/mes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Escenario 2: Fase de Crecimiento (5-25 clientes)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Infraestructura (Render Starter)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$13.25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IA (OpenAI - uso moderado)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Escaneo (OpenVAS + Nmap)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(SendGrid Free)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Dominio + SSL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$0.25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$43.50/mes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Escenario 3: Producción (25-100 clientes)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Infraestructura (Render Standard)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$44.25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IA (OpenAI - uso alto)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$80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Escaneo (Nessus Pro + Shodan)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$348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(SendGrid Essentials)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Soporte técnico (freelance)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$200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Dominio + SSL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$0.25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$692.50/mes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Escenario 4: Escalamiento (100-500 clientes)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Infraestructura (AWS/GCP)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$500-1,500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IA (OpenAI - uso masivo)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$300-500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Herramientas de escaneo (enterprise)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$500-1,000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técnico (2 personas)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$2,000-4,000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 digital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$500-1,000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Legal / Contabilidad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$300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$4,100-8,300/mes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4. Modelo de Ingresos</w:t>
      </w:r>
    </w:p>
    <w:p>
      <w:pPr>
        <w:pStyle w:val="Heading2"/>
        <w:spacing w:after="120" w:before="240"/>
      </w:pPr>
      <w:r>
        <w:t xml:space="preserve">4.1 Estructura de Precios Sugerida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Basado en el mercado de ciberseguridad en Guatemala y Latinoamérica: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360"/>
        <w:gridCol w:w="340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Mensual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Anual (20% desc.)</w:t>
            </w:r>
          </w:p>
        </w:tc>
        <w:tc>
          <w:tcPr>
            <w:tcW w:type="dxa" w:w="3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Básico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$49/mes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$470/año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PyMEs (1-25 activos)</w:t>
            </w:r>
          </w:p>
        </w:tc>
      </w:tr>
      <w:tr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Profesional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$149/mes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$1,430/año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Empresas medianas (26-100 activos)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Empresarial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$399/mes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$3,830/año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Grandes empresas (101-500 activos)</w:t>
            </w:r>
          </w:p>
        </w:tc>
      </w:tr>
      <w:tr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Institucional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$799/mes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$7,670/año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Gobierno / Bancos (500+ activos)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4.2 Comparativa con Competencia Regional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00"/>
        <w:gridCol w:w="1900"/>
        <w:gridCol w:w="3400"/>
      </w:tblGrid>
      <w:tr>
        <w:trPr>
          <w:tblHeader/>
        </w:trPr>
        <w:tc>
          <w:tcPr>
            <w:tcW w:type="dxa" w:w="21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Precio/Mes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GuardIA GT vs Competencia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Sophos MDR (BITSO GT)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$12-15/endpoint/mes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endpoint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 GT: $2-6/activo/mes (50% más barato)</w:t>
            </w:r>
          </w:p>
        </w:tc>
      </w:tr>
      <w:tr>
        <w:tc>
          <w:tcPr>
            <w:tcW w:type="dxa" w:w="2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ESET PROTECT Complete</w:t>
            </w:r>
          </w:p>
        </w:tc>
        <w:tc>
          <w:tcPr>
            <w:tcW w:type="dxa" w:w="1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$8-12/endpoint/mes</w:t>
            </w:r>
          </w:p>
        </w:tc>
        <w:tc>
          <w:tcPr>
            <w:tcW w:type="dxa" w:w="1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endpoint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 GT: Incluye IA + cumplimiento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ResGuard LATAM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$250-599/mes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plataforma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 GT: Más completo, precio similar</w:t>
            </w:r>
          </w:p>
        </w:tc>
      </w:tr>
      <w:tr>
        <w:tc>
          <w:tcPr>
            <w:tcW w:type="dxa" w:w="2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MDR Providers (promedio)</w:t>
            </w:r>
          </w:p>
        </w:tc>
        <w:tc>
          <w:tcPr>
            <w:tcW w:type="dxa" w:w="1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$8-20/endpoint/mes</w:t>
            </w:r>
          </w:p>
        </w:tc>
        <w:tc>
          <w:tcPr>
            <w:tcW w:type="dxa" w:w="19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endpoint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 GT: Solución integral</w:t>
            </w:r>
          </w:p>
        </w:tc>
      </w:tr>
      <w:tr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SOC Propio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$8,000-15,000/mes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+ herramientas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 GT: 95% más barato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Ventaja competitiva de GuardIA GT:</w:t>
      </w:r>
    </w:p>
    <w:p>
      <w:pPr>
        <w:spacing w:after="80"/>
        <w:ind w:left="360"/>
      </w:pPr>
      <w:r>
        <w:rPr>
          <w:sz w:val="22"/>
          <w:szCs w:val="22"/>
        </w:rPr>
        <w:t xml:space="preserve">•  Solución todo-en-uno (vulnerabilidades + cumplimiento + IA)</w:t>
      </w:r>
    </w:p>
    <w:p>
      <w:pPr>
        <w:spacing w:after="80"/>
        <w:ind w:left="360"/>
      </w:pPr>
      <w:r>
        <w:rPr>
          <w:sz w:val="22"/>
          <w:szCs w:val="22"/>
        </w:rPr>
        <w:t xml:space="preserve">•  Precio fijo por plataforma (no por endpoint)</w:t>
      </w:r>
    </w:p>
    <w:p>
      <w:pPr>
        <w:spacing w:after="80"/>
        <w:ind w:left="360"/>
      </w:pPr>
      <w:r>
        <w:rPr>
          <w:sz w:val="22"/>
          <w:szCs w:val="22"/>
        </w:rPr>
        <w:t xml:space="preserve">•  Enfocado en regulaciones guatemaltecas</w:t>
      </w:r>
    </w:p>
    <w:p>
      <w:pPr>
        <w:spacing w:after="80"/>
        <w:ind w:left="360"/>
      </w:pPr>
      <w:r>
        <w:rPr>
          <w:sz w:val="22"/>
          <w:szCs w:val="22"/>
        </w:rPr>
        <w:t xml:space="preserve">•  IA predictiva incluida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Interfaz en español</w:t>
      </w:r>
    </w:p>
    <w:p>
      <w:pPr>
        <w:pStyle w:val="Heading2"/>
        <w:spacing w:after="120" w:before="240"/>
      </w:pPr>
      <w:r>
        <w:t xml:space="preserve">4.3 Fuentes de Ingreso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4000"/>
        <w:gridCol w:w="3000"/>
      </w:tblGrid>
      <w:tr>
        <w:trPr>
          <w:tblHeader/>
        </w:trPr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4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Estimado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Consultoría de implementación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Setup inicial + capacitación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$500-2,000/cliente (único)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Reportes personalizados</w:t>
            </w:r>
          </w:p>
        </w:tc>
        <w:tc>
          <w:tcPr>
            <w:tcW w:type="dxa" w:w="4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avanzados bajo demanda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$100-500/reporte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Integraciones API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Conectar con SIEM/CRM del cliente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$200-1,000/integración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Capacitación certificada</w:t>
            </w:r>
          </w:p>
        </w:tc>
        <w:tc>
          <w:tcPr>
            <w:tcW w:type="dxa" w:w="4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Cursos de ciberseguridad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$50-200/persona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Soporte premium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SLA 24/7 + tiempo de respuesta garantizado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$100-300/mes extra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White-label</w:t>
            </w:r>
          </w:p>
        </w:tc>
        <w:tc>
          <w:tcPr>
            <w:tcW w:type="dxa" w:w="4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 para MSPs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$2,000-5,000/mes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5. Proyecciones de Ingresos (3 Años)</w:t>
      </w:r>
    </w:p>
    <w:p>
      <w:pPr>
        <w:pStyle w:val="Heading2"/>
        <w:spacing w:after="120" w:before="240"/>
      </w:pPr>
      <w:r>
        <w:t xml:space="preserve">Año 1: Fase de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60"/>
        <w:gridCol w:w="2360"/>
        <w:gridCol w:w="2280"/>
      </w:tblGrid>
      <w:tr>
        <w:trPr>
          <w:tblHeader/>
        </w:trPr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Mensual</w:t>
            </w:r>
          </w:p>
        </w:tc>
        <w:tc>
          <w:tcPr>
            <w:tcW w:type="dxa" w:w="22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Trimestral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$147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$441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$392</w:t>
            </w:r>
          </w:p>
        </w:tc>
        <w:tc>
          <w:tcPr>
            <w:tcW w:type="dxa" w:w="228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$1,176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$735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$2,205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$1,225</w:t>
            </w:r>
          </w:p>
        </w:tc>
        <w:tc>
          <w:tcPr>
            <w:tcW w:type="dxa" w:w="228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$3,675</w:t>
            </w:r>
          </w:p>
        </w:tc>
      </w:tr>
      <w:tr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Año 1</w:t>
            </w:r>
          </w:p>
        </w:tc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$7,497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Supuestos:</w:t>
      </w:r>
    </w:p>
    <w:p>
      <w:pPr>
        <w:spacing w:after="80"/>
        <w:ind w:left="360"/>
      </w:pPr>
      <w:r>
        <w:rPr>
          <w:sz w:val="22"/>
          <w:szCs w:val="22"/>
        </w:rPr>
        <w:t xml:space="preserve">•  70% Plan Básico ($49), 25% Profesional ($149), 5% Empresarial ($399)</w:t>
      </w:r>
    </w:p>
    <w:p>
      <w:pPr>
        <w:spacing w:after="80"/>
        <w:ind w:left="360"/>
      </w:pPr>
      <w:r>
        <w:rPr>
          <w:sz w:val="22"/>
          <w:szCs w:val="22"/>
        </w:rPr>
        <w:t xml:space="preserve">•  Adquisición de 2-3 clientes/mes orgánico</w:t>
      </w:r>
    </w:p>
    <w:p>
      <w:pPr>
        <w:spacing w:after="80"/>
        <w:ind w:left="360"/>
      </w:pPr>
      <w:r>
        <w:rPr>
          <w:sz w:val="22"/>
          <w:szCs w:val="22"/>
        </w:rPr>
        <w:t xml:space="preserve">•  Sin inversión en marketing pagado</w:t>
      </w:r>
    </w:p>
    <w:p>
      <w:pPr>
        <w:pStyle w:val="Heading2"/>
        <w:spacing w:after="120" w:before="240"/>
      </w:pPr>
      <w:r>
        <w:t xml:space="preserve">Año 2: Fase de Crecimiento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60"/>
        <w:gridCol w:w="2360"/>
        <w:gridCol w:w="2280"/>
      </w:tblGrid>
      <w:tr>
        <w:trPr>
          <w:tblHeader/>
        </w:trPr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Mensual</w:t>
            </w:r>
          </w:p>
        </w:tc>
        <w:tc>
          <w:tcPr>
            <w:tcW w:type="dxa" w:w="22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Trimestral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$1,960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$5,880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65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$3,185</w:t>
            </w:r>
          </w:p>
        </w:tc>
        <w:tc>
          <w:tcPr>
            <w:tcW w:type="dxa" w:w="228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$9,555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$4,410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$13,230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$5,880</w:t>
            </w:r>
          </w:p>
        </w:tc>
        <w:tc>
          <w:tcPr>
            <w:tcW w:type="dxa" w:w="228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$17,640</w:t>
            </w:r>
          </w:p>
        </w:tc>
      </w:tr>
      <w:tr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Año 2</w:t>
            </w:r>
          </w:p>
        </w:tc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$46,305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Supuestos:</w:t>
      </w:r>
    </w:p>
    <w:p>
      <w:pPr>
        <w:spacing w:after="80"/>
        <w:ind w:left="360"/>
      </w:pPr>
      <w:r>
        <w:rPr>
          <w:sz w:val="22"/>
          <w:szCs w:val="22"/>
        </w:rPr>
        <w:t xml:space="preserve">•  60% Básico, 30% Profesional, 10% Empresarial/Institucional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Inversión en marketing: $500/mes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2 consultorías de implementación/mes ($1,000 c/u)</w:t>
      </w:r>
    </w:p>
    <w:p>
      <w:pPr>
        <w:pStyle w:val="Heading2"/>
        <w:spacing w:after="120" w:before="240"/>
      </w:pPr>
      <w:r>
        <w:t xml:space="preserve">Año 3: Fase de Escalamiento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60"/>
        <w:gridCol w:w="2360"/>
        <w:gridCol w:w="2280"/>
      </w:tblGrid>
      <w:tr>
        <w:trPr>
          <w:tblHeader/>
        </w:trPr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Trimestre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2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Mensual</w:t>
            </w:r>
          </w:p>
        </w:tc>
        <w:tc>
          <w:tcPr>
            <w:tcW w:type="dxa" w:w="228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Trimestral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Q1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$7,840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$23,520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Q2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$10,780</w:t>
            </w:r>
          </w:p>
        </w:tc>
        <w:tc>
          <w:tcPr>
            <w:tcW w:type="dxa" w:w="228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$32,340</w:t>
            </w:r>
          </w:p>
        </w:tc>
      </w:tr>
      <w:tr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Q3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$14,700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$44,100</w:t>
            </w:r>
          </w:p>
        </w:tc>
      </w:tr>
      <w:tr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Q4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2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$19,600</w:t>
            </w:r>
          </w:p>
        </w:tc>
        <w:tc>
          <w:tcPr>
            <w:tcW w:type="dxa" w:w="228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$58,800</w:t>
            </w:r>
          </w:p>
        </w:tc>
      </w:tr>
      <w:tr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Año 3</w:t>
            </w:r>
          </w:p>
        </w:tc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$158,760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Supuestos:</w:t>
      </w:r>
    </w:p>
    <w:p>
      <w:pPr>
        <w:spacing w:after="80"/>
        <w:ind w:left="360"/>
      </w:pPr>
      <w:r>
        <w:rPr>
          <w:sz w:val="22"/>
          <w:szCs w:val="22"/>
        </w:rPr>
        <w:t xml:space="preserve">•  50% Básico, 30% Profesional, 15% Empresarial, 5% Institucional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Ingreso por consultoría: $3,000/mes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Ingreso por reportes custom: $1,000/mes</w:t>
      </w:r>
    </w:p>
    <w:p>
      <w:pPr>
        <w:pStyle w:val="Heading1"/>
        <w:spacing w:after="160" w:before="320"/>
      </w:pPr>
      <w:r>
        <w:t xml:space="preserve">6. Análisis de Rentabilidad</w:t>
      </w:r>
    </w:p>
    <w:p>
      <w:pPr>
        <w:pStyle w:val="Heading2"/>
        <w:spacing w:after="120" w:before="240"/>
      </w:pPr>
      <w:r>
        <w:t xml:space="preserve">Estado de Resultados Proyectado (3 Años)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 1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 2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Año 3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Ingresos por suscripciones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$7,497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$46,305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$158,760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Ingresos por servicios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$2,000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$18,000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$48,000</w:t>
            </w:r>
          </w:p>
        </w:tc>
      </w:tr>
      <w:tr>
        <w:tc>
          <w:tcPr>
            <w:tcW w:type="dxa" w:w="39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Ingresos totales</w:t>
            </w:r>
          </w:p>
        </w:tc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$9,497</w:t>
            </w:r>
          </w:p>
        </w:tc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$64,305</w:t>
            </w:r>
          </w:p>
        </w:tc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$206,760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de infraestructura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($522)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($2,400)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($12,000)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de IA (OpenAI)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($360)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($2,400)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($6,000)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de herramientas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($0)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($4,200)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($12,000)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de personal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($0)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($12,000)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($48,000)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($0)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($6,000)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($12,000)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Operativos (legal, contab.)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($1,200)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($3,600)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($6,000)</w:t>
            </w:r>
          </w:p>
        </w:tc>
      </w:tr>
      <w:tr>
        <w:tc>
          <w:tcPr>
            <w:tcW w:type="dxa" w:w="39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Costos totales</w:t>
            </w:r>
          </w:p>
        </w:tc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($2,082)</w:t>
            </w:r>
          </w:p>
        </w:tc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($30,600)</w:t>
            </w:r>
          </w:p>
        </w:tc>
        <w:tc>
          <w:tcPr>
            <w:tcW w:type="dxa" w:w="18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($96,000)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Utilidad Bruta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$7,415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$33,705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$110,760</w:t>
            </w:r>
          </w:p>
        </w:tc>
      </w:tr>
      <w:tr>
        <w:tc>
          <w:tcPr>
            <w:tcW w:type="dxa" w:w="39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78%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52%</w:t>
            </w:r>
          </w:p>
        </w:tc>
        <w:tc>
          <w:tcPr>
            <w:tcW w:type="dxa" w:w="18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54%</w:t>
            </w:r>
          </w:p>
        </w:tc>
      </w:tr>
      <w:tr>
        <w:tc>
          <w:tcPr>
            <w:tcW w:type="dxa" w:w="3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Utilidad Neta (antes de impuestos)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$7,415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$33,705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$110,760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Punto de Equilibrio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 Necesarios</w:t>
            </w:r>
          </w:p>
        </w:tc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Ingreso Mensual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mínimos ($10/mes)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cliente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$49/mes</w:t>
            </w:r>
          </w:p>
        </w:tc>
      </w:tr>
      <w:tr>
        <w:tc>
          <w:tcPr>
            <w:tcW w:type="dxa" w:w="4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medios ($44/mes)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cliente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$49/mes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de producción ($693/mes)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clientes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$245/mes</w:t>
            </w:r>
          </w:p>
        </w:tc>
      </w:tr>
      <w:tr>
        <w:tc>
          <w:tcPr>
            <w:tcW w:type="dxa" w:w="4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 1 empleado ($2,693/mes)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clientes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$980/mes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7. Estrategia de Pricing por Mercado</w:t>
      </w:r>
    </w:p>
    <w:p>
      <w:pPr>
        <w:pStyle w:val="Heading2"/>
        <w:spacing w:after="120" w:before="240"/>
      </w:pPr>
      <w:r>
        <w:t xml:space="preserve">Guatemala (Mercado Primario)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Sugerido</w:t>
            </w:r>
          </w:p>
        </w:tc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 Potenciales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Pirámide empresarial (500 empresas)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$49-149/mes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50-100</w:t>
            </w:r>
          </w:p>
        </w:tc>
      </w:tr>
      <w:tr>
        <w:tc>
          <w:tcPr>
            <w:tcW w:type="dxa" w:w="4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Bancario (16 bancos)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$399-799/mes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5-10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Gobierno (ministerios)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$799/mes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10-15</w:t>
            </w:r>
          </w:p>
        </w:tc>
      </w:tr>
      <w:tr>
        <w:tc>
          <w:tcPr>
            <w:tcW w:type="dxa" w:w="4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Universidades (85+)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$149-399/mes</w:t>
            </w:r>
          </w:p>
        </w:tc>
        <w:tc>
          <w:tcPr>
            <w:tcW w:type="dxa" w:w="25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10-20</w:t>
            </w:r>
          </w:p>
        </w:tc>
      </w:tr>
      <w:tr>
        <w:tc>
          <w:tcPr>
            <w:tcW w:type="dxa" w:w="4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PyMEs (10,000+)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$49/mes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100-500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Centroamérica (Expansión)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600"/>
        <w:gridCol w:w="3600"/>
      </w:tblGrid>
      <w:tr>
        <w:trPr>
          <w:tblHeader/>
        </w:trPr>
        <w:tc>
          <w:tcPr>
            <w:tcW w:type="dxa" w:w="31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Ajustado</w:t>
            </w:r>
          </w:p>
        </w:tc>
        <w:tc>
          <w:tcPr>
            <w:tcW w:type="dxa" w:w="3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Mercado Objetivo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Salvador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$49-399/mes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central + empresas tech</w:t>
            </w:r>
          </w:p>
        </w:tc>
      </w:tr>
      <w:tr>
        <w:tc>
          <w:tcPr>
            <w:tcW w:type="dxa" w:w="3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Honduras</w:t>
            </w:r>
          </w:p>
        </w:tc>
        <w:tc>
          <w:tcPr>
            <w:tcW w:type="dxa" w:w="2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$39-299/mes</w:t>
            </w:r>
          </w:p>
        </w:tc>
        <w:tc>
          <w:tcPr>
            <w:tcW w:type="dxa" w:w="3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bananero + textil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Costa Rica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$59-499/mes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turismo + tech</w:t>
            </w:r>
          </w:p>
        </w:tc>
      </w:tr>
      <w:tr>
        <w:tc>
          <w:tcPr>
            <w:tcW w:type="dxa" w:w="31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Panamá</w:t>
            </w:r>
          </w:p>
        </w:tc>
        <w:tc>
          <w:tcPr>
            <w:tcW w:type="dxa" w:w="2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$69-599/mes</w:t>
            </w:r>
          </w:p>
        </w:tc>
        <w:tc>
          <w:tcPr>
            <w:tcW w:type="dxa" w:w="3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Sector financiero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Análisis de ROI para el Cliente</w:t>
      </w:r>
    </w:p>
    <w:p>
      <w:pPr>
        <w:pStyle w:val="Heading2"/>
        <w:spacing w:after="120" w:before="240"/>
      </w:pPr>
      <w:r>
        <w:t xml:space="preserve">Caso: Empresa Guatemalteca (50 empleados, 30 activos)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Costo sin GuardIA 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SOC propio (3 analistas)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$4,500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Herramientas SIEM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$800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Auditoría anual (dividido/mes)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$500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Incidentes no detectados (estimado)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$2,000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$7,800/mes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Costo con GuardIA 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Profesional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$149</w:t>
            </w:r>
          </w:p>
        </w:tc>
      </w:tr>
      <w:tr>
        <w:tc>
          <w:tcPr>
            <w:tcW w:type="dxa" w:w="63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Implementación (amortizada 12 meses)</w:t>
            </w:r>
          </w:p>
        </w:tc>
        <w:tc>
          <w:tcPr>
            <w:tcW w:type="dxa" w:w="30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$83</w:t>
            </w:r>
          </w:p>
        </w:tc>
      </w:tr>
      <w:tr>
        <w:tc>
          <w:tcPr>
            <w:tcW w:type="dxa" w:w="636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000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$232/mes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Ahorro: $7,568/mes (97% de reducción)</w:t>
      </w:r>
    </w:p>
    <w:p>
      <w:pPr>
        <w:spacing w:after="160"/>
        <w:jc w:val="both"/>
      </w:pPr>
      <w:r>
        <w:rPr>
          <w:b/>
          <w:bCs/>
          <w:i w:val="false"/>
          <w:iCs w:val="false"/>
          <w:sz w:val="22"/>
          <w:szCs w:val="22"/>
        </w:rPr>
        <w:t xml:space="preserve">ROI: 3,262% anual</w:t>
      </w:r>
    </w:p>
    <w:p>
      <w:pPr>
        <w:pStyle w:val="Heading1"/>
        <w:spacing w:after="160" w:before="320"/>
      </w:pPr>
      <w:r>
        <w:t xml:space="preserve">9. Factores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00"/>
        <w:gridCol w:w="1600"/>
        <w:gridCol w:w="3400"/>
      </w:tblGrid>
      <w:tr>
        <w:trPr>
          <w:tblHeader/>
        </w:trPr>
        <w:tc>
          <w:tcPr>
            <w:tcW w:type="dxa" w:w="276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Adopción lenta del mercado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Pilotos gratuitos, demos</w:t>
            </w:r>
          </w:p>
        </w:tc>
      </w:tr>
      <w:tr>
        <w:tc>
          <w:tcPr>
            <w:tcW w:type="dxa" w:w="27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Competencia de Sophos/ESET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Diferenciación con IA + precio</w:t>
            </w:r>
          </w:p>
        </w:tc>
      </w:tr>
      <w:tr>
        <w:tc>
          <w:tcPr>
            <w:tcW w:type="dxa" w:w="2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Dependencia de OpenAI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Medio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open source (Llama)</w:t>
            </w:r>
          </w:p>
        </w:tc>
      </w:tr>
      <w:tr>
        <w:tc>
          <w:tcPr>
            <w:tcW w:type="dxa" w:w="27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Regulación de datos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Cumplimiento LGPD-GT</w:t>
            </w:r>
          </w:p>
        </w:tc>
      </w:tr>
      <w:tr>
        <w:tc>
          <w:tcPr>
            <w:tcW w:type="dxa" w:w="2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Costos de infraestructura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Escalar gradualmente</w:t>
            </w:r>
          </w:p>
        </w:tc>
      </w:tr>
      <w:tr>
        <w:tc>
          <w:tcPr>
            <w:tcW w:type="dxa" w:w="276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Rotación de clientes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3400"/>
            <w:shd w:fill="EEF2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Fidelización + valor demostrado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10. Recomendaciones</w:t>
      </w:r>
    </w:p>
    <w:p>
      <w:pPr>
        <w:pStyle w:val="Heading2"/>
        <w:spacing w:after="120" w:before="240"/>
      </w:pPr>
      <w:r>
        <w:t xml:space="preserve">Para la Tesis (Fase Actual)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Mantener en Render Free durante la presentación ($0 costos)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Enfocar el pitch en el ahorro vs SOC propio (97% reducción)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Demostrar datos reales con integración a OpenVAS/Nmap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Documentar la arquitectura como ventaja técnica</w:t>
      </w:r>
    </w:p>
    <w:p>
      <w:pPr>
        <w:pStyle w:val="Heading2"/>
        <w:spacing w:after="120" w:before="240"/>
      </w:pPr>
      <w:r>
        <w:t xml:space="preserve">Para la Producción (Post-Tesis)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Migrar a Render Starter ($13.25/mes) cuando haya 3+ clientes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Integrar OpenVAS como primer escáner gratuito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Crear plan gratuito limitado (5 activos, 1 usuario) para adquisición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Establecer alianzas con BITSO, G&amp;K, Intecap para distribución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Obtener certificación en seguridad informática (ISO 27001 propio)</w:t>
      </w:r>
    </w:p>
    <w:p>
      <w:pPr>
        <w:spacing w:after="160"/>
      </w:pPr>
    </w:p>
    <w:p>
      <w:pPr>
        <w:pStyle w:val="Heading2"/>
        <w:spacing w:after="120" w:before="240"/>
      </w:pPr>
      <w:r>
        <w:t xml:space="preserve">Para el Escalamiento (12-24 meses)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Migrar a AWS/GCP para alta disponibilidad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Contratar equipo de ventas (2 personas)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Expandir a El Salvador y Costa Rica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Desarrollar módulo de cumplimiento fiscal (SAT, SEGEFOR)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Obtener inversión seed ($50,000-100,000)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11. Conclusión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GuardIA GT tiene un modelo de negocio altamente rentable con costos operativos bajos ($10-700/mes según escala) y un mercado addressable de $5-15 millones anuales solo en Guatemala.</w:t>
      </w:r>
    </w:p>
    <w:p>
      <w:pPr>
        <w:spacing w:after="160"/>
      </w:pPr>
      <w:r>
        <w:rPr>
          <w:i/>
          <w:iCs/>
          <w:color w:val="6B7280"/>
          <w:sz w:val="20"/>
          <w:szCs w:val="20"/>
        </w:rPr>
        <w:t xml:space="preserve">Cifras clave:</w:t>
      </w:r>
    </w:p>
    <w:p>
      <w:pPr>
        <w:spacing w:after="80"/>
        <w:ind w:left="360"/>
      </w:pPr>
      <w:r>
        <w:rPr>
          <w:sz w:val="22"/>
          <w:szCs w:val="22"/>
        </w:rPr>
        <w:t xml:space="preserve">•  Costo MVP: $10/mes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Primer cliente rentable: 1 cliente a $49/mes</w:t>
      </w:r>
    </w:p>
    <w:p>
      <w:pPr>
        <w:spacing w:after="80"/>
        <w:ind w:left="360"/>
      </w:pPr>
      <w:r>
        <w:rPr>
          <w:sz w:val="22"/>
          <w:szCs w:val="22"/>
        </w:rPr>
        <w:t xml:space="preserve">•  Ingreso proyectado Año 3: $206,760</w:t>
      </w:r>
    </w:p>
    <w:p>
      <w:pPr>
        <w:spacing w:after="80"/>
        <w:ind w:left="360"/>
      </w:pPr>
      <w:r>
        <w:rPr>
          <w:sz w:val="22"/>
          <w:szCs w:val="22"/>
        </w:rPr>
        <w:t xml:space="preserve">•  Margen bruto esperado: 52-78%</w:t>
      </w:r>
    </w:p>
    <w:p>
      <w:pPr>
        <w:spacing w:after="80"/>
        <w:ind w:left="360"/>
      </w:pPr>
      <w:r>
        <w:rPr>
          <w:sz w:val="22"/>
          <w:szCs w:val="22"/>
        </w:rPr>
        <w:t xml:space="preserve">•  ROI para clientes: 3,000%+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plataforma está posicionada como la primera solución de ciberseguridad con IA enfocada en el mercado guatemalteco, con ventaja significativa en precio y funcionalidad frente a competidores internacionales.</w:t>
      </w:r>
    </w:p>
    <w:p>
      <w:pPr>
        <w:pBdr>
          <w:bottom w:val="single" w:color="CBD5E1" w:sz="6" w:space="1"/>
        </w:pBdr>
        <w:spacing w:after="24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Documento preparado para la Maestría en Seguridad Informática — Universidad Mariano Gálvez de Guatemala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Julio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2026-07-29T17:12:20.635Z</dcterms:created>
  <dcterms:modified xsi:type="dcterms:W3CDTF">2026-07-29T17:12:20.636Z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