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How marketing companies are actually marketing in the AI era</w:t>
      </w:r>
    </w:p>
    <w:p>
      <w:pPr>
        <w:pStyle w:val="MdParagraph"/>
      </w:pPr>
      <w:r>
        <w:t xml:space="preserve">Most marketing companies are not finding a magic new AI channel. They are putting AI into the same local-growth loop: show up where a homeowner looks, answer immediately, capture the job details, book or quote, follow up, ask for a real review, and use the record to market the next visit. The durable advantage is still operational: </w:t>
      </w:r>
      <w:r>
        <w:rPr>
          <w:rStyle w:val="MdStrong"/>
          <w:b/>
          <w:bCs/>
        </w:rPr>
        <w:t xml:space="preserve">being easier to reach and easier to trust than the next company</w:t>
      </w:r>
      <w:r>
        <w:t xml:space="preserve">.</w:t>
      </w:r>
    </w:p>
    <w:p>
      <w:pPr>
        <w:pStyle w:val="MdSpace"/>
        <w:spacing w:before="0" w:after="60"/>
      </w:pPr>
    </w:p>
    <w:p>
      <w:pPr>
        <w:pStyle w:val="MdParagraph"/>
      </w:pPr>
      <w:r>
        <w:t xml:space="preserve">The AI part is real, but uneven. </w:t>
      </w:r>
      <w:r>
        <w:rPr>
          <w:rStyle w:val="MdStrong"/>
          <w:b/>
          <w:bCs/>
        </w:rPr>
        <w:t xml:space="preserve">GEO/AEO</w:t>
      </w:r>
      <w:r>
        <w:t xml:space="preserve"> is agency shorthand for trying to have a business appear as a cited source or recommendation in AI-generated answers. It is not a separate Google ranking product. Google’s own current guidance says there are no special requirements, special schema, or special “AI files” needed for AI Overviews or AI Mode; normal search fundamentals still apply. </w:t>
      </w:r>
      <w:hyperlink w:history="1" r:id="rId1hcorjuisw1jchrbdwqgp">
        <w:r>
          <w:rPr>
            <w:rStyle w:val="MdLink"/>
          </w:rPr>
          <w:t xml:space="preserve">1</w:t>
        </w:r>
      </w:hyperlink>
    </w:p>
    <w:p>
      <w:pPr>
        <w:pStyle w:val="MdSpace"/>
        <w:spacing w:before="0" w:after="60"/>
      </w:pPr>
    </w:p>
    <w:p>
      <w:pPr>
        <w:pStyle w:val="MdParagraph"/>
      </w:pPr>
      <w:r>
        <w:rPr>
          <w:rStyle w:val="MdStrong"/>
          <w:b/>
          <w:bCs/>
        </w:rPr>
        <w:t xml:space="preserve">How to read the evidence:</w:t>
      </w:r>
      <w:r>
        <w:t xml:space="preserve"> </w:t>
      </w:r>
      <w:r>
        <w:rPr>
          <w:rStyle w:val="MdStrong"/>
          <w:b/>
          <w:bCs/>
        </w:rPr>
        <w:t xml:space="preserve">[vendor survey]</w:t>
      </w:r>
      <w:r>
        <w:t xml:space="preserve"> means a study produced by a company that sells marketing software or services. </w:t>
      </w:r>
      <w:r>
        <w:rPr>
          <w:rStyle w:val="MdStrong"/>
          <w:b/>
          <w:bCs/>
        </w:rPr>
        <w:t xml:space="preserve">[vendor claim]</w:t>
      </w:r>
      <w:r>
        <w:t xml:space="preserve"> means a platform or seller reporting its own results or prices. Those can be useful for costs and direction, but they are not independent proof that a tactic will produce calls for a pest-control, plumbing, HVAC, roofing, or lawn-care company.</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What agencies are selling in 2026</w:t>
            </w:r>
          </w:p>
        </w:tc>
        <w:tc>
          <w:tcPr>
            <w:tcMar>
              <w:top w:type="dxa" w:w="100"/>
              <w:left w:type="dxa" w:w="120"/>
              <w:bottom w:type="dxa" w:w="100"/>
              <w:right w:type="dxa" w:w="120"/>
            </w:tcMar>
            <w:vAlign w:val="center"/>
          </w:tcPr>
          <w:p>
            <w:pPr>
              <w:pStyle w:val="MdTableHeader"/>
            </w:pPr>
            <w:r>
              <w:t xml:space="preserve">What is actually established</w:t>
            </w:r>
          </w:p>
        </w:tc>
        <w:tc>
          <w:tcPr>
            <w:tcBorders>
              <w:right w:val="none"/>
            </w:tcBorders>
            <w:tcMar>
              <w:top w:type="dxa" w:w="100"/>
              <w:left w:type="dxa" w:w="120"/>
              <w:bottom w:type="dxa" w:w="100"/>
              <w:right w:type="dxa" w:w="120"/>
            </w:tcMar>
            <w:vAlign w:val="center"/>
          </w:tcPr>
          <w:p>
            <w:pPr>
              <w:pStyle w:val="MdTableHeader"/>
            </w:pPr>
            <w:r>
              <w:t xml:space="preserve">What is still a sales claim or early bet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visibility” / GEO</w:t>
            </w:r>
          </w:p>
        </w:tc>
        <w:tc>
          <w:tcPr>
            <w:tcMar>
              <w:top w:type="dxa" w:w="80"/>
              <w:left w:type="dxa" w:w="120"/>
              <w:bottom w:type="dxa" w:w="80"/>
              <w:right w:type="dxa" w:w="120"/>
            </w:tcMar>
            <w:vAlign w:val="center"/>
          </w:tcPr>
          <w:p>
            <w:pPr>
              <w:pStyle w:val="MdTableCell"/>
            </w:pPr>
            <w:r>
              <w:t xml:space="preserve">Accurate, indexable service information; good pages; current Google Business Profile; measurement in Search Console. Google says these are the relevant fundamentals. </w:t>
            </w:r>
            <w:hyperlink w:history="1" r:id="rIdcqht9_anngul8hsifgk8z">
              <w:r>
                <w:rPr>
                  <w:rStyle w:val="MdLink"/>
                </w:rPr>
                <w:t xml:space="preserve">1</w:t>
              </w:r>
            </w:hyperlink>
            <w:r>
              <w:t xml:space="preserve"> </w:t>
            </w:r>
            <w:hyperlink w:history="1" r:id="rIdven8kpx-krjuxgl79ltq8">
              <w:r>
                <w:rPr>
                  <w:rStyle w:val="MdLink"/>
                </w:rPr>
                <w:t xml:space="preserve">2</w:t>
              </w:r>
            </w:hyperlink>
          </w:p>
        </w:tc>
        <w:tc>
          <w:tcPr>
            <w:tcBorders>
              <w:right w:val="none"/>
            </w:tcBorders>
            <w:tcMar>
              <w:top w:type="dxa" w:w="80"/>
              <w:left w:type="dxa" w:w="120"/>
              <w:bottom w:type="dxa" w:w="80"/>
              <w:right w:type="dxa" w:w="120"/>
            </w:tcMar>
            <w:vAlign w:val="center"/>
          </w:tcPr>
          <w:p>
            <w:pPr>
              <w:pStyle w:val="MdTableCell"/>
            </w:pPr>
            <w:r>
              <w:t xml:space="preserve">That a new schema, </w:t>
            </w:r>
            <w:r>
              <w:rPr>
                <w:rStyle w:val="MdCode"/>
                <w:u w:val="single"/>
              </w:rPr>
              <w:t xml:space="preserve">llms.txt</w:t>
            </w:r>
            <w:r>
              <w:t xml:space="preserve">, mass FAQ pages, or a monthly GEO retainer will reliably get a local business cited or called. No causal local-service evidence was found.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voice, chat, and text</w:t>
            </w:r>
          </w:p>
        </w:tc>
        <w:tc>
          <w:tcPr>
            <w:tcMar>
              <w:top w:type="dxa" w:w="80"/>
              <w:left w:type="dxa" w:w="120"/>
              <w:bottom w:type="dxa" w:w="80"/>
              <w:right w:type="dxa" w:w="120"/>
            </w:tcMar>
            <w:vAlign w:val="center"/>
          </w:tcPr>
          <w:p>
            <w:pPr>
              <w:pStyle w:val="MdTableCell"/>
            </w:pPr>
            <w:r>
              <w:t xml:space="preserve">Faster human follow-up has strong association with lead contact and qualification in older web-lead research. </w:t>
            </w:r>
            <w:hyperlink w:history="1" r:id="rId4g7lh1-kmgekphvznuyno">
              <w:r>
                <w:rPr>
                  <w:rStyle w:val="MdLink"/>
                </w:rPr>
                <w:t xml:space="preserve">7</w:t>
              </w:r>
            </w:hyperlink>
          </w:p>
        </w:tc>
        <w:tc>
          <w:tcPr>
            <w:tcBorders>
              <w:right w:val="none"/>
            </w:tcBorders>
            <w:tcMar>
              <w:top w:type="dxa" w:w="80"/>
              <w:left w:type="dxa" w:w="120"/>
              <w:bottom w:type="dxa" w:w="80"/>
              <w:right w:type="dxa" w:w="120"/>
            </w:tcMar>
            <w:vAlign w:val="center"/>
          </w:tcPr>
          <w:p>
            <w:pPr>
              <w:pStyle w:val="MdTableCell"/>
            </w:pPr>
            <w:r>
              <w:t xml:space="preserve">That an AI receptionist by itself increases booked jobs by a stated percentage. The published local evidence is mostly vendor case material.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 content and short video</w:t>
            </w:r>
          </w:p>
        </w:tc>
        <w:tc>
          <w:tcPr>
            <w:tcMar>
              <w:top w:type="dxa" w:w="80"/>
              <w:left w:type="dxa" w:w="120"/>
              <w:bottom w:type="dxa" w:w="80"/>
              <w:right w:type="dxa" w:w="120"/>
            </w:tcMar>
            <w:vAlign w:val="center"/>
          </w:tcPr>
          <w:p>
            <w:pPr>
              <w:pStyle w:val="MdTableCell"/>
            </w:pPr>
            <w:r>
              <w:t xml:space="preserve">Marketers are using AI to edit, caption, resize, transcribe, and draft. Video is widely used. </w:t>
            </w:r>
            <w:hyperlink w:history="1" r:id="rIdpbrmltqe6skku4ngxoxvb">
              <w:r>
                <w:rPr>
                  <w:rStyle w:val="MdLink"/>
                </w:rPr>
                <w:t xml:space="preserve">12</w:t>
              </w:r>
            </w:hyperlink>
          </w:p>
        </w:tc>
        <w:tc>
          <w:tcPr>
            <w:tcBorders>
              <w:right w:val="none"/>
            </w:tcBorders>
            <w:tcMar>
              <w:top w:type="dxa" w:w="80"/>
              <w:left w:type="dxa" w:w="120"/>
              <w:bottom w:type="dxa" w:w="80"/>
              <w:right w:type="dxa" w:w="120"/>
            </w:tcMar>
            <w:vAlign w:val="center"/>
          </w:tcPr>
          <w:p>
            <w:pPr>
              <w:pStyle w:val="MdTableCell"/>
            </w:pPr>
            <w:r>
              <w:t xml:space="preserve">That publishing more AI-made clips, without real job-site proof or distribution, creates demand.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AI-powered paid ads</w:t>
            </w:r>
          </w:p>
        </w:tc>
        <w:tc>
          <w:tcPr>
            <w:tcMar>
              <w:top w:type="dxa" w:w="80"/>
              <w:left w:type="dxa" w:w="120"/>
              <w:bottom w:type="dxa" w:w="80"/>
              <w:right w:type="dxa" w:w="120"/>
            </w:tcMar>
            <w:vAlign w:val="center"/>
          </w:tcPr>
          <w:p>
            <w:pPr>
              <w:pStyle w:val="MdTableCell"/>
            </w:pPr>
            <w:r>
              <w:t xml:space="preserve">Google and Meta are already using AI in bidding, targeting, and creative tools. Google ads can appear in AI Overviews through existing eligible campaigns. </w:t>
            </w:r>
            <w:hyperlink w:history="1" r:id="rIdlf1b_cldn9frpx4uiklur">
              <w:r>
                <w:rPr>
                  <w:rStyle w:val="MdLink"/>
                </w:rPr>
                <w:t xml:space="preserve">17</w:t>
              </w:r>
            </w:hyperlink>
            <w:r>
              <w:t xml:space="preserve"> </w:t>
            </w:r>
            <w:hyperlink w:history="1" r:id="rIdythew6hxxvktc6ow9w4oq">
              <w:r>
                <w:rPr>
                  <w:rStyle w:val="MdLink"/>
                </w:rPr>
                <w:t xml:space="preserve">19</w:t>
              </w:r>
            </w:hyperlink>
          </w:p>
        </w:tc>
        <w:tc>
          <w:tcPr>
            <w:tcBorders>
              <w:right w:val="none"/>
            </w:tcBorders>
            <w:tcMar>
              <w:top w:type="dxa" w:w="80"/>
              <w:left w:type="dxa" w:w="120"/>
              <w:bottom w:type="dxa" w:w="80"/>
              <w:right w:type="dxa" w:w="120"/>
            </w:tcMar>
            <w:vAlign w:val="center"/>
          </w:tcPr>
          <w:p>
            <w:pPr>
              <w:pStyle w:val="MdTableCell"/>
            </w:pPr>
            <w:r>
              <w:t xml:space="preserve">That “ads in AI assistants” are a mature, proven local-service acquisition channel. ChatGPT advertising is still an early test. </w:t>
            </w:r>
            <w:hyperlink w:history="1" r:id="rIdb1mkb3gnqoj2-ljxaepus">
              <w:r>
                <w:rPr>
                  <w:rStyle w:val="MdLink"/>
                </w:rPr>
                <w:t xml:space="preserve">18</w:t>
              </w:r>
            </w:hyperlink>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AI CRM follow-up</w:t>
            </w:r>
          </w:p>
        </w:tc>
        <w:tc>
          <w:tcPr>
            <w:tcBorders>
              <w:bottom w:val="single" w:color="E1E4E8" w:sz="4"/>
            </w:tcBorders>
            <w:tcMar>
              <w:top w:type="dxa" w:w="80"/>
              <w:left w:type="dxa" w:w="120"/>
              <w:bottom w:type="dxa" w:w="80"/>
              <w:right w:type="dxa" w:w="120"/>
            </w:tcMar>
            <w:vAlign w:val="center"/>
          </w:tcPr>
          <w:p>
            <w:pPr>
              <w:pStyle w:val="MdTableCell"/>
            </w:pPr>
            <w:r>
              <w:t xml:space="preserve">A single record for source, call, estimate, booking, and outcome makes follow-up measurable. Unified data is associated with faster response in a large vendor survey. </w:t>
            </w:r>
            <w:hyperlink w:history="1" r:id="rIdfov7aexjqzzkwydh1fu51">
              <w:r>
                <w:rPr>
                  <w:rStyle w:val="MdLink"/>
                </w:rPr>
                <w:t xml:space="preserve">23</w:t>
              </w:r>
            </w:hyperlink>
          </w:p>
        </w:tc>
        <w:tc>
          <w:tcPr>
            <w:tcBorders>
              <w:bottom w:val="single" w:color="E1E4E8" w:sz="4"/>
              <w:right w:val="none"/>
            </w:tcBorders>
            <w:tcMar>
              <w:top w:type="dxa" w:w="80"/>
              <w:left w:type="dxa" w:w="120"/>
              <w:bottom w:type="dxa" w:w="80"/>
              <w:right w:type="dxa" w:w="120"/>
            </w:tcMar>
            <w:vAlign w:val="center"/>
          </w:tcPr>
          <w:p>
            <w:pPr>
              <w:pStyle w:val="MdTableCell"/>
            </w:pPr>
            <w:r>
              <w:t xml:space="preserve">That a small company needs a data warehouse, a custom agent, or enterprise CRM to do this. It does not.</w:t>
            </w:r>
          </w:p>
        </w:tc>
      </w:tr>
    </w:tbl>
    <w:p>
      <w:pPr>
        <w:pStyle w:val="Heading2"/>
        <w:pStyle w:val="MdHeading2"/>
      </w:pPr>
      <w:r>
        <w:t xml:space="preserve">1. AI search visibility: do the boring foundation, not the magic trick</w:t>
      </w:r>
    </w:p>
    <w:p>
      <w:pPr>
        <w:pStyle w:val="MdParagraph"/>
      </w:pPr>
      <w:r>
        <w:rPr>
          <w:rStyle w:val="MdStrong"/>
          <w:b/>
          <w:bCs/>
        </w:rPr>
        <w:t xml:space="preserve">Who is really doing it.</w:t>
      </w:r>
      <w:r>
        <w:t xml:space="preserve"> Agencies are unquestionably packaging AI-search work. In a December 2024 SE Ranking/Duda survey of 260 agencies, 94% served small or local businesses; 61% said they planned to add AI Overview/AI-engine optimization, and agencies that had set a price reported an average of about </w:t>
      </w:r>
      <w:r>
        <w:rPr>
          <w:rStyle w:val="MdStrong"/>
          <w:b/>
          <w:bCs/>
        </w:rPr>
        <w:t xml:space="preserve">$937 per month</w:t>
      </w:r>
      <w:r>
        <w:t xml:space="preserve">. This is a </w:t>
      </w:r>
      <w:r>
        <w:rPr>
          <w:rStyle w:val="MdStrong"/>
          <w:b/>
          <w:bCs/>
        </w:rPr>
        <w:t xml:space="preserve">[vendor survey] of agency plans and pricing</w:t>
      </w:r>
      <w:r>
        <w:t xml:space="preserve">, not a study showing that those clients received more calls. </w:t>
      </w:r>
      <w:hyperlink w:history="1" r:id="rIdmtrmpopmhgthvkqgmo1z2">
        <w:r>
          <w:rPr>
            <w:rStyle w:val="MdLink"/>
          </w:rPr>
          <w:t xml:space="preserve">3</w:t>
        </w:r>
      </w:hyperlink>
    </w:p>
    <w:p>
      <w:pPr>
        <w:pStyle w:val="MdSpace"/>
        <w:spacing w:before="0" w:after="60"/>
      </w:pPr>
    </w:p>
    <w:p>
      <w:pPr>
        <w:pStyle w:val="MdParagraph"/>
      </w:pPr>
      <w:r>
        <w:t xml:space="preserve">There is real consumer movement. BrightLocal’s March 10, 2026 survey of 1,002 U.S. adults reported that 45% had used an AI tool for local-business recommendations in the prior 12 months; 455 respondents were AI users. That is a large reported change, but it is still a </w:t>
      </w:r>
      <w:r>
        <w:rPr>
          <w:rStyle w:val="MdStrong"/>
          <w:b/>
          <w:bCs/>
        </w:rPr>
        <w:t xml:space="preserve">[vendor survey]</w:t>
      </w:r>
      <w:r>
        <w:t xml:space="preserve">, not transaction data. </w:t>
      </w:r>
      <w:hyperlink w:history="1" r:id="rId70uw2aqro4g9_t8sdep2u">
        <w:r>
          <w:rPr>
            <w:rStyle w:val="MdLink"/>
          </w:rPr>
          <w:t xml:space="preserve">4</w:t>
        </w:r>
      </w:hyperlink>
    </w:p>
    <w:p>
      <w:pPr>
        <w:pStyle w:val="MdSpace"/>
        <w:spacing w:before="0" w:after="60"/>
      </w:pPr>
    </w:p>
    <w:p>
      <w:pPr>
        <w:pStyle w:val="MdParagraph"/>
      </w:pPr>
      <w:r>
        <w:rPr>
          <w:rStyle w:val="MdStrong"/>
          <w:b/>
          <w:bCs/>
        </w:rPr>
        <w:t xml:space="preserve">What is proven.</w:t>
      </w:r>
      <w:r>
        <w:t xml:space="preserve"> Google’s documentation, last updated December 10, 2025, is unusually clear: an eligible page needs to be indexed and eligible for a regular Search snippet. Google says there are no additional technical requirements, no special schema, and no special AI text file for AI Overviews or AI Mode. It recommends the ordinary work: crawlable pages, real text, useful internal links, good mobile page experience, structured data that matches visible text, useful images/video, and current Business Profile data. </w:t>
      </w:r>
      <w:hyperlink w:history="1" r:id="rIdxld9tjz4ynpzur6mqpgxi">
        <w:r>
          <w:rPr>
            <w:rStyle w:val="MdLink"/>
          </w:rPr>
          <w:t xml:space="preserve">1</w:t>
        </w:r>
      </w:hyperlink>
    </w:p>
    <w:p>
      <w:pPr>
        <w:pStyle w:val="MdSpace"/>
        <w:spacing w:before="0" w:after="60"/>
      </w:pPr>
    </w:p>
    <w:p>
      <w:pPr>
        <w:pStyle w:val="MdParagraph"/>
      </w:pPr>
      <w:r>
        <w:t xml:space="preserve">Google made this less of a black box in June 2026. Search Console’s free generative-AI report now shows impressions, pages, countries, devices, and time trends for AI Overviews and AI Mode; Google said worldwide rollout completed August 31, 2026. Measure before paying an agency for “visibility.” </w:t>
      </w:r>
      <w:hyperlink w:history="1" r:id="rIdkq174vzo56tjpoqfoykzk">
        <w:r>
          <w:rPr>
            <w:rStyle w:val="MdLink"/>
          </w:rPr>
          <w:t xml:space="preserve">2</w:t>
        </w:r>
      </w:hyperlink>
    </w:p>
    <w:p>
      <w:pPr>
        <w:pStyle w:val="MdSpace"/>
        <w:spacing w:before="0" w:after="60"/>
      </w:pPr>
    </w:p>
    <w:p>
      <w:pPr>
        <w:pStyle w:val="MdParagraph"/>
      </w:pPr>
      <w:r>
        <w:t xml:space="preserve">Bing Places is also free. Microsoft’s October 3, 2025 announcement says businesses can manage listings for Bing Search and Bing Maps, import from Google, and expect deeper Bing Maps/Copilot connections. That makes it a low-cost hygiene task, not a special AI project. </w:t>
      </w:r>
      <w:hyperlink w:history="1" r:id="rId9d4bbtgznxpp_xqmplgvu">
        <w:r>
          <w:rPr>
            <w:rStyle w:val="MdLink"/>
          </w:rPr>
          <w:t xml:space="preserve">6</w:t>
        </w:r>
      </w:hyperlink>
    </w:p>
    <w:p>
      <w:pPr>
        <w:pStyle w:val="MdSpace"/>
        <w:spacing w:before="0" w:after="60"/>
      </w:pPr>
    </w:p>
    <w:p>
      <w:pPr>
        <w:pStyle w:val="MdParagraph"/>
      </w:pPr>
      <w:r>
        <w:rPr>
          <w:rStyle w:val="MdStrong"/>
          <w:b/>
          <w:bCs/>
        </w:rPr>
        <w:t xml:space="preserve">What the outcome evidence actually says.</w:t>
      </w:r>
      <w:r>
        <w:t xml:space="preserve"> Independent evidence does not support the slogan “AI search sends better traffic” as a universal claim. Google says AI-Overview clicks are higher quality, but it did not publish a method in that statement. Pew Research Center’s July 2025 behavioral analysis is the useful counterweight: across 68,879 Google searches from 900 U.S. adults, traditional-result links were clicked on </w:t>
      </w:r>
      <w:r>
        <w:rPr>
          <w:rStyle w:val="MdStrong"/>
          <w:b/>
          <w:bCs/>
        </w:rPr>
        <w:t xml:space="preserve">8%</w:t>
      </w:r>
      <w:r>
        <w:t xml:space="preserve"> of AI-summary visits versus </w:t>
      </w:r>
      <w:r>
        <w:rPr>
          <w:rStyle w:val="MdStrong"/>
          <w:b/>
          <w:bCs/>
        </w:rPr>
        <w:t xml:space="preserve">15%</w:t>
      </w:r>
      <w:r>
        <w:t xml:space="preserve"> of visits without a summary; AI-summary source links were clicked on only </w:t>
      </w:r>
      <w:r>
        <w:rPr>
          <w:rStyle w:val="MdStrong"/>
          <w:b/>
          <w:bCs/>
        </w:rPr>
        <w:t xml:space="preserve">1%</w:t>
      </w:r>
      <w:r>
        <w:t xml:space="preserve"> of AI-summary visits. This is Google-only and not a local-service conversion study, but it is independent evidence that answer pages can reduce outbound clicks. </w:t>
      </w:r>
      <w:hyperlink w:history="1" r:id="rIdfzwiji24hfktqwj6hcgo6">
        <w:r>
          <w:rPr>
            <w:rStyle w:val="MdLink"/>
          </w:rPr>
          <w:t xml:space="preserve">5</w:t>
        </w:r>
      </w:hyperlink>
    </w:p>
    <w:p>
      <w:pPr>
        <w:pStyle w:val="MdSpace"/>
        <w:spacing w:before="0" w:after="60"/>
      </w:pPr>
    </w:p>
    <w:p>
      <w:pPr>
        <w:pStyle w:val="MdParagraph"/>
      </w:pPr>
      <w:r>
        <w:rPr>
          <w:rStyle w:val="MdStrong"/>
          <w:b/>
          <w:bCs/>
        </w:rPr>
        <w:t xml:space="preserve">Small-business version.</w:t>
      </w:r>
      <w:r>
        <w:t xml:space="preserve"> Spend </w:t>
      </w:r>
      <w:r>
        <w:rPr>
          <w:rStyle w:val="MdStrong"/>
          <w:b/>
          <w:bCs/>
        </w:rPr>
        <w:t xml:space="preserve">$0 in platform fees</w:t>
      </w:r>
      <w:r>
        <w:t xml:space="preserve"> first. Claim and fully complete Google Business Profile and Bing Places; make service area, phone, hours, licensing/insurance facts, services, real photos, and booking/request path accurate. Google Business Profile itself is free. </w:t>
      </w:r>
      <w:hyperlink w:history="1" r:id="rIddlz4k4kt5tu2ckkyzvswc">
        <w:r>
          <w:rPr>
            <w:rStyle w:val="MdLink"/>
          </w:rPr>
          <w:t xml:space="preserve">28</w:t>
        </w:r>
      </w:hyperlink>
      <w:r>
        <w:t xml:space="preserve"> Create or improve only pages that a homeowner would actually need: one clear page per real service and, where justified, a real service-area page with local proof, photos, price/quote context, and who performs the work. Do not manufacture hundreds of near-identical city pages or AI FAQs.</w:t>
      </w:r>
    </w:p>
    <w:p>
      <w:pPr>
        <w:pStyle w:val="MdSpace"/>
        <w:spacing w:before="0" w:after="60"/>
      </w:pPr>
    </w:p>
    <w:p>
      <w:pPr>
        <w:pStyle w:val="MdParagraph"/>
      </w:pPr>
      <w:r>
        <w:t xml:space="preserve">A one-person operator can spend </w:t>
      </w:r>
      <w:r>
        <w:rPr>
          <w:rStyle w:val="MdStrong"/>
          <w:b/>
          <w:bCs/>
        </w:rPr>
        <w:t xml:space="preserve">3–5 hours once</w:t>
      </w:r>
      <w:r>
        <w:t xml:space="preserve">, then </w:t>
      </w:r>
      <w:r>
        <w:rPr>
          <w:rStyle w:val="MdStrong"/>
          <w:b/>
          <w:bCs/>
        </w:rPr>
        <w:t xml:space="preserve">30 minutes monthly</w:t>
      </w:r>
      <w:r>
        <w:t xml:space="preserve"> checking facts and Search Console. A paid GEO retainer is sensible only after that foundation works and only if the agency can state, in writing, the pages, listings, corrections, and measurement it will deliver. “We will make ChatGPT rank you” is not a measurable deliverable.</w:t>
      </w:r>
    </w:p>
    <w:p>
      <w:pPr>
        <w:pStyle w:val="MdSpace"/>
        <w:spacing w:before="0" w:after="60"/>
      </w:pPr>
    </w:p>
    <w:p>
      <w:pPr>
        <w:pStyle w:val="Heading2"/>
        <w:pStyle w:val="MdHeading2"/>
      </w:pPr>
      <w:r>
        <w:t xml:space="preserve">2. Speed-to-lead and AI answering: the place AI can matter fastest</w:t>
      </w:r>
    </w:p>
    <w:p>
      <w:pPr>
        <w:pStyle w:val="MdParagraph"/>
      </w:pPr>
      <w:r>
        <w:rPr>
          <w:rStyle w:val="MdStrong"/>
          <w:b/>
          <w:bCs/>
        </w:rPr>
        <w:t xml:space="preserve">Who is really doing it.</w:t>
      </w:r>
      <w:r>
        <w:t xml:space="preserve"> Call-tracking vendors, field-service platforms, and agencies are adding 24/7 intake, call summaries, automatic texts, and booking handoffs. The practical use is not a robotic closer. It is a safety net for a phone that rings while the owner is driving, treating a house, on a roof, or asleep.</w:t>
      </w:r>
    </w:p>
    <w:p>
      <w:pPr>
        <w:pStyle w:val="MdSpace"/>
        <w:spacing w:before="0" w:after="60"/>
      </w:pPr>
    </w:p>
    <w:p>
      <w:pPr>
        <w:pStyle w:val="MdParagraph"/>
      </w:pPr>
      <w:r>
        <w:t xml:space="preserve">The main evidence is about response speed, not AI. The InsideSales.com/MIT Lead Response Management study examined three years of web-form data across six companies—more than 15,000 leads and 100,000 call attempts—and reported much lower contact and qualification odds as first-call delay grew. Its widely repeated “100x contact / 21x qualification at 5 versus 30 minutes” result is traceable to that study. But it is </w:t>
      </w:r>
      <w:r>
        <w:rPr>
          <w:rStyle w:val="MdStrong"/>
          <w:b/>
          <w:bCs/>
        </w:rPr>
        <w:t xml:space="preserve">old (2007/2008), vendor-supported, web-lead data, only six companies, and it did not measure close rates</w:t>
      </w:r>
      <w:r>
        <w:t xml:space="preserve">. It is evidence for taking speed seriously, not proof of a modern home-service uplift. </w:t>
      </w:r>
      <w:hyperlink w:history="1" r:id="rIddrbg5yrb6fjpxwlhi4rp7">
        <w:r>
          <w:rPr>
            <w:rStyle w:val="MdLink"/>
          </w:rPr>
          <w:t xml:space="preserve">7</w:t>
        </w:r>
      </w:hyperlink>
    </w:p>
    <w:p>
      <w:pPr>
        <w:pStyle w:val="MdSpace"/>
        <w:spacing w:before="0" w:after="60"/>
      </w:pPr>
    </w:p>
    <w:p>
      <w:pPr>
        <w:pStyle w:val="MdParagraph"/>
      </w:pPr>
      <w:r>
        <w:t xml:space="preserve">CallRail reported in September 2025 that 28% of calls went unanswered in a beta-participant comparison with the prior six months. Label this </w:t>
      </w:r>
      <w:r>
        <w:rPr>
          <w:rStyle w:val="MdStrong"/>
          <w:b/>
          <w:bCs/>
        </w:rPr>
        <w:t xml:space="preserve">[vendor claim]</w:t>
      </w:r>
      <w:r>
        <w:t xml:space="preserve">; it is not an industry census. </w:t>
      </w:r>
      <w:hyperlink w:history="1" r:id="rIdlilcz-tzyar96xtzwt883">
        <w:r>
          <w:rPr>
            <w:rStyle w:val="MdLink"/>
          </w:rPr>
          <w:t xml:space="preserve">31</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Intake option</w:t>
            </w:r>
          </w:p>
        </w:tc>
        <w:tc>
          <w:tcPr>
            <w:tcMar>
              <w:top w:type="dxa" w:w="100"/>
              <w:left w:type="dxa" w:w="120"/>
              <w:bottom w:type="dxa" w:w="100"/>
              <w:right w:type="dxa" w:w="120"/>
            </w:tcMar>
            <w:vAlign w:val="center"/>
          </w:tcPr>
          <w:p>
            <w:pPr>
              <w:pStyle w:val="MdTableHeader"/>
              <w:jc w:val="right"/>
            </w:pPr>
            <w:r>
              <w:t xml:space="preserve">Published U.S. price</w:t>
            </w:r>
          </w:p>
        </w:tc>
        <w:tc>
          <w:tcPr>
            <w:tcMar>
              <w:top w:type="dxa" w:w="100"/>
              <w:left w:type="dxa" w:w="120"/>
              <w:bottom w:type="dxa" w:w="100"/>
              <w:right w:type="dxa" w:w="120"/>
            </w:tcMar>
            <w:vAlign w:val="center"/>
          </w:tcPr>
          <w:p>
            <w:pPr>
              <w:pStyle w:val="MdTableHeader"/>
            </w:pPr>
            <w:r>
              <w:t xml:space="preserve">What it can credibly do</w:t>
            </w:r>
          </w:p>
        </w:tc>
        <w:tc>
          <w:tcPr>
            <w:tcBorders>
              <w:right w:val="none"/>
            </w:tcBorders>
            <w:tcMar>
              <w:top w:type="dxa" w:w="100"/>
              <w:left w:type="dxa" w:w="120"/>
              <w:bottom w:type="dxa" w:w="100"/>
              <w:right w:type="dxa" w:w="120"/>
            </w:tcMar>
            <w:vAlign w:val="center"/>
          </w:tcPr>
          <w:p>
            <w:pPr>
              <w:pStyle w:val="MdTableHeader"/>
            </w:pPr>
            <w:r>
              <w:t xml:space="preserve">What is not proven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Manual missed-call text + human callback</w:t>
            </w:r>
          </w:p>
        </w:tc>
        <w:tc>
          <w:tcPr>
            <w:tcMar>
              <w:top w:type="dxa" w:w="80"/>
              <w:left w:type="dxa" w:w="120"/>
              <w:bottom w:type="dxa" w:w="80"/>
              <w:right w:type="dxa" w:w="120"/>
            </w:tcMar>
            <w:vAlign w:val="center"/>
          </w:tcPr>
          <w:p>
            <w:pPr>
              <w:pStyle w:val="MdTableCell"/>
              <w:jc w:val="right"/>
            </w:pPr>
            <w:r>
              <w:t xml:space="preserve">$0 incremental if the current phone can do it</w:t>
            </w:r>
          </w:p>
        </w:tc>
        <w:tc>
          <w:tcPr>
            <w:tcMar>
              <w:top w:type="dxa" w:w="80"/>
              <w:left w:type="dxa" w:w="120"/>
              <w:bottom w:type="dxa" w:w="80"/>
              <w:right w:type="dxa" w:w="120"/>
            </w:tcMar>
            <w:vAlign w:val="center"/>
          </w:tcPr>
          <w:p>
            <w:pPr>
              <w:pStyle w:val="MdTableCell"/>
            </w:pPr>
            <w:r>
              <w:t xml:space="preserve">Acknowledge, set expectation, call back</w:t>
            </w:r>
          </w:p>
        </w:tc>
        <w:tc>
          <w:tcPr>
            <w:tcBorders>
              <w:right w:val="none"/>
            </w:tcBorders>
            <w:tcMar>
              <w:top w:type="dxa" w:w="80"/>
              <w:left w:type="dxa" w:w="120"/>
              <w:bottom w:type="dxa" w:w="80"/>
              <w:right w:type="dxa" w:w="120"/>
            </w:tcMar>
            <w:vAlign w:val="center"/>
          </w:tcPr>
          <w:p>
            <w:pPr>
              <w:pStyle w:val="MdTableCell"/>
            </w:pPr>
            <w:r>
              <w:t xml:space="preserve">24/7 coverage or consistent execution without a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Jobber Receptionist</w:t>
            </w:r>
          </w:p>
        </w:tc>
        <w:tc>
          <w:tcPr>
            <w:tcMar>
              <w:top w:type="dxa" w:w="80"/>
              <w:left w:type="dxa" w:w="120"/>
              <w:bottom w:type="dxa" w:w="80"/>
              <w:right w:type="dxa" w:w="120"/>
            </w:tcMar>
            <w:vAlign w:val="center"/>
          </w:tcPr>
          <w:p>
            <w:pPr>
              <w:pStyle w:val="MdTableCell"/>
              <w:jc w:val="right"/>
            </w:pPr>
            <w:r>
              <w:rPr>
                <w:rStyle w:val="MdStrong"/>
                <w:b/>
                <w:bCs/>
              </w:rPr>
              <w:t xml:space="preserve">$29/month</w:t>
            </w:r>
            <w:r>
              <w:t xml:space="preserve"> for 30 conversations; </w:t>
            </w:r>
            <w:r>
              <w:rPr>
                <w:rStyle w:val="MdStrong"/>
                <w:b/>
                <w:bCs/>
              </w:rPr>
              <w:t xml:space="preserve">$0.79</w:t>
            </w:r>
            <w:r>
              <w:t xml:space="preserve"> overage on select plans</w:t>
            </w:r>
          </w:p>
        </w:tc>
        <w:tc>
          <w:tcPr>
            <w:tcMar>
              <w:top w:type="dxa" w:w="80"/>
              <w:left w:type="dxa" w:w="120"/>
              <w:bottom w:type="dxa" w:w="80"/>
              <w:right w:type="dxa" w:w="120"/>
            </w:tcMar>
            <w:vAlign w:val="center"/>
          </w:tcPr>
          <w:p>
            <w:pPr>
              <w:pStyle w:val="MdTableCell"/>
            </w:pPr>
            <w:r>
              <w:t xml:space="preserve">Voice, text, web chat, configured answers, requests, and scheduling; requires the right Jobber plan and dedicated number. </w:t>
            </w:r>
            <w:hyperlink w:history="1" r:id="rIdqmcdhi5zze_gsguoe9dsz">
              <w:r>
                <w:rPr>
                  <w:rStyle w:val="MdLink"/>
                </w:rPr>
                <w:t xml:space="preserve">9</w:t>
              </w:r>
            </w:hyperlink>
          </w:p>
        </w:tc>
        <w:tc>
          <w:tcPr>
            <w:tcBorders>
              <w:right w:val="none"/>
            </w:tcBorders>
            <w:tcMar>
              <w:top w:type="dxa" w:w="80"/>
              <w:left w:type="dxa" w:w="120"/>
              <w:bottom w:type="dxa" w:w="80"/>
              <w:right w:type="dxa" w:w="120"/>
            </w:tcMar>
            <w:vAlign w:val="center"/>
          </w:tcPr>
          <w:p>
            <w:pPr>
              <w:pStyle w:val="MdTableCell"/>
            </w:pPr>
            <w:r>
              <w:t xml:space="preserve">A documented increase in booked jobs from the tool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CallRail Voice Assist + tracking</w:t>
            </w:r>
          </w:p>
        </w:tc>
        <w:tc>
          <w:tcPr>
            <w:tcMar>
              <w:top w:type="dxa" w:w="80"/>
              <w:left w:type="dxa" w:w="120"/>
              <w:bottom w:type="dxa" w:w="80"/>
              <w:right w:type="dxa" w:w="120"/>
            </w:tcMar>
            <w:vAlign w:val="center"/>
          </w:tcPr>
          <w:p>
            <w:pPr>
              <w:pStyle w:val="MdTableCell"/>
              <w:jc w:val="right"/>
            </w:pPr>
            <w:r>
              <w:t xml:space="preserve">Voice Assist </w:t>
            </w:r>
            <w:r>
              <w:rPr>
                <w:rStyle w:val="MdStrong"/>
                <w:b/>
                <w:bCs/>
              </w:rPr>
              <w:t xml:space="preserve">$95/month</w:t>
            </w:r>
            <w:r>
              <w:t xml:space="preserve"> plus required tracking listed from </w:t>
            </w:r>
            <w:r>
              <w:rPr>
                <w:rStyle w:val="MdStrong"/>
                <w:b/>
                <w:bCs/>
              </w:rPr>
              <w:t xml:space="preserve">$50–$55/month</w:t>
            </w:r>
            <w:r>
              <w:t xml:space="preserve">; 50 included assisted calls and $1 overage</w:t>
            </w:r>
          </w:p>
        </w:tc>
        <w:tc>
          <w:tcPr>
            <w:tcMar>
              <w:top w:type="dxa" w:w="80"/>
              <w:left w:type="dxa" w:w="120"/>
              <w:bottom w:type="dxa" w:w="80"/>
              <w:right w:type="dxa" w:w="120"/>
            </w:tcMar>
            <w:vAlign w:val="center"/>
          </w:tcPr>
          <w:p>
            <w:pPr>
              <w:pStyle w:val="MdTableCell"/>
            </w:pPr>
            <w:r>
              <w:t xml:space="preserve">Answer, qualify, capture, and route calls. </w:t>
            </w:r>
            <w:hyperlink w:history="1" r:id="rIdqqfqzrmyvybl-go3s0-l-">
              <w:r>
                <w:rPr>
                  <w:rStyle w:val="MdLink"/>
                </w:rPr>
                <w:t xml:space="preserve">8</w:t>
              </w:r>
            </w:hyperlink>
          </w:p>
        </w:tc>
        <w:tc>
          <w:tcPr>
            <w:tcBorders>
              <w:right w:val="none"/>
            </w:tcBorders>
            <w:tcMar>
              <w:top w:type="dxa" w:w="80"/>
              <w:left w:type="dxa" w:w="120"/>
              <w:bottom w:type="dxa" w:w="80"/>
              <w:right w:type="dxa" w:w="120"/>
            </w:tcMar>
            <w:vAlign w:val="center"/>
          </w:tcPr>
          <w:p>
            <w:pPr>
              <w:pStyle w:val="MdTableCell"/>
            </w:pPr>
            <w:r>
              <w:t xml:space="preserve">A general reduction in cost per booked job</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Human answering comparison</w:t>
            </w:r>
          </w:p>
        </w:tc>
        <w:tc>
          <w:tcPr>
            <w:tcBorders>
              <w:bottom w:val="single" w:color="E1E4E8" w:sz="4"/>
            </w:tcBorders>
            <w:tcMar>
              <w:top w:type="dxa" w:w="80"/>
              <w:left w:type="dxa" w:w="120"/>
              <w:bottom w:type="dxa" w:w="80"/>
              <w:right w:type="dxa" w:w="120"/>
            </w:tcMar>
            <w:vAlign w:val="center"/>
          </w:tcPr>
          <w:p>
            <w:pPr>
              <w:pStyle w:val="MdTableCell"/>
              <w:jc w:val="right"/>
            </w:pPr>
            <w:r>
              <w:t xml:space="preserve">Smith.ai lists </w:t>
            </w:r>
            <w:r>
              <w:rPr>
                <w:rStyle w:val="MdStrong"/>
                <w:b/>
                <w:bCs/>
              </w:rPr>
              <w:t xml:space="preserve">$300/month for 30 calls</w:t>
            </w:r>
          </w:p>
        </w:tc>
        <w:tc>
          <w:tcPr>
            <w:tcBorders>
              <w:bottom w:val="single" w:color="E1E4E8" w:sz="4"/>
            </w:tcBorders>
            <w:tcMar>
              <w:top w:type="dxa" w:w="80"/>
              <w:left w:type="dxa" w:w="120"/>
              <w:bottom w:type="dxa" w:w="80"/>
              <w:right w:type="dxa" w:w="120"/>
            </w:tcMar>
            <w:vAlign w:val="center"/>
          </w:tcPr>
          <w:p>
            <w:pPr>
              <w:pStyle w:val="MdTableCell"/>
            </w:pPr>
            <w:r>
              <w:t xml:space="preserve">Live receptionist coverage and intake. </w:t>
            </w:r>
            <w:hyperlink w:history="1" r:id="rIdivcdrfbivbht0d-iwgnrh">
              <w:r>
                <w:rPr>
                  <w:rStyle w:val="MdLink"/>
                </w:rPr>
                <w:t xml:space="preserve">10</w:t>
              </w:r>
            </w:hyperlink>
          </w:p>
        </w:tc>
        <w:tc>
          <w:tcPr>
            <w:tcBorders>
              <w:bottom w:val="single" w:color="E1E4E8" w:sz="4"/>
              <w:right w:val="none"/>
            </w:tcBorders>
            <w:tcMar>
              <w:top w:type="dxa" w:w="80"/>
              <w:left w:type="dxa" w:w="120"/>
              <w:bottom w:type="dxa" w:w="80"/>
              <w:right w:type="dxa" w:w="120"/>
            </w:tcMar>
            <w:vAlign w:val="center"/>
          </w:tcPr>
          <w:p>
            <w:pPr>
              <w:pStyle w:val="MdTableCell"/>
            </w:pPr>
            <w:r>
              <w:t xml:space="preserve">That a human service is automatically profitable at the caller volume</w:t>
            </w:r>
          </w:p>
        </w:tc>
      </w:tr>
    </w:tbl>
    <w:p>
      <w:pPr>
        <w:pStyle w:val="MdParagraph"/>
      </w:pPr>
      <w:r>
        <w:t xml:space="preserve">Those are published vendor prices as of October 12, 2026, not recommendations for one specific stack. They show the real trade-off: a basic AI intake layer can be cheaper than a human service, but a bad script can still lose a high-value emergency job.</w:t>
      </w:r>
    </w:p>
    <w:p>
      <w:pPr>
        <w:pStyle w:val="MdSpace"/>
        <w:spacing w:before="0" w:after="60"/>
      </w:pPr>
    </w:p>
    <w:p>
      <w:pPr>
        <w:pStyle w:val="MdParagraph"/>
      </w:pPr>
      <w:r>
        <w:rPr>
          <w:rStyle w:val="MdStrong"/>
          <w:b/>
          <w:bCs/>
        </w:rPr>
        <w:t xml:space="preserve">The right small-business deployment.</w:t>
      </w:r>
      <w:r>
        <w:t xml:space="preserve"> Start with an after-hours and overflow script that does four things: identify the caller and address, identify the service and urgency, state the next step honestly, and create a task for a human to call back. Do not let an AI agent improvise diagnosis, price, guarantees, service areas, or appointment availability it does not actually know. Audit 10–20 transcripts/calls every week during the first month and correct the knowledge base.</w:t>
      </w:r>
    </w:p>
    <w:p>
      <w:pPr>
        <w:pStyle w:val="MdSpace"/>
        <w:spacing w:before="0" w:after="60"/>
      </w:pPr>
    </w:p>
    <w:p>
      <w:pPr>
        <w:pStyle w:val="MdParagraph"/>
      </w:pPr>
      <w:r>
        <w:t xml:space="preserve">For outbound AI calling, get legal advice before launch. The FCC’s February 8, 2024 declaratory ruling says TCPA restrictions on artificial or prerecorded voices include current AI voice technology and that calls using it require prior express consent. That ruling is directly relevant to outbound calls; inbound answering is a different workflow. Text marketing, recording consent, state rules, and opt-out handling also need a workflow-specific review. </w:t>
      </w:r>
      <w:hyperlink w:history="1" r:id="rIdhow9zya6gi4kxubsdkdbh">
        <w:r>
          <w:rPr>
            <w:rStyle w:val="MdLink"/>
          </w:rPr>
          <w:t xml:space="preserve">11</w:t>
        </w:r>
      </w:hyperlink>
    </w:p>
    <w:p>
      <w:pPr>
        <w:pStyle w:val="MdSpace"/>
        <w:spacing w:before="0" w:after="60"/>
      </w:pPr>
    </w:p>
    <w:p>
      <w:pPr>
        <w:pStyle w:val="Heading2"/>
        <w:pStyle w:val="MdHeading2"/>
      </w:pPr>
      <w:r>
        <w:t xml:space="preserve">3. Content and short-form video: agencies use AI as an editing department</w:t>
      </w:r>
    </w:p>
    <w:p>
      <w:pPr>
        <w:pStyle w:val="MdParagraph"/>
      </w:pPr>
      <w:r>
        <w:t xml:space="preserve">The practical agency workflow is simple: collect a real job story, turn it into a few cuts, draft captions and titles, transcribe it, resize it for platforms, and schedule it. AI reduces editing and copy overhead. It does not replace proof that the crew does good work.</w:t>
      </w:r>
    </w:p>
    <w:p>
      <w:pPr>
        <w:pStyle w:val="MdSpace"/>
        <w:spacing w:before="0" w:after="60"/>
      </w:pPr>
    </w:p>
    <w:p>
      <w:pPr>
        <w:pStyle w:val="MdParagraph"/>
      </w:pPr>
      <w:r>
        <w:t xml:space="preserve">Wyzowl’s 2026 report surveyed 266 marketing professionals and consumers in late 2025. It found that 59% of video marketers made video in house, 69% made social-media video, and 63% had used AI video tools. It also found 82% self-reported good video ROI. This is a small, cross-industry </w:t>
      </w:r>
      <w:r>
        <w:rPr>
          <w:rStyle w:val="MdStrong"/>
          <w:b/>
          <w:bCs/>
        </w:rPr>
        <w:t xml:space="preserve">[vendor survey]</w:t>
      </w:r>
      <w:r>
        <w:t xml:space="preserve">, so treat it as adoption evidence—not proof that a 30-second pest-control video will create booked work. </w:t>
      </w:r>
      <w:hyperlink w:history="1" r:id="rIdi8jlbharm2sq45q4j_4qn">
        <w:r>
          <w:rPr>
            <w:rStyle w:val="MdLink"/>
          </w:rPr>
          <w:t xml:space="preserve">12</w:t>
        </w:r>
      </w:hyperlink>
    </w:p>
    <w:p>
      <w:pPr>
        <w:pStyle w:val="MdSpace"/>
        <w:spacing w:before="0" w:after="60"/>
      </w:pPr>
    </w:p>
    <w:p>
      <w:pPr>
        <w:pStyle w:val="MdParagraph"/>
      </w:pPr>
      <w:r>
        <w:t xml:space="preserve">Google’s October 2026 guidance matches the common-sense rule: AI can help research and structure original work, but generating many low-value pages can violate its scaled-content-abuse policy. Google tells publishers to fact-check AI-generated content and metadata before publishing. </w:t>
      </w:r>
      <w:hyperlink w:history="1" r:id="rIdp0vtvtsiqqnx4exfg-erw">
        <w:r>
          <w:rPr>
            <w:rStyle w:val="MdLink"/>
          </w:rPr>
          <w:t xml:space="preserve">13</w:t>
        </w:r>
      </w:hyperlink>
    </w:p>
    <w:p>
      <w:pPr>
        <w:pStyle w:val="MdSpace"/>
        <w:spacing w:before="0" w:after="60"/>
      </w:pPr>
    </w:p>
    <w:p>
      <w:pPr>
        <w:pStyle w:val="MdParagraph"/>
      </w:pPr>
      <w:r>
        <w:rPr>
          <w:rStyle w:val="MdStrong"/>
          <w:b/>
          <w:bCs/>
        </w:rPr>
        <w:t xml:space="preserve">What performs better for this market than generic AI content:</w:t>
      </w:r>
      <w:r>
        <w:t xml:space="preserve"> a technician showing the actual inspection point; a 20-second “what this means” explanation; before/during/after job footage; a customer-approved testimonial; a seasonal prevention checklist; and a clear next step. The owner or technician is the differentiator. AI can turn that raw material into a caption, transcript, shot list, email, and three different edits.</w:t>
      </w:r>
    </w:p>
    <w:p>
      <w:pPr>
        <w:pStyle w:val="MdSpace"/>
        <w:spacing w:before="0" w:after="60"/>
      </w:pPr>
    </w:p>
    <w:p>
      <w:pPr>
        <w:pStyle w:val="MdParagraph"/>
      </w:pPr>
      <w:r>
        <w:rPr>
          <w:rStyle w:val="MdStrong"/>
          <w:b/>
          <w:bCs/>
        </w:rPr>
        <w:t xml:space="preserve">Real price range.</w:t>
      </w:r>
      <w:r>
        <w:t xml:space="preserve"> If a company already has a phone, a do-it-yourself job-footage workflow has little cash cost but needs discipline. A professional producer is not cheap: Clutch’s September 2026 data from verified client reviews puts most U.S. video-production agencies at </w:t>
      </w:r>
      <w:r>
        <w:rPr>
          <w:rStyle w:val="MdStrong"/>
          <w:b/>
          <w:bCs/>
        </w:rPr>
        <w:t xml:space="preserve">$100–$149/hour</w:t>
      </w:r>
      <w:r>
        <w:t xml:space="preserve"> and says most projects cost under </w:t>
      </w:r>
      <w:r>
        <w:rPr>
          <w:rStyle w:val="MdStrong"/>
          <w:b/>
          <w:bCs/>
        </w:rPr>
        <w:t xml:space="preserve">$10,000</w:t>
      </w:r>
      <w:r>
        <w:t xml:space="preserve">. That is a broad agency benchmark, not a price for a batch of local Reels. </w:t>
      </w:r>
      <w:hyperlink w:history="1" r:id="rIdv8oeuzah6w1a3q9cmxzcv">
        <w:r>
          <w:rPr>
            <w:rStyle w:val="MdLink"/>
          </w:rPr>
          <w:t xml:space="preserve">14</w:t>
        </w:r>
      </w:hyperlink>
      <w:r>
        <w:t xml:space="preserve"> It is why a one-person operator should not start by commissioning a cinematic brand film.</w:t>
      </w:r>
    </w:p>
    <w:p>
      <w:pPr>
        <w:pStyle w:val="MdSpace"/>
        <w:spacing w:before="0" w:after="60"/>
      </w:pPr>
    </w:p>
    <w:p>
      <w:pPr>
        <w:pStyle w:val="MdParagraph"/>
      </w:pPr>
      <w:r>
        <w:t xml:space="preserve">A practical first cadence is </w:t>
      </w:r>
      <w:r>
        <w:rPr>
          <w:rStyle w:val="MdStrong"/>
          <w:b/>
          <w:bCs/>
        </w:rPr>
        <w:t xml:space="preserve">one 45–60 minute job-site capture block each week</w:t>
      </w:r>
      <w:r>
        <w:t xml:space="preserve">, then three short pieces from it. Budget </w:t>
      </w:r>
      <w:r>
        <w:rPr>
          <w:rStyle w:val="MdStrong"/>
          <w:b/>
          <w:bCs/>
        </w:rPr>
        <w:t xml:space="preserve">90 minutes a week</w:t>
      </w:r>
      <w:r>
        <w:t xml:space="preserve"> for selecting footage, checking facts, and posting. Pay an editor only after the raw-footage habit works. The documented result to watch is not views; it is calls, quote requests, branded searches, and bookings tagged to the content or campaign.</w:t>
      </w:r>
    </w:p>
    <w:p>
      <w:pPr>
        <w:pStyle w:val="MdSpace"/>
        <w:spacing w:before="0" w:after="60"/>
      </w:pPr>
    </w:p>
    <w:p>
      <w:pPr>
        <w:pStyle w:val="Heading2"/>
        <w:pStyle w:val="MdHeading2"/>
      </w:pPr>
      <w:r>
        <w:t xml:space="preserve">4. Paid ads, including ads inside AI assistants: Google first, assistant ads last</w:t>
      </w:r>
    </w:p>
    <w:p>
      <w:pPr>
        <w:pStyle w:val="MdParagraph"/>
      </w:pPr>
      <w:r>
        <w:t xml:space="preserve">For urgent local services, Google Search and Local Services Ads remain the usable paid-demand tools. Google says Local Services Ads can produce calls, messages, and bookings; advertisers pay for leads related to their services, can set a budget, and can pause when capacity is full. Google also warns that poor response to calls/messages can affect ad rank. Pest control, HVAC, plumbers, roofers, lawn care, and many related categories are included, subject to location and verification. </w:t>
      </w:r>
      <w:hyperlink w:history="1" r:id="rId8c6lofx3gjk9kgdr9euf_">
        <w:r>
          <w:rPr>
            <w:rStyle w:val="MdLink"/>
          </w:rPr>
          <w:t xml:space="preserve">15</w:t>
        </w:r>
      </w:hyperlink>
    </w:p>
    <w:p>
      <w:pPr>
        <w:pStyle w:val="MdSpace"/>
        <w:spacing w:before="0" w:after="60"/>
      </w:pPr>
    </w:p>
    <w:p>
      <w:pPr>
        <w:pStyle w:val="MdParagraph"/>
      </w:pPr>
      <w:r>
        <w:rPr>
          <w:rStyle w:val="MdStrong"/>
          <w:b/>
          <w:bCs/>
        </w:rPr>
        <w:t xml:space="preserve">What AI changes in Google.</w:t>
      </w:r>
      <w:r>
        <w:t xml:space="preserve"> Ads can show above, below, or within AI Overviews. In the U.S., text and Shopping ads from existing eligible Search, Shopping, and Performance Max campaigns can appear inside AI Overviews. There is no separate “buy AIO only” campaign; the auction uses the query and AI-Overview context. Google recommends its AI targeting and bidding tools, but its favorable statements are Google internal data. </w:t>
      </w:r>
      <w:hyperlink w:history="1" r:id="rIdbdd-d6aggtew3js15v44k">
        <w:r>
          <w:rPr>
            <w:rStyle w:val="MdLink"/>
          </w:rPr>
          <w:t xml:space="preserve">17</w:t>
        </w:r>
      </w:hyperlink>
    </w:p>
    <w:p>
      <w:pPr>
        <w:pStyle w:val="MdSpace"/>
        <w:spacing w:before="0" w:after="60"/>
      </w:pPr>
    </w:p>
    <w:p>
      <w:pPr>
        <w:pStyle w:val="MdParagraph"/>
      </w:pPr>
      <w:r>
        <w:rPr>
          <w:rStyle w:val="MdStrong"/>
          <w:b/>
          <w:bCs/>
        </w:rPr>
        <w:t xml:space="preserve">What ChatGPT changes today.</w:t>
      </w:r>
      <w:r>
        <w:t xml:space="preserve"> OpenAI’s October 5, 2026 announcement says its new visual ad unit would begin later that month during image generation for Free and Go users in the U.S., with an initial group of advertisers. OpenAI cites early partner outcomes for consumer brands, but it has not supplied local-service case evidence. Treat ChatGPT ads as a </w:t>
      </w:r>
      <w:r>
        <w:rPr>
          <w:rStyle w:val="MdStrong"/>
          <w:b/>
          <w:bCs/>
        </w:rPr>
        <w:t xml:space="preserve">watchlist or small experiment</w:t>
      </w:r>
      <w:r>
        <w:t xml:space="preserve">, not a channel to shift a working LSA/Search budget into. </w:t>
      </w:r>
      <w:hyperlink w:history="1" r:id="rIdw3pd73xgh4qkebdp7pjju">
        <w:r>
          <w:rPr>
            <w:rStyle w:val="MdLink"/>
          </w:rPr>
          <w:t xml:space="preserve">18</w:t>
        </w:r>
      </w:hyperlink>
    </w:p>
    <w:p>
      <w:pPr>
        <w:pStyle w:val="MdSpace"/>
        <w:spacing w:before="0" w:after="60"/>
      </w:pPr>
    </w:p>
    <w:p>
      <w:pPr>
        <w:pStyle w:val="MdParagraph"/>
      </w:pPr>
      <w:r>
        <w:t xml:space="preserve">Microsoft is further along with Copilot ad formats, but its March 5, 2025 announcement described select-client pilots for new formats; its relevance and click-through figures are Microsoft internal data. Again: an advertising product exists, but it is not yet a documented must-buy local lead source. </w:t>
      </w:r>
      <w:hyperlink w:history="1" r:id="rIdeuz6w_afcg57bwmia4tfh">
        <w:r>
          <w:rPr>
            <w:rStyle w:val="MdLink"/>
          </w:rPr>
          <w:t xml:space="preserve">20</w:t>
        </w:r>
      </w:hyperlink>
    </w:p>
    <w:p>
      <w:pPr>
        <w:pStyle w:val="MdSpace"/>
        <w:spacing w:before="0" w:after="60"/>
      </w:pPr>
    </w:p>
    <w:p>
      <w:pPr>
        <w:pStyle w:val="MdParagraph"/>
      </w:pPr>
      <w:r>
        <w:t xml:space="preserve">Meta is using AI heavily inside its normal ad machinery. Meta claimed in May 2025 that tests of its Reels recommendation model produced up to 5% higher conversions and that Advantage+ returned $4.52 per dollar. Those are </w:t>
      </w:r>
      <w:r>
        <w:rPr>
          <w:rStyle w:val="MdStrong"/>
          <w:b/>
          <w:bCs/>
        </w:rPr>
        <w:t xml:space="preserve">[vendor claims]</w:t>
      </w:r>
      <w:r>
        <w:t xml:space="preserve">. For a local service, Meta is generally a demand-creation and retargeting channel; do not judge it by the same “emergency-call” standard as Search. </w:t>
      </w:r>
      <w:hyperlink w:history="1" r:id="rIdj3kuq-t0hk5mkxre5hqpb">
        <w:r>
          <w:rPr>
            <w:rStyle w:val="MdLink"/>
          </w:rPr>
          <w:t xml:space="preserve">19</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Paid-media cost</w:t>
            </w:r>
          </w:p>
        </w:tc>
        <w:tc>
          <w:tcPr>
            <w:tcMar>
              <w:top w:type="dxa" w:w="100"/>
              <w:left w:type="dxa" w:w="120"/>
              <w:bottom w:type="dxa" w:w="100"/>
              <w:right w:type="dxa" w:w="120"/>
            </w:tcMar>
            <w:vAlign w:val="center"/>
          </w:tcPr>
          <w:p>
            <w:pPr>
              <w:pStyle w:val="MdTableHeader"/>
            </w:pPr>
            <w:r>
              <w:t xml:space="preserve">Best evidence available</w:t>
            </w:r>
          </w:p>
        </w:tc>
        <w:tc>
          <w:tcPr>
            <w:tcBorders>
              <w:right w:val="none"/>
            </w:tcBorders>
            <w:tcMar>
              <w:top w:type="dxa" w:w="100"/>
              <w:left w:type="dxa" w:w="120"/>
              <w:bottom w:type="dxa" w:w="100"/>
              <w:right w:type="dxa" w:w="120"/>
            </w:tcMar>
            <w:vAlign w:val="center"/>
          </w:tcPr>
          <w:p>
            <w:pPr>
              <w:pStyle w:val="MdTableHeader"/>
            </w:pPr>
            <w:r>
              <w:t xml:space="preserve">How to use the number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Search: Home &amp; Home Improvement</w:t>
            </w:r>
          </w:p>
        </w:tc>
        <w:tc>
          <w:tcPr>
            <w:tcMar>
              <w:top w:type="dxa" w:w="80"/>
              <w:left w:type="dxa" w:w="120"/>
              <w:bottom w:type="dxa" w:w="80"/>
              <w:right w:type="dxa" w:w="120"/>
            </w:tcMar>
            <w:vAlign w:val="center"/>
          </w:tcPr>
          <w:p>
            <w:pPr>
              <w:pStyle w:val="MdTableCell"/>
            </w:pPr>
            <w:r>
              <w:t xml:space="preserve">Median </w:t>
            </w:r>
            <w:r>
              <w:rPr>
                <w:rStyle w:val="MdStrong"/>
                <w:b/>
                <w:bCs/>
              </w:rPr>
              <w:t xml:space="preserve">$7.85 CPC</w:t>
            </w:r>
            <w:r>
              <w:t xml:space="preserve"> and </w:t>
            </w:r>
            <w:r>
              <w:rPr>
                <w:rStyle w:val="MdStrong"/>
                <w:b/>
                <w:bCs/>
              </w:rPr>
              <w:t xml:space="preserve">$90.92 CPL</w:t>
            </w:r>
            <w:r>
              <w:t xml:space="preserve"> in WordStream/LocaliQ’s 16,446 U.S. campaigns from Apr. 2024–Mar. 2025. </w:t>
            </w:r>
            <w:r>
              <w:rPr>
                <w:rStyle w:val="MdStrong"/>
                <w:b/>
                <w:bCs/>
              </w:rPr>
              <w:t xml:space="preserve">[vendor benchmark]</w:t>
            </w:r>
            <w:r>
              <w:t xml:space="preserve"> </w:t>
            </w:r>
            <w:hyperlink w:history="1" r:id="rIdhubrmhiuy_6q-egghdjld">
              <w:r>
                <w:rPr>
                  <w:rStyle w:val="MdLink"/>
                </w:rPr>
                <w:t xml:space="preserve">16</w:t>
              </w:r>
            </w:hyperlink>
          </w:p>
        </w:tc>
        <w:tc>
          <w:tcPr>
            <w:tcBorders>
              <w:right w:val="none"/>
            </w:tcBorders>
            <w:tcMar>
              <w:top w:type="dxa" w:w="80"/>
              <w:left w:type="dxa" w:w="120"/>
              <w:bottom w:type="dxa" w:w="80"/>
              <w:right w:type="dxa" w:w="120"/>
            </w:tcMar>
            <w:vAlign w:val="center"/>
          </w:tcPr>
          <w:p>
            <w:pPr>
              <w:pStyle w:val="MdTableCell"/>
            </w:pPr>
            <w:r>
              <w:t xml:space="preserve">A planning prior only. It spans a broad category; a plumber in a major metro, a lawn service, and pest control will not share the same economics.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 Services Ads</w:t>
            </w:r>
          </w:p>
        </w:tc>
        <w:tc>
          <w:tcPr>
            <w:tcMar>
              <w:top w:type="dxa" w:w="80"/>
              <w:left w:type="dxa" w:w="120"/>
              <w:bottom w:type="dxa" w:w="80"/>
              <w:right w:type="dxa" w:w="120"/>
            </w:tcMar>
            <w:vAlign w:val="center"/>
          </w:tcPr>
          <w:p>
            <w:pPr>
              <w:pStyle w:val="MdTableCell"/>
            </w:pPr>
            <w:r>
              <w:t xml:space="preserve">Pay per lead related to the business; Google does not publish a universal price. </w:t>
            </w:r>
            <w:hyperlink w:history="1" r:id="rIdvjvzoyzklgmbjgmvyvgab">
              <w:r>
                <w:rPr>
                  <w:rStyle w:val="MdLink"/>
                </w:rPr>
                <w:t xml:space="preserve">15</w:t>
              </w:r>
            </w:hyperlink>
          </w:p>
        </w:tc>
        <w:tc>
          <w:tcPr>
            <w:tcBorders>
              <w:right w:val="none"/>
            </w:tcBorders>
            <w:tcMar>
              <w:top w:type="dxa" w:w="80"/>
              <w:left w:type="dxa" w:w="120"/>
              <w:bottom w:type="dxa" w:w="80"/>
              <w:right w:type="dxa" w:w="120"/>
            </w:tcMar>
            <w:vAlign w:val="center"/>
          </w:tcPr>
          <w:p>
            <w:pPr>
              <w:pStyle w:val="MdTableCell"/>
            </w:pPr>
            <w:r>
              <w:t xml:space="preserve">Use a weekly lead-quality and booked-job review, not a national CPL promise.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PPC management</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$500–$2,500/month plus ad spend</w:t>
            </w:r>
            <w:r>
              <w:t xml:space="preserve"> in a home-service agency’s public guide. </w:t>
            </w:r>
            <w:r>
              <w:rPr>
                <w:rStyle w:val="MdStrong"/>
                <w:b/>
                <w:bCs/>
              </w:rPr>
              <w:t xml:space="preserve">[vendor claim]</w:t>
            </w:r>
            <w:r>
              <w:t xml:space="preserve"> </w:t>
            </w:r>
            <w:hyperlink w:history="1" r:id="rIdzlz2gmalyx6bn-rstxvep">
              <w:r>
                <w:rPr>
                  <w:rStyle w:val="MdLink"/>
                </w:rPr>
                <w:t xml:space="preserve">26</w:t>
              </w:r>
            </w:hyperlink>
            <w:r>
              <w:t xml:space="preserve"> Another agency comparison lists </w:t>
            </w:r>
            <w:r>
              <w:rPr>
                <w:rStyle w:val="MdStrong"/>
                <w:b/>
                <w:bCs/>
              </w:rPr>
              <w:t xml:space="preserve">$500–$1,500/month plus spend</w:t>
            </w:r>
            <w:r>
              <w:t xml:space="preserve"> for budget contractor PPC. </w:t>
            </w:r>
            <w:r>
              <w:rPr>
                <w:rStyle w:val="MdStrong"/>
                <w:b/>
                <w:bCs/>
              </w:rPr>
              <w:t xml:space="preserve">[vendor claim]</w:t>
            </w:r>
            <w:r>
              <w:t xml:space="preserve"> </w:t>
            </w:r>
            <w:hyperlink w:history="1" r:id="rIdtk6qh1q-uupf5w0pmn8sh">
              <w:r>
                <w:rPr>
                  <w:rStyle w:val="MdLink"/>
                </w:rPr>
                <w:t xml:space="preserve">27</w:t>
              </w:r>
            </w:hyperlink>
          </w:p>
        </w:tc>
        <w:tc>
          <w:tcPr>
            <w:tcBorders>
              <w:bottom w:val="single" w:color="E1E4E8" w:sz="4"/>
              <w:right w:val="none"/>
            </w:tcBorders>
            <w:tcMar>
              <w:top w:type="dxa" w:w="80"/>
              <w:left w:type="dxa" w:w="120"/>
              <w:bottom w:type="dxa" w:w="80"/>
              <w:right w:type="dxa" w:w="120"/>
            </w:tcMar>
            <w:vAlign w:val="center"/>
          </w:tcPr>
          <w:p>
            <w:pPr>
              <w:pStyle w:val="MdTableCell"/>
            </w:pPr>
            <w:r>
              <w:t xml:space="preserve">Ask whether the fee includes LSA, landing pages, call tracking, reporting, and lead disputes.</w:t>
            </w:r>
          </w:p>
        </w:tc>
      </w:tr>
    </w:tbl>
    <w:p>
      <w:pPr>
        <w:pStyle w:val="MdParagraph"/>
      </w:pPr>
      <w:r>
        <w:t xml:space="preserve">A rough first test is </w:t>
      </w:r>
      <w:r>
        <w:rPr>
          <w:rStyle w:val="MdStrong"/>
          <w:b/>
          <w:bCs/>
        </w:rPr>
        <w:t xml:space="preserve">$1,000–$1,500 in ad spend for one service and one service area</w:t>
      </w:r>
      <w:r>
        <w:t xml:space="preserve">, not five channels. Dividing that by the broad $90.92 search-lead median yields roughly </w:t>
      </w:r>
      <w:r>
        <w:rPr>
          <w:rStyle w:val="MdStrong"/>
          <w:b/>
          <w:bCs/>
        </w:rPr>
        <w:t xml:space="preserve">11–16.5 leads</w:t>
      </w:r>
      <w:r>
        <w:t xml:space="preserve">—planning arithmetic, not a forecast. It may be too little data in an expensive trade or enough in a cheaper one. Add management only if there is enough budget and time to judge it; otherwise the fee can exceed the media learning budget.</w:t>
      </w:r>
    </w:p>
    <w:p>
      <w:pPr>
        <w:pStyle w:val="MdSpace"/>
        <w:spacing w:before="0" w:after="60"/>
      </w:pPr>
    </w:p>
    <w:p>
      <w:pPr>
        <w:pStyle w:val="MdParagraph"/>
      </w:pPr>
      <w:r>
        <w:t xml:space="preserve">The test must track: source, caller/contacted, qualified, estimate scheduled, estimate sold, and gross margin. A low cost per lead is not a win if the leads cannot be reached or do not book.</w:t>
      </w:r>
    </w:p>
    <w:p>
      <w:pPr>
        <w:pStyle w:val="MdSpace"/>
        <w:spacing w:before="0" w:after="60"/>
      </w:pPr>
    </w:p>
    <w:p>
      <w:pPr>
        <w:pStyle w:val="Heading2"/>
        <w:pStyle w:val="MdHeading2"/>
      </w:pPr>
      <w:r>
        <w:t xml:space="preserve">5. Reviews and reputation: real customer language becomes the proof layer</w:t>
      </w:r>
    </w:p>
    <w:p>
      <w:pPr>
        <w:pStyle w:val="MdParagraph"/>
      </w:pPr>
      <w:r>
        <w:t xml:space="preserve">AI summaries may surface review patterns, but they do not make fake reviews safer. Google said in April 2025 that it blocked or removed more than </w:t>
      </w:r>
      <w:r>
        <w:rPr>
          <w:rStyle w:val="MdStrong"/>
          <w:b/>
          <w:bCs/>
        </w:rPr>
        <w:t xml:space="preserve">240 million</w:t>
      </w:r>
      <w:r>
        <w:t xml:space="preserve"> policy-violating reviews from 2024 and used AI to identify suspicious behavior. That is a Google enforcement statistic, not a count of reviews affecting honest local businesses. </w:t>
      </w:r>
      <w:hyperlink w:history="1" r:id="rIdbxtyzqzvfllofi6q_j79t">
        <w:r>
          <w:rPr>
            <w:rStyle w:val="MdLink"/>
          </w:rPr>
          <w:t xml:space="preserve">22</w:t>
        </w:r>
      </w:hyperlink>
    </w:p>
    <w:p>
      <w:pPr>
        <w:pStyle w:val="MdSpace"/>
        <w:spacing w:before="0" w:after="60"/>
      </w:pPr>
    </w:p>
    <w:p>
      <w:pPr>
        <w:pStyle w:val="MdParagraph"/>
      </w:pPr>
      <w:r>
        <w:t xml:space="preserve">The Federal Trade Commission’s Consumer Reviews and Testimonials Rule took effect October 21, 2024. The FTC says incentives are not automatically prohibited, but they cannot be conditioned—expressly or implicitly—on a positive sentiment; paying for 5-star reviews violates the rule. Knowingly fake or deceptive reviews can lead to civil penalties. </w:t>
      </w:r>
      <w:hyperlink w:history="1" r:id="rIdjjdxutdej_qtwdal_nowk">
        <w:r>
          <w:rPr>
            <w:rStyle w:val="MdLink"/>
          </w:rPr>
          <w:t xml:space="preserve">21</w:t>
        </w:r>
      </w:hyperlink>
    </w:p>
    <w:p>
      <w:pPr>
        <w:pStyle w:val="MdSpace"/>
        <w:spacing w:before="0" w:after="60"/>
      </w:pPr>
    </w:p>
    <w:p>
      <w:pPr>
        <w:pStyle w:val="MdParagraph"/>
      </w:pPr>
      <w:r>
        <w:t xml:space="preserve">BrightLocal’s 2025 Local Consumer Review Survey used a representative panel of 1,026 U.S. adults and found consumers looked at review detail, photos, and videos, while trust in reviews “as much as” personal recommendations had dropped to 42%. This is a </w:t>
      </w:r>
      <w:r>
        <w:rPr>
          <w:rStyle w:val="MdStrong"/>
          <w:b/>
          <w:bCs/>
        </w:rPr>
        <w:t xml:space="preserve">[vendor survey]</w:t>
      </w:r>
      <w:r>
        <w:t xml:space="preserve">, but it is a useful warning not to chase star count alone. </w:t>
      </w:r>
      <w:hyperlink w:history="1" r:id="rIdekrc51j77vhxhrjbwlol3">
        <w:r>
          <w:rPr>
            <w:rStyle w:val="MdLink"/>
          </w:rPr>
          <w:t xml:space="preserve">30</w:t>
        </w:r>
      </w:hyperlink>
    </w:p>
    <w:p>
      <w:pPr>
        <w:pStyle w:val="MdSpace"/>
        <w:spacing w:before="0" w:after="60"/>
      </w:pPr>
    </w:p>
    <w:p>
      <w:pPr>
        <w:pStyle w:val="MdParagraph"/>
      </w:pPr>
      <w:r>
        <w:t xml:space="preserve">The 2026 BrightLocal AI-local survey adds an important nuance: 88% of AI users said they checked a review’s legitimacy or source. Again, that is a </w:t>
      </w:r>
      <w:r>
        <w:rPr>
          <w:rStyle w:val="MdStrong"/>
          <w:b/>
          <w:bCs/>
        </w:rPr>
        <w:t xml:space="preserve">[vendor survey]</w:t>
      </w:r>
      <w:r>
        <w:t xml:space="preserve">, but it supports a simple point: an AI summary may start discovery, while the real profile and real reviews close the trust gap. </w:t>
      </w:r>
      <w:hyperlink w:history="1" r:id="rIdnifbykrt4afh_6pslofvf">
        <w:r>
          <w:rPr>
            <w:rStyle w:val="MdLink"/>
          </w:rPr>
          <w:t xml:space="preserve">4</w:t>
        </w:r>
      </w:hyperlink>
    </w:p>
    <w:p>
      <w:pPr>
        <w:pStyle w:val="MdSpace"/>
        <w:spacing w:before="0" w:after="60"/>
      </w:pPr>
    </w:p>
    <w:p>
      <w:pPr>
        <w:pStyle w:val="MdParagraph"/>
      </w:pPr>
      <w:r>
        <w:rPr>
          <w:rStyle w:val="MdStrong"/>
          <w:b/>
          <w:bCs/>
        </w:rPr>
        <w:t xml:space="preserve">What agencies actually do here:</w:t>
      </w:r>
      <w:r>
        <w:t xml:space="preserve"> automated but neutral requests after a completed job; reply drafts generated by AI and checked by a human; photo collection; review monitoring; and escalation of service failures before a public dispute grows. The good version is a customer-service process, not a review-farming process. No cited study here proves that AI-written replies alone improve Maps rank or calls; treat that promise as unverified.</w:t>
      </w:r>
    </w:p>
    <w:p>
      <w:pPr>
        <w:pStyle w:val="MdSpace"/>
        <w:spacing w:before="0" w:after="60"/>
      </w:pPr>
    </w:p>
    <w:p>
      <w:pPr>
        <w:pStyle w:val="MdParagraph"/>
      </w:pPr>
      <w:r>
        <w:rPr>
          <w:rStyle w:val="MdStrong"/>
          <w:b/>
          <w:bCs/>
        </w:rPr>
        <w:t xml:space="preserve">Small-business version and cost.</w:t>
      </w:r>
      <w:r>
        <w:t xml:space="preserve"> Google Business Profile is free. The incremental software cost can be </w:t>
      </w:r>
      <w:r>
        <w:rPr>
          <w:rStyle w:val="MdStrong"/>
          <w:b/>
          <w:bCs/>
        </w:rPr>
        <w:t xml:space="preserve">$0</w:t>
      </w:r>
      <w:r>
        <w:t xml:space="preserve"> if the existing CRM sends a neutral request after a completed job; the important cost is </w:t>
      </w:r>
      <w:r>
        <w:rPr>
          <w:rStyle w:val="MdStrong"/>
          <w:b/>
          <w:bCs/>
        </w:rPr>
        <w:t xml:space="preserve">10 minutes a day</w:t>
      </w:r>
      <w:r>
        <w:t xml:space="preserve"> to read and reply. A compliant request is: “Thanks for choosing us. Would you share an honest review of your experience? Here is the link.” Send it to every eligible completed job, not only happy customers. Do not have staff write reviews, buy reviews, screen unhappy customers out, or offer a reward for a positive rating.</w:t>
      </w:r>
    </w:p>
    <w:p>
      <w:pPr>
        <w:pStyle w:val="MdSpace"/>
        <w:spacing w:before="0" w:after="60"/>
      </w:pPr>
    </w:p>
    <w:p>
      <w:pPr>
        <w:pStyle w:val="Heading2"/>
        <w:pStyle w:val="MdHeading2"/>
      </w:pPr>
      <w:r>
        <w:t xml:space="preserve">6. First-party data and CRM follow-up: do not build an enterprise data project</w:t>
      </w:r>
    </w:p>
    <w:p>
      <w:pPr>
        <w:pStyle w:val="MdParagraph"/>
      </w:pPr>
      <w:r>
        <w:t xml:space="preserve">“First-party data” here simply means the information a company receives directly from a homeowner: contact details, consent, service address, source, job type, estimate, booking, invoice, repeat-service date, and feedback. Agencies implement this with CRM tags, call tracking, quote reminders, and reactivation sequences; field-service platforms package much of it in one product. For a small operator, its value is not fancy personalization. It is knowing which lead was called, whether it booked, and when to follow up.</w:t>
      </w:r>
    </w:p>
    <w:p>
      <w:pPr>
        <w:pStyle w:val="MdSpace"/>
        <w:spacing w:before="0" w:after="60"/>
      </w:pPr>
    </w:p>
    <w:p>
      <w:pPr>
        <w:pStyle w:val="MdParagraph"/>
      </w:pPr>
      <w:r>
        <w:t xml:space="preserve">Salesforce’s February 2026 State of Marketing survey of 4,450 worldwide marketing decision-makers found 69% struggled to respond promptly, while marketers satisfied with unified data were 42% more likely to say they regularly responded. This is a </w:t>
      </w:r>
      <w:r>
        <w:rPr>
          <w:rStyle w:val="MdStrong"/>
          <w:b/>
          <w:bCs/>
        </w:rPr>
        <w:t xml:space="preserve">[vendor survey]</w:t>
      </w:r>
      <w:r>
        <w:t xml:space="preserve"> of larger marketing teams and cannot establish causation for a local service company. Its practical lesson is still sound: if calls, texts, estimates, and appointments live in separate places, automation will send generic or mistimed messages. </w:t>
      </w:r>
      <w:hyperlink w:history="1" r:id="rIdmqpkq8g9z8aty8avgv335">
        <w:r>
          <w:rPr>
            <w:rStyle w:val="MdLink"/>
          </w:rPr>
          <w:t xml:space="preserve">23</w:t>
        </w:r>
      </w:hyperlink>
    </w:p>
    <w:p>
      <w:pPr>
        <w:pStyle w:val="MdSpace"/>
        <w:spacing w:before="0" w:after="60"/>
      </w:pPr>
    </w:p>
    <w:p>
      <w:pPr>
        <w:pStyle w:val="MdParagraph"/>
      </w:pPr>
      <w:r>
        <w:t xml:space="preserve">Twilio’s June 2025 global survey similarly found a gap between businesses’ claimed personalization and consumers’ feeling understood. It is another </w:t>
      </w:r>
      <w:r>
        <w:rPr>
          <w:rStyle w:val="MdStrong"/>
          <w:b/>
          <w:bCs/>
        </w:rPr>
        <w:t xml:space="preserve">[vendor survey]</w:t>
      </w:r>
      <w:r>
        <w:t xml:space="preserve">, not a reason for a small business to buy a customer-data platform. </w:t>
      </w:r>
      <w:hyperlink w:history="1" r:id="rIddk39d36k2mjsqbmj6bhjj">
        <w:r>
          <w:rPr>
            <w:rStyle w:val="MdLink"/>
          </w:rPr>
          <w:t xml:space="preserve">24</w:t>
        </w:r>
      </w:hyperlink>
    </w:p>
    <w:p>
      <w:pPr>
        <w:pStyle w:val="MdSpace"/>
        <w:spacing w:before="0" w:after="60"/>
      </w:pPr>
    </w:p>
    <w:p>
      <w:pPr>
        <w:pStyle w:val="MdParagraph"/>
      </w:pPr>
      <w:r>
        <w:t xml:space="preserve">A field-service CRM can be an economical all-in-one option. Jobber publicly lists one-user Core at </w:t>
      </w:r>
      <w:r>
        <w:rPr>
          <w:rStyle w:val="MdStrong"/>
          <w:b/>
          <w:bCs/>
        </w:rPr>
        <w:t xml:space="preserve">$49/month month-to-month</w:t>
      </w:r>
      <w:r>
        <w:t xml:space="preserve"> or </w:t>
      </w:r>
      <w:r>
        <w:rPr>
          <w:rStyle w:val="MdStrong"/>
          <w:b/>
          <w:bCs/>
        </w:rPr>
        <w:t xml:space="preserve">$29/month billed annually</w:t>
      </w:r>
      <w:r>
        <w:t xml:space="preserve">, with customer management, online booking, quotes, invoices, payments, and reporting; two-way texting and more automation sit higher in the tiers. </w:t>
      </w:r>
      <w:hyperlink w:history="1" r:id="rIdszdf8zxz6zwirkj4uoap8">
        <w:r>
          <w:rPr>
            <w:rStyle w:val="MdLink"/>
          </w:rPr>
          <w:t xml:space="preserve">25</w:t>
        </w:r>
      </w:hyperlink>
      <w:r>
        <w:t xml:space="preserve"> CallRail starts Lead Tracking at </w:t>
      </w:r>
      <w:r>
        <w:rPr>
          <w:rStyle w:val="MdStrong"/>
          <w:b/>
          <w:bCs/>
        </w:rPr>
        <w:t xml:space="preserve">$50/month</w:t>
      </w:r>
      <w:r>
        <w:t xml:space="preserve"> for call/text attribution and 250 minutes, then adds form tracking and conversation intelligence at higher levels. </w:t>
      </w:r>
      <w:hyperlink w:history="1" r:id="rIdg1hcqqf3ugma_p5anhz1e">
        <w:r>
          <w:rPr>
            <w:rStyle w:val="MdLink"/>
          </w:rPr>
          <w:t xml:space="preserve">8</w:t>
        </w:r>
      </w:hyperlink>
    </w:p>
    <w:p>
      <w:pPr>
        <w:pStyle w:val="MdSpace"/>
        <w:spacing w:before="0" w:after="60"/>
      </w:pPr>
    </w:p>
    <w:p>
      <w:pPr>
        <w:pStyle w:val="MdParagraph"/>
      </w:pPr>
      <w:r>
        <w:rPr>
          <w:rStyle w:val="MdStrong"/>
          <w:b/>
          <w:bCs/>
        </w:rPr>
        <w:t xml:space="preserve">The small-business data model needs six fields, not a data team:</w:t>
      </w:r>
    </w:p>
    <w:p>
      <w:pPr>
        <w:pStyle w:val="MdSpace"/>
        <w:spacing w:before="0" w:after="60"/>
      </w:pPr>
    </w:p>
    <w:p>
      <w:pPr>
        <w:pStyle w:val="MdListItem"/>
        <w:numPr>
          <w:ilvl w:val="0"/>
          <w:numId w:val="2"/>
        </w:numPr>
      </w:pPr>
      <w:r>
        <w:t xml:space="preserve">Lead source and campaign or referral.</w:t>
      </w:r>
    </w:p>
    <w:p>
      <w:pPr>
        <w:pStyle w:val="MdListItem"/>
        <w:numPr>
          <w:ilvl w:val="0"/>
          <w:numId w:val="2"/>
        </w:numPr>
      </w:pPr>
      <w:r>
        <w:t xml:space="preserve">Contact attempt and response time.</w:t>
      </w:r>
    </w:p>
    <w:p>
      <w:pPr>
        <w:pStyle w:val="MdListItem"/>
        <w:numPr>
          <w:ilvl w:val="0"/>
          <w:numId w:val="2"/>
        </w:numPr>
      </w:pPr>
      <w:r>
        <w:t xml:space="preserve">Service requested and address/ZIP.</w:t>
      </w:r>
    </w:p>
    <w:p>
      <w:pPr>
        <w:pStyle w:val="MdListItem"/>
        <w:numPr>
          <w:ilvl w:val="0"/>
          <w:numId w:val="2"/>
        </w:numPr>
      </w:pPr>
      <w:r>
        <w:t xml:space="preserve">Qualified or not, with reason.</w:t>
      </w:r>
    </w:p>
    <w:p>
      <w:pPr>
        <w:pStyle w:val="MdListItem"/>
        <w:numPr>
          <w:ilvl w:val="0"/>
          <w:numId w:val="2"/>
        </w:numPr>
      </w:pPr>
      <w:r>
        <w:t xml:space="preserve">Estimate/booking and closed-won/closed-lost result.</w:t>
      </w:r>
    </w:p>
    <w:p>
      <w:pPr>
        <w:pStyle w:val="MdListItem"/>
        <w:numPr>
          <w:ilvl w:val="0"/>
          <w:numId w:val="2"/>
        </w:numPr>
      </w:pPr>
      <w:r>
        <w:t xml:space="preserve">Next action: quote follow-up, review request, seasonal reminder, renewal, or no contact.</w:t>
      </w:r>
    </w:p>
    <w:p>
      <w:pPr>
        <w:pStyle w:val="MdSpace"/>
        <w:spacing w:before="0" w:after="60"/>
      </w:pPr>
    </w:p>
    <w:p>
      <w:pPr>
        <w:pStyle w:val="MdParagraph"/>
      </w:pPr>
      <w:r>
        <w:t xml:space="preserve">Every new lead should get one immediate confirmation, one human call or message within the promised window, and a small number of useful follow-ups. Every finished job should trigger a review request and, when relevant, a future service reminder. Use opt-in/opt-out records and make the system honor them.</w:t>
      </w:r>
    </w:p>
    <w:p>
      <w:pPr>
        <w:pStyle w:val="MdSpace"/>
        <w:spacing w:before="0" w:after="60"/>
      </w:pPr>
    </w:p>
    <w:p>
      <w:pPr>
        <w:pStyle w:val="Heading2"/>
        <w:pStyle w:val="MdHeading2"/>
      </w:pPr>
      <w:r>
        <w:t xml:space="preserve">What agencies charge now—and how to read the proposal</w:t>
      </w:r>
    </w:p>
    <w:p>
      <w:pPr>
        <w:pStyle w:val="MdParagraph"/>
      </w:pPr>
      <w:r>
        <w:t xml:space="preserve">The cleanest independent-ish picture is still provider surveys, and they are imperfect. Ahrefs’ August 2024 survey of 439 SEO providers found local SEO averaged </w:t>
      </w:r>
      <w:r>
        <w:rPr>
          <w:rStyle w:val="MdStrong"/>
          <w:b/>
          <w:bCs/>
        </w:rPr>
        <w:t xml:space="preserve">$1,557/month</w:t>
      </w:r>
      <w:r>
        <w:t xml:space="preserve">, while </w:t>
      </w:r>
      <w:r>
        <w:rPr>
          <w:rStyle w:val="MdStrong"/>
          <w:b/>
          <w:bCs/>
        </w:rPr>
        <w:t xml:space="preserve">$501–$1,000</w:t>
      </w:r>
      <w:r>
        <w:t xml:space="preserve"> was the most common retainer band overall and 78.2% offered monthly retainers. It is a </w:t>
      </w:r>
      <w:r>
        <w:rPr>
          <w:rStyle w:val="MdStrong"/>
          <w:b/>
          <w:bCs/>
        </w:rPr>
        <w:t xml:space="preserve">[vendor survey]</w:t>
      </w:r>
      <w:r>
        <w:t xml:space="preserve">, and “local SEO” does not tell you the scope. </w:t>
      </w:r>
      <w:hyperlink w:history="1" r:id="rIduqicpxr7igzeineoezxzp">
        <w:r>
          <w:rPr>
            <w:rStyle w:val="MdLink"/>
          </w:rPr>
          <w:t xml:space="preserve">29</w:t>
        </w:r>
      </w:hyperlink>
    </w:p>
    <w:p>
      <w:pPr>
        <w:pStyle w:val="MdSpace"/>
        <w:spacing w:before="0" w:after="60"/>
      </w:pPr>
    </w:p>
    <w:p>
      <w:pPr>
        <w:pStyle w:val="MdParagraph"/>
      </w:pPr>
      <w:r>
        <w:t xml:space="preserve">SE Ranking/Duda’s 260-agency survey is more directly relevant to small/local clients: 53% preferred retainers, 64% charged under $1,000/month, 85% bundled services, and 93% also offered PPC, social, web design, or maintenance. It also said intended/established AI-optimization pricing averaged about $937/month among agencies that had priced it. Again: this tells you how agencies package and price, not which package works. </w:t>
      </w:r>
      <w:hyperlink w:history="1" r:id="rIdpw543mprerk4t0dkt9tmh">
        <w:r>
          <w:rPr>
            <w:rStyle w:val="MdLink"/>
          </w:rPr>
          <w:t xml:space="preserve">3</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Pricing model</w:t>
            </w:r>
          </w:p>
        </w:tc>
        <w:tc>
          <w:tcPr>
            <w:tcMar>
              <w:top w:type="dxa" w:w="100"/>
              <w:left w:type="dxa" w:w="120"/>
              <w:bottom w:type="dxa" w:w="100"/>
              <w:right w:type="dxa" w:w="120"/>
            </w:tcMar>
            <w:vAlign w:val="center"/>
          </w:tcPr>
          <w:p>
            <w:pPr>
              <w:pStyle w:val="MdTableHeader"/>
              <w:jc w:val="right"/>
            </w:pPr>
            <w:r>
              <w:t xml:space="preserve">Real-dollar reference</w:t>
            </w:r>
          </w:p>
        </w:tc>
        <w:tc>
          <w:tcPr>
            <w:tcBorders>
              <w:right w:val="none"/>
            </w:tcBorders>
            <w:tcMar>
              <w:top w:type="dxa" w:w="100"/>
              <w:left w:type="dxa" w:w="120"/>
              <w:bottom w:type="dxa" w:w="100"/>
              <w:right w:type="dxa" w:w="120"/>
            </w:tcMar>
            <w:vAlign w:val="center"/>
          </w:tcPr>
          <w:p>
            <w:pPr>
              <w:pStyle w:val="MdTableHeader"/>
            </w:pPr>
            <w:r>
              <w:t xml:space="preserve">What to insist 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Local SEO / profile / content retainer</w:t>
            </w:r>
          </w:p>
        </w:tc>
        <w:tc>
          <w:tcPr>
            <w:tcMar>
              <w:top w:type="dxa" w:w="80"/>
              <w:left w:type="dxa" w:w="120"/>
              <w:bottom w:type="dxa" w:w="80"/>
              <w:right w:type="dxa" w:w="120"/>
            </w:tcMar>
            <w:vAlign w:val="center"/>
          </w:tcPr>
          <w:p>
            <w:pPr>
              <w:pStyle w:val="MdTableCell"/>
              <w:jc w:val="right"/>
            </w:pPr>
            <w:r>
              <w:t xml:space="preserve">Most common overall SEO retainer band: </w:t>
            </w:r>
            <w:r>
              <w:rPr>
                <w:rStyle w:val="MdStrong"/>
                <w:b/>
                <w:bCs/>
              </w:rPr>
              <w:t xml:space="preserve">$501–$1,000</w:t>
            </w:r>
            <w:r>
              <w:t xml:space="preserve">; local-SEO average: </w:t>
            </w:r>
            <w:r>
              <w:rPr>
                <w:rStyle w:val="MdStrong"/>
                <w:b/>
                <w:bCs/>
              </w:rPr>
              <w:t xml:space="preserve">$1,557/month</w:t>
            </w:r>
            <w:r>
              <w:t xml:space="preserve"> in Ahrefs’ provider survey. </w:t>
            </w:r>
            <w:r>
              <w:rPr>
                <w:rStyle w:val="MdStrong"/>
                <w:b/>
                <w:bCs/>
              </w:rPr>
              <w:t xml:space="preserve">[vendor survey]</w:t>
            </w:r>
            <w:r>
              <w:t xml:space="preserve"> </w:t>
            </w:r>
            <w:hyperlink w:history="1" r:id="rIdbnj2kofgcqcaxvlmufnwr">
              <w:r>
                <w:rPr>
                  <w:rStyle w:val="MdLink"/>
                </w:rPr>
                <w:t xml:space="preserve">29</w:t>
              </w:r>
            </w:hyperlink>
          </w:p>
        </w:tc>
        <w:tc>
          <w:tcPr>
            <w:tcBorders>
              <w:right w:val="none"/>
            </w:tcBorders>
            <w:tcMar>
              <w:top w:type="dxa" w:w="80"/>
              <w:left w:type="dxa" w:w="120"/>
              <w:bottom w:type="dxa" w:w="80"/>
              <w:right w:type="dxa" w:w="120"/>
            </w:tcMar>
            <w:vAlign w:val="center"/>
          </w:tcPr>
          <w:p>
            <w:pPr>
              <w:pStyle w:val="MdTableCell"/>
            </w:pPr>
            <w:r>
              <w:t xml:space="preserve">Named pages, listing work, review workflow, technical fixes, reporting, and what will not be done. Do not accept “GEO” as the full scope.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AI-search add-on</w:t>
            </w:r>
          </w:p>
        </w:tc>
        <w:tc>
          <w:tcPr>
            <w:tcMar>
              <w:top w:type="dxa" w:w="80"/>
              <w:left w:type="dxa" w:w="120"/>
              <w:bottom w:type="dxa" w:w="80"/>
              <w:right w:type="dxa" w:w="120"/>
            </w:tcMar>
            <w:vAlign w:val="center"/>
          </w:tcPr>
          <w:p>
            <w:pPr>
              <w:pStyle w:val="MdTableCell"/>
              <w:jc w:val="right"/>
            </w:pPr>
            <w:r>
              <w:t xml:space="preserve">Around </w:t>
            </w:r>
            <w:r>
              <w:rPr>
                <w:rStyle w:val="MdStrong"/>
                <w:b/>
                <w:bCs/>
              </w:rPr>
              <w:t xml:space="preserve">$937/month</w:t>
            </w:r>
            <w:r>
              <w:t xml:space="preserve"> among agencies in the SE Ranking/Duda sample that had priced it. </w:t>
            </w:r>
            <w:r>
              <w:rPr>
                <w:rStyle w:val="MdStrong"/>
                <w:b/>
                <w:bCs/>
              </w:rPr>
              <w:t xml:space="preserve">[vendor survey]</w:t>
            </w:r>
            <w:r>
              <w:t xml:space="preserve"> </w:t>
            </w:r>
            <w:hyperlink w:history="1" r:id="rIdlhbeogno0tatcvqmrdf7y">
              <w:r>
                <w:rPr>
                  <w:rStyle w:val="MdLink"/>
                </w:rPr>
                <w:t xml:space="preserve">3</w:t>
              </w:r>
            </w:hyperlink>
          </w:p>
        </w:tc>
        <w:tc>
          <w:tcPr>
            <w:tcBorders>
              <w:right w:val="none"/>
            </w:tcBorders>
            <w:tcMar>
              <w:top w:type="dxa" w:w="80"/>
              <w:left w:type="dxa" w:w="120"/>
              <w:bottom w:type="dxa" w:w="80"/>
              <w:right w:type="dxa" w:w="120"/>
            </w:tcMar>
            <w:vAlign w:val="center"/>
          </w:tcPr>
          <w:p>
            <w:pPr>
              <w:pStyle w:val="MdTableCell"/>
            </w:pPr>
            <w:r>
              <w:t xml:space="preserve">Baseline screenshot, prompts/markets tracked, exact sources corrected, work product, and a cancellation window.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PPC / LSA management retainer</w:t>
            </w:r>
          </w:p>
        </w:tc>
        <w:tc>
          <w:tcPr>
            <w:tcMar>
              <w:top w:type="dxa" w:w="80"/>
              <w:left w:type="dxa" w:w="120"/>
              <w:bottom w:type="dxa" w:w="80"/>
              <w:right w:type="dxa" w:w="120"/>
            </w:tcMar>
            <w:vAlign w:val="center"/>
          </w:tcPr>
          <w:p>
            <w:pPr>
              <w:pStyle w:val="MdTableCell"/>
              <w:jc w:val="right"/>
            </w:pPr>
            <w:r>
              <w:rPr>
                <w:rStyle w:val="MdStrong"/>
                <w:b/>
                <w:bCs/>
              </w:rPr>
              <w:t xml:space="preserve">$500–$2,500/month plus ad spend</w:t>
            </w:r>
            <w:r>
              <w:t xml:space="preserve"> is a home-service agency’s published guide. </w:t>
            </w:r>
            <w:r>
              <w:rPr>
                <w:rStyle w:val="MdStrong"/>
                <w:b/>
                <w:bCs/>
              </w:rPr>
              <w:t xml:space="preserve">[vendor claim]</w:t>
            </w:r>
            <w:r>
              <w:t xml:space="preserve"> </w:t>
            </w:r>
            <w:hyperlink w:history="1" r:id="rIdfdtcbun7v5t2o_uaarf6l">
              <w:r>
                <w:rPr>
                  <w:rStyle w:val="MdLink"/>
                </w:rPr>
                <w:t xml:space="preserve">26</w:t>
              </w:r>
            </w:hyperlink>
          </w:p>
        </w:tc>
        <w:tc>
          <w:tcPr>
            <w:tcBorders>
              <w:right w:val="none"/>
            </w:tcBorders>
            <w:tcMar>
              <w:top w:type="dxa" w:w="80"/>
              <w:left w:type="dxa" w:w="120"/>
              <w:bottom w:type="dxa" w:w="80"/>
              <w:right w:type="dxa" w:w="120"/>
            </w:tcMar>
            <w:vAlign w:val="center"/>
          </w:tcPr>
          <w:p>
            <w:pPr>
              <w:pStyle w:val="MdTableCell"/>
            </w:pPr>
            <w:r>
              <w:t xml:space="preserve">Separate fee from ad spend; account ownership; conversion definitions; call recordings; weekly budget control; lead-dispute handling.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Video/content production</w:t>
            </w:r>
          </w:p>
        </w:tc>
        <w:tc>
          <w:tcPr>
            <w:tcMar>
              <w:top w:type="dxa" w:w="80"/>
              <w:left w:type="dxa" w:w="120"/>
              <w:bottom w:type="dxa" w:w="80"/>
              <w:right w:type="dxa" w:w="120"/>
            </w:tcMar>
            <w:vAlign w:val="center"/>
          </w:tcPr>
          <w:p>
            <w:pPr>
              <w:pStyle w:val="MdTableCell"/>
              <w:jc w:val="right"/>
            </w:pPr>
            <w:r>
              <w:t xml:space="preserve">U.S. production agencies commonly </w:t>
            </w:r>
            <w:r>
              <w:rPr>
                <w:rStyle w:val="MdStrong"/>
                <w:b/>
                <w:bCs/>
              </w:rPr>
              <w:t xml:space="preserve">$100–$149/hour</w:t>
            </w:r>
            <w:r>
              <w:t xml:space="preserve"> in Clutch data. </w:t>
            </w:r>
            <w:hyperlink w:history="1" r:id="rId2njtuyebzii64bd425cuy">
              <w:r>
                <w:rPr>
                  <w:rStyle w:val="MdLink"/>
                </w:rPr>
                <w:t xml:space="preserve">14</w:t>
              </w:r>
            </w:hyperlink>
          </w:p>
        </w:tc>
        <w:tc>
          <w:tcPr>
            <w:tcBorders>
              <w:right w:val="none"/>
            </w:tcBorders>
            <w:tcMar>
              <w:top w:type="dxa" w:w="80"/>
              <w:left w:type="dxa" w:w="120"/>
              <w:bottom w:type="dxa" w:w="80"/>
              <w:right w:type="dxa" w:w="120"/>
            </w:tcMar>
            <w:vAlign w:val="center"/>
          </w:tcPr>
          <w:p>
            <w:pPr>
              <w:pStyle w:val="MdTableCell"/>
            </w:pPr>
            <w:r>
              <w:t xml:space="preserve">Number of shoots, clips, revisions, raw-footage rights, technician time required, and whether posting/ads are included.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Pay per lead</w:t>
            </w:r>
          </w:p>
        </w:tc>
        <w:tc>
          <w:tcPr>
            <w:tcMar>
              <w:top w:type="dxa" w:w="80"/>
              <w:left w:type="dxa" w:w="120"/>
              <w:bottom w:type="dxa" w:w="80"/>
              <w:right w:type="dxa" w:w="120"/>
            </w:tcMar>
            <w:vAlign w:val="center"/>
          </w:tcPr>
          <w:p>
            <w:pPr>
              <w:pStyle w:val="MdTableCell"/>
              <w:jc w:val="right"/>
            </w:pPr>
            <w:r>
              <w:t xml:space="preserve">Google LSA is truly per related lead, but price varies. </w:t>
            </w:r>
            <w:hyperlink w:history="1" r:id="rIdadef97vgkeka8mva4svsx">
              <w:r>
                <w:rPr>
                  <w:rStyle w:val="MdLink"/>
                </w:rPr>
                <w:t xml:space="preserve">15</w:t>
              </w:r>
            </w:hyperlink>
            <w:r>
              <w:t xml:space="preserve"> A seller comparison lists </w:t>
            </w:r>
            <w:r>
              <w:rPr>
                <w:rStyle w:val="MdStrong"/>
                <w:b/>
                <w:bCs/>
              </w:rPr>
              <w:t xml:space="preserve">$25–$150+</w:t>
            </w:r>
            <w:r>
              <w:t xml:space="preserve"> for some exclusive phone leads. </w:t>
            </w:r>
            <w:r>
              <w:rPr>
                <w:rStyle w:val="MdStrong"/>
                <w:b/>
                <w:bCs/>
              </w:rPr>
              <w:t xml:space="preserve">[vendor claim]</w:t>
            </w:r>
            <w:r>
              <w:t xml:space="preserve"> </w:t>
            </w:r>
            <w:hyperlink w:history="1" r:id="rIdxnmwa-5xew8f8hcvhskak">
              <w:r>
                <w:rPr>
                  <w:rStyle w:val="MdLink"/>
                </w:rPr>
                <w:t xml:space="preserve">27</w:t>
              </w:r>
            </w:hyperlink>
          </w:p>
        </w:tc>
        <w:tc>
          <w:tcPr>
            <w:tcBorders>
              <w:right w:val="none"/>
            </w:tcBorders>
            <w:tcMar>
              <w:top w:type="dxa" w:w="80"/>
              <w:left w:type="dxa" w:w="120"/>
              <w:bottom w:type="dxa" w:w="80"/>
              <w:right w:type="dxa" w:w="120"/>
            </w:tcMar>
            <w:vAlign w:val="center"/>
          </w:tcPr>
          <w:p>
            <w:pPr>
              <w:pStyle w:val="MdTableCell"/>
            </w:pPr>
            <w:r>
              <w:t xml:space="preserve">Exclusive or shared? What counts as a lead? Is a bad number, wrong service, out-of-area, duplicate, or spam lead credited?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Hybrid</w:t>
            </w:r>
          </w:p>
        </w:tc>
        <w:tc>
          <w:tcPr>
            <w:tcBorders>
              <w:bottom w:val="single" w:color="E1E4E8" w:sz="4"/>
            </w:tcBorders>
            <w:tcMar>
              <w:top w:type="dxa" w:w="80"/>
              <w:left w:type="dxa" w:w="120"/>
              <w:bottom w:type="dxa" w:w="80"/>
              <w:right w:type="dxa" w:w="120"/>
            </w:tcMar>
            <w:vAlign w:val="center"/>
          </w:tcPr>
          <w:p>
            <w:pPr>
              <w:pStyle w:val="MdTableCell"/>
              <w:jc w:val="right"/>
            </w:pPr>
            <w:r>
              <w:t xml:space="preserve">A small retainer plus media spend, or retainer plus qualified-lead/booked-job fee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Exact definition of qualified lead, booked job, cancellation, no-show, refund, attribution window, access to raw lead log, and fee cap.</w:t>
            </w:r>
          </w:p>
        </w:tc>
      </w:tr>
    </w:tbl>
    <w:p>
      <w:pPr>
        <w:pStyle w:val="MdParagraph"/>
      </w:pPr>
      <w:r>
        <w:rPr>
          <w:rStyle w:val="MdStrong"/>
          <w:b/>
          <w:bCs/>
        </w:rPr>
        <w:t xml:space="preserve">Outcome fees are not automatically better.</w:t>
      </w:r>
      <w:r>
        <w:t xml:space="preserve"> Google LSA’s pay-per-related-lead model is platform billing, not an agency guarantee. Many third-party “pay per lead” offers sell speed or exclusivity, not closed revenue. A representative survey quantifying typical home-service booked-job or revenue-share fees was not found, so a universal dollar range for that form would be unverified.</w:t>
      </w:r>
    </w:p>
    <w:p>
      <w:pPr>
        <w:pStyle w:val="MdSpace"/>
        <w:spacing w:before="0" w:after="60"/>
      </w:pPr>
    </w:p>
    <w:p>
      <w:pPr>
        <w:pStyle w:val="MdParagraph"/>
      </w:pPr>
      <w:r>
        <w:t xml:space="preserve">A hybrid can work if the business can verify the outcome in its own CRM. It can also be expensive if “qualified lead” means only that a human submitted a form. A good contract leaves the ad account, tracking number, landing page, CRM data, and creative accessible to the business, and reports </w:t>
      </w:r>
      <w:r>
        <w:rPr>
          <w:rStyle w:val="MdStrong"/>
          <w:b/>
          <w:bCs/>
        </w:rPr>
        <w:t xml:space="preserve">booked job and revenue</w:t>
      </w:r>
      <w:r>
        <w:t xml:space="preserve">, not just clicks and leads.</w:t>
      </w:r>
    </w:p>
    <w:p>
      <w:pPr>
        <w:pStyle w:val="MdSpace"/>
        <w:spacing w:before="0" w:after="60"/>
      </w:pPr>
    </w:p>
    <w:p>
      <w:pPr>
        <w:pStyle w:val="Heading2"/>
        <w:pStyle w:val="MdHeading2"/>
      </w:pPr>
      <w:r>
        <w:t xml:space="preserve">The first five moves for a one-person operator, in order</w:t>
      </w:r>
    </w:p>
    <w:p>
      <w:pPr>
        <w:pStyle w:val="MdParagraph"/>
      </w:pPr>
      <w:r>
        <w:t xml:space="preserve">These are planning estimates for time and cash, not promises of return.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Order</w:t>
            </w:r>
          </w:p>
        </w:tc>
        <w:tc>
          <w:tcPr>
            <w:tcMar>
              <w:top w:type="dxa" w:w="100"/>
              <w:left w:type="dxa" w:w="120"/>
              <w:bottom w:type="dxa" w:w="100"/>
              <w:right w:type="dxa" w:w="120"/>
            </w:tcMar>
            <w:vAlign w:val="center"/>
          </w:tcPr>
          <w:p>
            <w:pPr>
              <w:pStyle w:val="MdTableHeader"/>
            </w:pPr>
            <w:r>
              <w:t xml:space="preserve">Move</w:t>
            </w:r>
          </w:p>
        </w:tc>
        <w:tc>
          <w:tcPr>
            <w:tcMar>
              <w:top w:type="dxa" w:w="100"/>
              <w:left w:type="dxa" w:w="120"/>
              <w:bottom w:type="dxa" w:w="100"/>
              <w:right w:type="dxa" w:w="120"/>
            </w:tcMar>
            <w:vAlign w:val="center"/>
          </w:tcPr>
          <w:p>
            <w:pPr>
              <w:pStyle w:val="MdTableHeader"/>
              <w:jc w:val="right"/>
            </w:pPr>
            <w:r>
              <w:t xml:space="preserve">Rough cash cost</w:t>
            </w:r>
          </w:p>
        </w:tc>
        <w:tc>
          <w:tcPr>
            <w:tcMar>
              <w:top w:type="dxa" w:w="100"/>
              <w:left w:type="dxa" w:w="120"/>
              <w:bottom w:type="dxa" w:w="100"/>
              <w:right w:type="dxa" w:w="120"/>
            </w:tcMar>
            <w:vAlign w:val="center"/>
          </w:tcPr>
          <w:p>
            <w:pPr>
              <w:pStyle w:val="MdTableHeader"/>
            </w:pPr>
            <w:r>
              <w:t xml:space="preserve">Rough setup / ongoing time</w:t>
            </w:r>
          </w:p>
        </w:tc>
        <w:tc>
          <w:tcPr>
            <w:tcBorders>
              <w:right w:val="none"/>
            </w:tcBorders>
            <w:tcMar>
              <w:top w:type="dxa" w:w="100"/>
              <w:left w:type="dxa" w:w="120"/>
              <w:bottom w:type="dxa" w:w="100"/>
              <w:right w:type="dxa" w:w="120"/>
            </w:tcMar>
            <w:vAlign w:val="center"/>
          </w:tcPr>
          <w:p>
            <w:pPr>
              <w:pStyle w:val="MdTableHeader"/>
            </w:pPr>
            <w:r>
              <w:t xml:space="preserve">Why it comes before the next thing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rPr>
                <w:rStyle w:val="MdStrong"/>
                <w:b/>
                <w:bCs/>
              </w:rPr>
              <w:t xml:space="preserve">Stop losing calls.</w:t>
            </w:r>
            <w:r>
              <w:t xml:space="preserve"> Write the missed-call text, a short human callback script, and an after-hours/overflow intake rule. Add AI only after the script works.</w:t>
            </w:r>
          </w:p>
        </w:tc>
        <w:tc>
          <w:tcPr>
            <w:tcMar>
              <w:top w:type="dxa" w:w="80"/>
              <w:left w:type="dxa" w:w="120"/>
              <w:bottom w:type="dxa" w:w="80"/>
              <w:right w:type="dxa" w:w="120"/>
            </w:tcMar>
            <w:vAlign w:val="center"/>
          </w:tcPr>
          <w:p>
            <w:pPr>
              <w:pStyle w:val="MdTableCell"/>
              <w:jc w:val="right"/>
            </w:pPr>
            <w:r>
              <w:rPr>
                <w:rStyle w:val="MdStrong"/>
                <w:b/>
                <w:bCs/>
              </w:rPr>
              <w:t xml:space="preserve">$0</w:t>
            </w:r>
            <w:r>
              <w:t xml:space="preserve"> manual; Jobber Receptionist </w:t>
            </w:r>
            <w:r>
              <w:rPr>
                <w:rStyle w:val="MdStrong"/>
                <w:b/>
                <w:bCs/>
              </w:rPr>
              <w:t xml:space="preserve">$29/month</w:t>
            </w:r>
            <w:r>
              <w:t xml:space="preserve"> on select plans; CallRail’s entry AI + tracking is roughly </w:t>
            </w:r>
            <w:r>
              <w:rPr>
                <w:rStyle w:val="MdStrong"/>
                <w:b/>
                <w:bCs/>
              </w:rPr>
              <w:t xml:space="preserve">$145–$150/month</w:t>
            </w:r>
            <w:r>
              <w:t xml:space="preserve"> before usage. </w:t>
            </w:r>
            <w:hyperlink w:history="1" r:id="rIdh0mblznmpjr2rbgfwcftd">
              <w:r>
                <w:rPr>
                  <w:rStyle w:val="MdLink"/>
                </w:rPr>
                <w:t xml:space="preserve">8</w:t>
              </w:r>
            </w:hyperlink>
            <w:r>
              <w:t xml:space="preserve"> </w:t>
            </w:r>
            <w:hyperlink w:history="1" r:id="rIdojctzeelwvraadwb7f7-x">
              <w:r>
                <w:rPr>
                  <w:rStyle w:val="MdLink"/>
                </w:rPr>
                <w:t xml:space="preserve">9</w:t>
              </w:r>
            </w:hyperlink>
          </w:p>
        </w:tc>
        <w:tc>
          <w:tcPr>
            <w:tcMar>
              <w:top w:type="dxa" w:w="80"/>
              <w:left w:type="dxa" w:w="120"/>
              <w:bottom w:type="dxa" w:w="80"/>
              <w:right w:type="dxa" w:w="120"/>
            </w:tcMar>
            <w:vAlign w:val="center"/>
          </w:tcPr>
          <w:p>
            <w:pPr>
              <w:pStyle w:val="MdTableCell"/>
            </w:pPr>
            <w:r>
              <w:rPr>
                <w:rStyle w:val="MdStrong"/>
                <w:b/>
                <w:bCs/>
              </w:rPr>
              <w:t xml:space="preserve">1–2 hours</w:t>
            </w:r>
            <w:r>
              <w:t xml:space="preserve"> setup; </w:t>
            </w:r>
            <w:r>
              <w:rPr>
                <w:rStyle w:val="MdStrong"/>
                <w:b/>
                <w:bCs/>
              </w:rPr>
              <w:t xml:space="preserve">15 minutes/week</w:t>
            </w:r>
            <w:r>
              <w:t xml:space="preserve"> reviewing misses</w:t>
            </w:r>
          </w:p>
        </w:tc>
        <w:tc>
          <w:tcPr>
            <w:tcBorders>
              <w:right w:val="none"/>
            </w:tcBorders>
            <w:tcMar>
              <w:top w:type="dxa" w:w="80"/>
              <w:left w:type="dxa" w:w="120"/>
              <w:bottom w:type="dxa" w:w="80"/>
              <w:right w:type="dxa" w:w="120"/>
            </w:tcMar>
            <w:vAlign w:val="center"/>
          </w:tcPr>
          <w:p>
            <w:pPr>
              <w:pStyle w:val="MdTableCell"/>
            </w:pPr>
            <w:r>
              <w:t xml:space="preserve">Buying leads before answering them wastes the budget.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rPr>
                <w:rStyle w:val="MdStrong"/>
                <w:b/>
                <w:bCs/>
              </w:rPr>
              <w:t xml:space="preserve">Fix the local facts.</w:t>
            </w:r>
            <w:r>
              <w:t xml:space="preserve"> Claim/update Google Business Profile and Bing Places; verify service areas, hours, services, phone, booking link, licenses, and real photos. Connect Search Console.</w:t>
            </w:r>
          </w:p>
        </w:tc>
        <w:tc>
          <w:tcPr>
            <w:tcMar>
              <w:top w:type="dxa" w:w="80"/>
              <w:left w:type="dxa" w:w="120"/>
              <w:bottom w:type="dxa" w:w="80"/>
              <w:right w:type="dxa" w:w="120"/>
            </w:tcMar>
            <w:vAlign w:val="center"/>
          </w:tcPr>
          <w:p>
            <w:pPr>
              <w:pStyle w:val="MdTableCell"/>
              <w:jc w:val="right"/>
            </w:pPr>
            <w:r>
              <w:rPr>
                <w:rStyle w:val="MdStrong"/>
                <w:b/>
                <w:bCs/>
              </w:rPr>
              <w:t xml:space="preserve">$0</w:t>
            </w:r>
            <w:r>
              <w:t xml:space="preserve"> platform cost. </w:t>
            </w:r>
            <w:hyperlink w:history="1" r:id="rIdhgz-qab6b4wtfne5zm33t">
              <w:r>
                <w:rPr>
                  <w:rStyle w:val="MdLink"/>
                </w:rPr>
                <w:t xml:space="preserve">6</w:t>
              </w:r>
            </w:hyperlink>
            <w:r>
              <w:t xml:space="preserve"> </w:t>
            </w:r>
            <w:hyperlink w:history="1" r:id="rId-1ujye30_msyihdz0kepl">
              <w:r>
                <w:rPr>
                  <w:rStyle w:val="MdLink"/>
                </w:rPr>
                <w:t xml:space="preserve">28</w:t>
              </w:r>
            </w:hyperlink>
          </w:p>
        </w:tc>
        <w:tc>
          <w:tcPr>
            <w:tcMar>
              <w:top w:type="dxa" w:w="80"/>
              <w:left w:type="dxa" w:w="120"/>
              <w:bottom w:type="dxa" w:w="80"/>
              <w:right w:type="dxa" w:w="120"/>
            </w:tcMar>
            <w:vAlign w:val="center"/>
          </w:tcPr>
          <w:p>
            <w:pPr>
              <w:pStyle w:val="MdTableCell"/>
            </w:pPr>
            <w:r>
              <w:rPr>
                <w:rStyle w:val="MdStrong"/>
                <w:b/>
                <w:bCs/>
              </w:rPr>
              <w:t xml:space="preserve">3–5 hours</w:t>
            </w:r>
            <w:r>
              <w:t xml:space="preserve"> first pass; </w:t>
            </w:r>
            <w:r>
              <w:rPr>
                <w:rStyle w:val="MdStrong"/>
                <w:b/>
                <w:bCs/>
              </w:rPr>
              <w:t xml:space="preserve">30 minutes/month</w:t>
            </w:r>
          </w:p>
        </w:tc>
        <w:tc>
          <w:tcPr>
            <w:tcBorders>
              <w:right w:val="none"/>
            </w:tcBorders>
            <w:tcMar>
              <w:top w:type="dxa" w:w="80"/>
              <w:left w:type="dxa" w:w="120"/>
              <w:bottom w:type="dxa" w:w="80"/>
              <w:right w:type="dxa" w:w="120"/>
            </w:tcMar>
            <w:vAlign w:val="center"/>
          </w:tcPr>
          <w:p>
            <w:pPr>
              <w:pStyle w:val="MdTableCell"/>
            </w:pPr>
            <w:r>
              <w:t xml:space="preserve">It supports ordinary Maps/Search discovery and gives AI-search work a real factual base.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rPr>
                <w:rStyle w:val="MdStrong"/>
                <w:b/>
                <w:bCs/>
              </w:rPr>
              <w:t xml:space="preserve">Make one lead record.</w:t>
            </w:r>
            <w:r>
              <w:t xml:space="preserve"> Capture source, first response, job type, estimate, booking, sale, and next action in one CRM or disciplined spreadsheet.</w:t>
            </w:r>
          </w:p>
        </w:tc>
        <w:tc>
          <w:tcPr>
            <w:tcMar>
              <w:top w:type="dxa" w:w="80"/>
              <w:left w:type="dxa" w:w="120"/>
              <w:bottom w:type="dxa" w:w="80"/>
              <w:right w:type="dxa" w:w="120"/>
            </w:tcMar>
            <w:vAlign w:val="center"/>
          </w:tcPr>
          <w:p>
            <w:pPr>
              <w:pStyle w:val="MdTableCell"/>
              <w:jc w:val="right"/>
            </w:pPr>
            <w:r>
              <w:rPr>
                <w:rStyle w:val="MdStrong"/>
                <w:b/>
                <w:bCs/>
              </w:rPr>
              <w:t xml:space="preserve">$0</w:t>
            </w:r>
            <w:r>
              <w:t xml:space="preserve"> with existing tools; Jobber Core listed from </w:t>
            </w:r>
            <w:r>
              <w:rPr>
                <w:rStyle w:val="MdStrong"/>
                <w:b/>
                <w:bCs/>
              </w:rPr>
              <w:t xml:space="preserve">$49/month</w:t>
            </w:r>
            <w:r>
              <w:t xml:space="preserve"> month-to-month; CallRail tracking from </w:t>
            </w:r>
            <w:r>
              <w:rPr>
                <w:rStyle w:val="MdStrong"/>
                <w:b/>
                <w:bCs/>
              </w:rPr>
              <w:t xml:space="preserve">$50/month</w:t>
            </w:r>
            <w:r>
              <w:t xml:space="preserve">. </w:t>
            </w:r>
            <w:hyperlink w:history="1" r:id="rIdbij6ssir4tkmm9ht7eick">
              <w:r>
                <w:rPr>
                  <w:rStyle w:val="MdLink"/>
                </w:rPr>
                <w:t xml:space="preserve">8</w:t>
              </w:r>
            </w:hyperlink>
            <w:r>
              <w:t xml:space="preserve"> </w:t>
            </w:r>
            <w:hyperlink w:history="1" r:id="rId0ubshm7zuezdwsoybisfi">
              <w:r>
                <w:rPr>
                  <w:rStyle w:val="MdLink"/>
                </w:rPr>
                <w:t xml:space="preserve">25</w:t>
              </w:r>
            </w:hyperlink>
          </w:p>
        </w:tc>
        <w:tc>
          <w:tcPr>
            <w:tcMar>
              <w:top w:type="dxa" w:w="80"/>
              <w:left w:type="dxa" w:w="120"/>
              <w:bottom w:type="dxa" w:w="80"/>
              <w:right w:type="dxa" w:w="120"/>
            </w:tcMar>
            <w:vAlign w:val="center"/>
          </w:tcPr>
          <w:p>
            <w:pPr>
              <w:pStyle w:val="MdTableCell"/>
            </w:pPr>
            <w:r>
              <w:rPr>
                <w:rStyle w:val="MdStrong"/>
                <w:b/>
                <w:bCs/>
              </w:rPr>
              <w:t xml:space="preserve">2–4 hours</w:t>
            </w:r>
            <w:r>
              <w:t xml:space="preserve"> to set fields and rules; </w:t>
            </w:r>
            <w:r>
              <w:rPr>
                <w:rStyle w:val="MdStrong"/>
                <w:b/>
                <w:bCs/>
              </w:rPr>
              <w:t xml:space="preserve">30 minutes/week</w:t>
            </w:r>
          </w:p>
        </w:tc>
        <w:tc>
          <w:tcPr>
            <w:tcBorders>
              <w:right w:val="none"/>
            </w:tcBorders>
            <w:tcMar>
              <w:top w:type="dxa" w:w="80"/>
              <w:left w:type="dxa" w:w="120"/>
              <w:bottom w:type="dxa" w:w="80"/>
              <w:right w:type="dxa" w:w="120"/>
            </w:tcMar>
            <w:vAlign w:val="center"/>
          </w:tcPr>
          <w:p>
            <w:pPr>
              <w:pStyle w:val="MdTableCell"/>
            </w:pPr>
            <w:r>
              <w:t xml:space="preserve">It reveals whether a channel makes money before more spend is added.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rPr>
                <w:rStyle w:val="MdStrong"/>
                <w:b/>
                <w:bCs/>
              </w:rPr>
              <w:t xml:space="preserve">Build a compliant review habit.</w:t>
            </w:r>
            <w:r>
              <w:t xml:space="preserve"> Send every eligible completed job a neutral request; respond to every review; fix service problems instead of suppressing them.</w:t>
            </w:r>
          </w:p>
        </w:tc>
        <w:tc>
          <w:tcPr>
            <w:tcMar>
              <w:top w:type="dxa" w:w="80"/>
              <w:left w:type="dxa" w:w="120"/>
              <w:bottom w:type="dxa" w:w="80"/>
              <w:right w:type="dxa" w:w="120"/>
            </w:tcMar>
            <w:vAlign w:val="center"/>
          </w:tcPr>
          <w:p>
            <w:pPr>
              <w:pStyle w:val="MdTableCell"/>
              <w:jc w:val="right"/>
            </w:pPr>
            <w:r>
              <w:rPr>
                <w:rStyle w:val="MdStrong"/>
                <w:b/>
                <w:bCs/>
              </w:rPr>
              <w:t xml:space="preserve">$0</w:t>
            </w:r>
            <w:r>
              <w:t xml:space="preserve"> incremental using the existing stack</w:t>
            </w:r>
          </w:p>
        </w:tc>
        <w:tc>
          <w:tcPr>
            <w:tcMar>
              <w:top w:type="dxa" w:w="80"/>
              <w:left w:type="dxa" w:w="120"/>
              <w:bottom w:type="dxa" w:w="80"/>
              <w:right w:type="dxa" w:w="120"/>
            </w:tcMar>
            <w:vAlign w:val="center"/>
          </w:tcPr>
          <w:p>
            <w:pPr>
              <w:pStyle w:val="MdTableCell"/>
            </w:pPr>
            <w:r>
              <w:rPr>
                <w:rStyle w:val="MdStrong"/>
                <w:b/>
                <w:bCs/>
              </w:rPr>
              <w:t xml:space="preserve">1 hour</w:t>
            </w:r>
            <w:r>
              <w:t xml:space="preserve"> to set up; </w:t>
            </w:r>
            <w:r>
              <w:rPr>
                <w:rStyle w:val="MdStrong"/>
                <w:b/>
                <w:bCs/>
              </w:rPr>
              <w:t xml:space="preserve">10 minutes/day</w:t>
            </w:r>
          </w:p>
        </w:tc>
        <w:tc>
          <w:tcPr>
            <w:tcBorders>
              <w:right w:val="none"/>
            </w:tcBorders>
            <w:tcMar>
              <w:top w:type="dxa" w:w="80"/>
              <w:left w:type="dxa" w:w="120"/>
              <w:bottom w:type="dxa" w:w="80"/>
              <w:right w:type="dxa" w:w="120"/>
            </w:tcMar>
            <w:vAlign w:val="center"/>
          </w:tcPr>
          <w:p>
            <w:pPr>
              <w:pStyle w:val="MdTableCell"/>
            </w:pPr>
            <w:r>
              <w:t xml:space="preserve">Reviews and accurate profiles are the proof homeowners use to verify a recommendation.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5</w:t>
            </w:r>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Run one measured demand test and feed it real proof.</w:t>
            </w:r>
            <w:r>
              <w:t xml:space="preserve"> Pick one high-intent service/area in LSA or Search; use job-site photos/video and a single clear offer.</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$1,000–$1,500</w:t>
            </w:r>
            <w:r>
              <w:t xml:space="preserve"> first ad-spend test; optional management commonly quoted </w:t>
            </w:r>
            <w:r>
              <w:rPr>
                <w:rStyle w:val="MdStrong"/>
                <w:b/>
                <w:bCs/>
              </w:rPr>
              <w:t xml:space="preserve">$500–$1,500+</w:t>
            </w:r>
            <w:r>
              <w:t xml:space="preserve"> per month, plus spend. </w:t>
            </w:r>
            <w:hyperlink w:history="1" r:id="rIde1kqkiiglwrup86yj1b4a">
              <w:r>
                <w:rPr>
                  <w:rStyle w:val="MdLink"/>
                </w:rPr>
                <w:t xml:space="preserve">16</w:t>
              </w:r>
            </w:hyperlink>
            <w:r>
              <w:t xml:space="preserve"> </w:t>
            </w:r>
            <w:hyperlink w:history="1" r:id="rIddcoixretlnnatjxn81ij_">
              <w:r>
                <w:rPr>
                  <w:rStyle w:val="MdLink"/>
                </w:rPr>
                <w:t xml:space="preserve">27</w:t>
              </w:r>
            </w:hyperlink>
          </w:p>
        </w:tc>
        <w:tc>
          <w:tcPr>
            <w:tcBorders>
              <w:bottom w:val="single" w:color="E1E4E8" w:sz="4"/>
            </w:tcBorders>
            <w:tcMar>
              <w:top w:type="dxa" w:w="80"/>
              <w:left w:type="dxa" w:w="120"/>
              <w:bottom w:type="dxa" w:w="80"/>
              <w:right w:type="dxa" w:w="120"/>
            </w:tcMar>
            <w:vAlign w:val="center"/>
          </w:tcPr>
          <w:p>
            <w:pPr>
              <w:pStyle w:val="MdTableCell"/>
            </w:pPr>
            <w:r>
              <w:rPr>
                <w:rStyle w:val="MdStrong"/>
                <w:b/>
                <w:bCs/>
              </w:rPr>
              <w:t xml:space="preserve">2 hours</w:t>
            </w:r>
            <w:r>
              <w:t xml:space="preserve"> setup with a competent operator; </w:t>
            </w:r>
            <w:r>
              <w:rPr>
                <w:rStyle w:val="MdStrong"/>
                <w:b/>
                <w:bCs/>
              </w:rPr>
              <w:t xml:space="preserve">30–60 minutes/week</w:t>
            </w:r>
            <w:r>
              <w:t xml:space="preserve"> review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 narrow test can be judged against contacted, booked, and sold jobs. Do not spread a small budget across Google, Meta, ChatGPT, SEO, and five content platforms.</w:t>
            </w:r>
          </w:p>
        </w:tc>
      </w:tr>
    </w:tbl>
    <w:p>
      <w:pPr>
        <w:pStyle w:val="Heading2"/>
        <w:pStyle w:val="MdHeading2"/>
      </w:pPr>
      <w:r>
        <w:t xml:space="preserve">The three most overhyped AI-marketing claims right now</w:t>
      </w:r>
    </w:p>
    <w:p>
      <w:pPr>
        <w:pStyle w:val="MdListItem"/>
        <w:numPr>
          <w:ilvl w:val="0"/>
          <w:numId w:val="2"/>
        </w:numPr>
      </w:pPr>
      <w:r>
        <w:rPr>
          <w:rStyle w:val="MdStrong"/>
          <w:b/>
          <w:bCs/>
        </w:rPr>
        <w:t xml:space="preserve">“You need special GEO schema, an AI text file, or hundreds of AI FAQ pages to rank in AI answers.”</w:t>
      </w:r>
      <w:r>
        <w:t xml:space="preserve"> Google’s current documentation explicitly says there are no special optimizations, special schema, or AI files required for AI Overviews/AI Mode. It also warns that scaled low-value AI pages can violate spam policy. </w:t>
      </w:r>
      <w:hyperlink w:history="1" r:id="rIdrqnbh6msvpp_6rkjcjoyg">
        <w:r>
          <w:rPr>
            <w:rStyle w:val="MdLink"/>
          </w:rPr>
          <w:t xml:space="preserve">1</w:t>
        </w:r>
      </w:hyperlink>
      <w:r>
        <w:t xml:space="preserve"> </w:t>
      </w:r>
      <w:hyperlink w:history="1" r:id="rIdi0ovtm_tme6gxoxlekeav">
        <w:r>
          <w:rPr>
            <w:rStyle w:val="MdLink"/>
          </w:rPr>
          <w:t xml:space="preserve">13</w:t>
        </w:r>
      </w:hyperlink>
      <w:r>
        <w:t xml:space="preserve"> This does not mean good service pages and structured data are useless; it means they should be accurate and useful for people, not sold as a secret AI-ranking switch.</w:t>
      </w:r>
    </w:p>
    <w:p>
      <w:pPr>
        <w:pStyle w:val="MdListItem"/>
        <w:numPr>
          <w:ilvl w:val="0"/>
          <w:numId w:val="2"/>
        </w:numPr>
      </w:pPr>
      <w:r>
        <w:rPr>
          <w:rStyle w:val="MdStrong"/>
          <w:b/>
          <w:bCs/>
        </w:rPr>
        <w:t xml:space="preserve">“An AI receptionist will automatically add a known percentage of revenue.”</w:t>
      </w:r>
      <w:r>
        <w:t xml:space="preserve"> The strongest response-time study cited here is old web-form research, not a modern AI voice trial in home services. CallRail’s unanswered-call figure is beta-participant data, and the software vendors publish capability and price—not independent, controlled booked-job lift. </w:t>
      </w:r>
      <w:hyperlink w:history="1" r:id="rIdoyvzdf9gozpjkv6zgh49z">
        <w:r>
          <w:rPr>
            <w:rStyle w:val="MdLink"/>
          </w:rPr>
          <w:t xml:space="preserve">7</w:t>
        </w:r>
      </w:hyperlink>
      <w:r>
        <w:t xml:space="preserve"> </w:t>
      </w:r>
      <w:hyperlink w:history="1" r:id="rIdnekctsbpdgpnocff3u8tf">
        <w:r>
          <w:rPr>
            <w:rStyle w:val="MdLink"/>
          </w:rPr>
          <w:t xml:space="preserve">8</w:t>
        </w:r>
      </w:hyperlink>
      <w:r>
        <w:t xml:space="preserve"> Use AI intake as a measured overflow test. Compare missed-call rate, contact rate, appointment rate, complaints, and sold jobs before expanding it.</w:t>
      </w:r>
    </w:p>
    <w:p>
      <w:pPr>
        <w:pStyle w:val="MdListItem"/>
        <w:numPr>
          <w:ilvl w:val="0"/>
          <w:numId w:val="2"/>
        </w:numPr>
      </w:pPr>
      <w:r>
        <w:rPr>
          <w:rStyle w:val="MdStrong"/>
          <w:b/>
          <w:bCs/>
        </w:rPr>
        <w:t xml:space="preserve">“ChatGPT ads are the next must-buy channel for plumbers, pest control, and HVAC.”</w:t>
      </w:r>
      <w:r>
        <w:t xml:space="preserve"> As of OpenAI’s October 5, 2026 announcement, its visual format was about to start a U.S. test in image generation with an initial group of advertisers. The early reported outcomes are partner findings for consumer brands, not local services. </w:t>
      </w:r>
      <w:hyperlink w:history="1" r:id="rIdgyglkgj_wge5t3swhcque">
        <w:r>
          <w:rPr>
            <w:rStyle w:val="MdLink"/>
          </w:rPr>
          <w:t xml:space="preserve">18</w:t>
        </w:r>
      </w:hyperlink>
      <w:r>
        <w:t xml:space="preserve"> Google AI-Overview placements are more real today, but they come through existing campaigns rather than a special local AI-ad product. </w:t>
      </w:r>
      <w:hyperlink w:history="1" r:id="rId6zafj5tf9ilgjp1gtkf4q">
        <w:r>
          <w:rPr>
            <w:rStyle w:val="MdLink"/>
          </w:rPr>
          <w:t xml:space="preserve">17</w:t>
        </w:r>
      </w:hyperlink>
    </w:p>
    <w:p>
      <w:pPr>
        <w:pStyle w:val="MdSpace"/>
        <w:spacing w:before="0" w:after="60"/>
      </w:pPr>
    </w:p>
    <w:p>
      <w:pPr>
        <w:pStyle w:val="Heading2"/>
        <w:pStyle w:val="MdHeading2"/>
      </w:pPr>
      <w:r>
        <w:t xml:space="preserve">What is surprising or contradicts the consensus</w:t>
      </w:r>
    </w:p>
    <w:p>
      <w:pPr>
        <w:pStyle w:val="MdListItem"/>
        <w:numPr>
          <w:ilvl w:val="0"/>
          <w:numId w:val="3"/>
        </w:numPr>
      </w:pPr>
      <w:r>
        <w:rPr>
          <w:rStyle w:val="MdStrong"/>
          <w:b/>
          <w:bCs/>
        </w:rPr>
        <w:t xml:space="preserve">AI discovery can rise while website clicks fall.</w:t>
      </w:r>
      <w:r>
        <w:t xml:space="preserve"> BrightLocal’s 2026 </w:t>
      </w:r>
      <w:r>
        <w:rPr>
          <w:rStyle w:val="MdStrong"/>
          <w:b/>
          <w:bCs/>
        </w:rPr>
        <w:t xml:space="preserve">[vendor survey]</w:t>
      </w:r>
      <w:r>
        <w:t xml:space="preserve"> says many consumers report asking AI for local recommendations. Pew’s independent Google behavior study says AI-summary pages receive fewer outbound clicks. Both can be true: the customer may get a short list from AI, then validate the finalists in Maps, reviews, calls, and brand searches. </w:t>
      </w:r>
      <w:hyperlink w:history="1" r:id="rIdsolixrfonlqcv2a9ebvng">
        <w:r>
          <w:rPr>
            <w:rStyle w:val="MdLink"/>
          </w:rPr>
          <w:t xml:space="preserve">4</w:t>
        </w:r>
      </w:hyperlink>
      <w:r>
        <w:t xml:space="preserve"> </w:t>
      </w:r>
      <w:hyperlink w:history="1" r:id="rId7xbawv5pk-1hyzd7jxn91">
        <w:r>
          <w:rPr>
            <w:rStyle w:val="MdLink"/>
          </w:rPr>
          <w:t xml:space="preserve">5</w:t>
        </w:r>
      </w:hyperlink>
    </w:p>
    <w:p>
      <w:pPr>
        <w:pStyle w:val="MdListItem"/>
        <w:numPr>
          <w:ilvl w:val="0"/>
          <w:numId w:val="3"/>
        </w:numPr>
      </w:pPr>
      <w:r>
        <w:rPr>
          <w:rStyle w:val="MdStrong"/>
          <w:b/>
          <w:bCs/>
        </w:rPr>
        <w:t xml:space="preserve">Google is less supportive of a separate “GEO industry” than agency pricing suggests.</w:t>
      </w:r>
      <w:r>
        <w:t xml:space="preserve"> Google says ordinary SEO basics are enough for eligibility, while the SE Ranking/Duda agency survey found an average AI-optimization price around $937/month among agencies that priced it. The contradiction is not that agencies are dishonest; it is that a paid package can be useful only when it buys concrete local-information work and measurement, not a claim of privileged access. </w:t>
      </w:r>
      <w:hyperlink w:history="1" r:id="rIdbjt5dmawdst_za-pm5vli">
        <w:r>
          <w:rPr>
            <w:rStyle w:val="MdLink"/>
          </w:rPr>
          <w:t xml:space="preserve">1</w:t>
        </w:r>
      </w:hyperlink>
      <w:r>
        <w:t xml:space="preserve"> </w:t>
      </w:r>
      <w:hyperlink w:history="1" r:id="rIdhunpb4uaknsvflepcdiwh">
        <w:r>
          <w:rPr>
            <w:rStyle w:val="MdLink"/>
          </w:rPr>
          <w:t xml:space="preserve">3</w:t>
        </w:r>
      </w:hyperlink>
    </w:p>
    <w:p>
      <w:pPr>
        <w:pStyle w:val="MdListItem"/>
        <w:numPr>
          <w:ilvl w:val="0"/>
          <w:numId w:val="3"/>
        </w:numPr>
      </w:pPr>
      <w:r>
        <w:rPr>
          <w:rStyle w:val="MdStrong"/>
          <w:b/>
          <w:bCs/>
        </w:rPr>
        <w:t xml:space="preserve">The enterprise surveys point to a very small-business advantage.</w:t>
      </w:r>
      <w:r>
        <w:t xml:space="preserve"> Salesforce reports that many marketing teams cannot respond promptly because data is split across systems. A one-person local operator does not need enterprise tooling to avoid that failure. One shared lead record, a clear call-back rule, and a weekly review can be simpler—and more reliable—than a large company’s stack. </w:t>
      </w:r>
      <w:hyperlink w:history="1" r:id="rId-ytvvktlwy4rewz3swptl">
        <w:r>
          <w:rPr>
            <w:rStyle w:val="MdLink"/>
          </w:rPr>
          <w:t xml:space="preserve">23</w:t>
        </w:r>
      </w:hyperlink>
    </w:p>
    <w:p>
      <w:pPr>
        <w:pStyle w:val="MdListItem"/>
        <w:numPr>
          <w:ilvl w:val="0"/>
          <w:numId w:val="3"/>
        </w:numPr>
      </w:pPr>
      <w:r>
        <w:rPr>
          <w:rStyle w:val="MdStrong"/>
          <w:b/>
          <w:bCs/>
        </w:rPr>
        <w:t xml:space="preserve">AI review summaries make authentic detail more valuable, not less.</w:t>
      </w:r>
      <w:r>
        <w:t xml:space="preserve"> The BrightLocal survey says AI users often check sources. That makes customer photos, specific service descriptions, and honest replies more important than a generic pile of five-star ratings. </w:t>
      </w:r>
      <w:hyperlink w:history="1" r:id="rIdpzsxtxezhftp53myacdnk">
        <w:r>
          <w:rPr>
            <w:rStyle w:val="MdLink"/>
          </w:rPr>
          <w:t xml:space="preserve">4</w:t>
        </w:r>
      </w:hyperlink>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1hcorjuisw1jchrbdwqgp" Type="http://schemas.openxmlformats.org/officeDocument/2006/relationships/hyperlink" Target="https://developers.google.com/search/docs/appearance/ai-features" TargetMode="External"/><Relationship Id="rIdcqht9_anngul8hsifgk8z" Type="http://schemas.openxmlformats.org/officeDocument/2006/relationships/hyperlink" Target="https://developers.google.com/search/docs/appearance/ai-features" TargetMode="External"/><Relationship Id="rIdven8kpx-krjuxgl79ltq8" Type="http://schemas.openxmlformats.org/officeDocument/2006/relationships/hyperlink" Target="https://developers.google.com/search/blog/2026/06/gen-ai-performance-reports" TargetMode="External"/><Relationship Id="rId4g7lh1-kmgekphvznuyno" Type="http://schemas.openxmlformats.org/officeDocument/2006/relationships/hyperlink" Target="https://25649.fs1.hubspotusercontent-na2.net/hub/25649/file-13535879-pdf/docs/mit_study.pdf" TargetMode="External"/><Relationship Id="rIdpbrmltqe6skku4ngxoxvb" Type="http://schemas.openxmlformats.org/officeDocument/2006/relationships/hyperlink" Target="https://wyzowl.com/video-marketing-statistics/" TargetMode="External"/><Relationship Id="rIdlf1b_cldn9frpx4uiklur" Type="http://schemas.openxmlformats.org/officeDocument/2006/relationships/hyperlink" Target="https://support.google.com/google-ads/answer/16297775?hl=en" TargetMode="External"/><Relationship Id="rIdythew6hxxvktc6ow9w4oq" Type="http://schemas.openxmlformats.org/officeDocument/2006/relationships/hyperlink" Target="https://www.facebook.com/business/news/q1-2025-earnings-advertiser-takeaways" TargetMode="External"/><Relationship Id="rIdb1mkb3gnqoj2-ljxaepus" Type="http://schemas.openxmlformats.org/officeDocument/2006/relationships/hyperlink" Target="https://openai.com/index/new-chatgpt-ads-format-and-measurement/" TargetMode="External"/><Relationship Id="rIdfov7aexjqzzkwydh1fu51" Type="http://schemas.openxmlformats.org/officeDocument/2006/relationships/hyperlink" Target="https://www.salesforce.com/news/stories/state-of-marketing-2026/" TargetMode="External"/><Relationship Id="rIdmtrmpopmhgthvkqgmo1z2" Type="http://schemas.openxmlformats.org/officeDocument/2006/relationships/hyperlink" Target="https://seranking.com/blog/seo-pricing/" TargetMode="External"/><Relationship Id="rId70uw2aqro4g9_t8sdep2u" Type="http://schemas.openxmlformats.org/officeDocument/2006/relationships/hyperlink" Target="https://www.brightlocal.com/research/lcrs-ai-trust/" TargetMode="External"/><Relationship Id="rIdxld9tjz4ynpzur6mqpgxi" Type="http://schemas.openxmlformats.org/officeDocument/2006/relationships/hyperlink" Target="https://developers.google.com/search/docs/appearance/ai-features" TargetMode="External"/><Relationship Id="rIdkq174vzo56tjpoqfoykzk" Type="http://schemas.openxmlformats.org/officeDocument/2006/relationships/hyperlink" Target="https://developers.google.com/search/blog/2026/06/gen-ai-performance-reports" TargetMode="External"/><Relationship Id="rId9d4bbtgznxpp_xqmplgvu" Type="http://schemas.openxmlformats.org/officeDocument/2006/relationships/hyperlink" Target="https://blogs.bing.com/search/2025/10/Introducing-the-New-Bing-Places-for-Business-Built-for-Business-Owners%2C-Powered-by-Research/" TargetMode="External"/><Relationship Id="rIdfzwiji24hfktqwj6hcgo6" Type="http://schemas.openxmlformats.org/officeDocument/2006/relationships/hyperlink" Target="https://www.pewresearch.org/short-reads/2025/07/22/google-users-are-less-likely-to-click-on-links-when-an-ai-summary-appears-in-the-results/" TargetMode="External"/><Relationship Id="rIddlz4k4kt5tu2ckkyzvswc" Type="http://schemas.openxmlformats.org/officeDocument/2006/relationships/hyperlink" Target="https://business.google.com/us/business-profile/" TargetMode="External"/><Relationship Id="rIddrbg5yrb6fjpxwlhi4rp7" Type="http://schemas.openxmlformats.org/officeDocument/2006/relationships/hyperlink" Target="https://25649.fs1.hubspotusercontent-na2.net/hub/25649/file-13535879-pdf/docs/mit_study.pdf" TargetMode="External"/><Relationship Id="rIdlilcz-tzyar96xtzwt883" Type="http://schemas.openxmlformats.org/officeDocument/2006/relationships/hyperlink" Target="https://www.callrail.com/blog/missed-calls-costing-your-business" TargetMode="External"/><Relationship Id="rIdqmcdhi5zze_gsguoe9dsz" Type="http://schemas.openxmlformats.org/officeDocument/2006/relationships/hyperlink" Target="https://help.getjobber.com/en/articles/receptionistpowered-by-jobber-ai/" TargetMode="External"/><Relationship Id="rIdqqfqzrmyvybl-go3s0-l-" Type="http://schemas.openxmlformats.org/officeDocument/2006/relationships/hyperlink" Target="https://www.callrail.com/pricing" TargetMode="External"/><Relationship Id="rIdivcdrfbivbht0d-iwgnrh" Type="http://schemas.openxmlformats.org/officeDocument/2006/relationships/hyperlink" Target="https://smith.ai/pricing" TargetMode="External"/><Relationship Id="rIdhow9zya6gi4kxubsdkdbh" Type="http://schemas.openxmlformats.org/officeDocument/2006/relationships/hyperlink" Target="https://www.fcc.gov/document/fcc-confirms-tcpa-applies-ai-technologies-generate-human-voices" TargetMode="External"/><Relationship Id="rIdi8jlbharm2sq45q4j_4qn" Type="http://schemas.openxmlformats.org/officeDocument/2006/relationships/hyperlink" Target="https://wyzowl.com/video-marketing-statistics/" TargetMode="External"/><Relationship Id="rIdp0vtvtsiqqnx4exfg-erw" Type="http://schemas.openxmlformats.org/officeDocument/2006/relationships/hyperlink" Target="https://developers.google.com/search/docs/fundamentals/using-gen-ai-content" TargetMode="External"/><Relationship Id="rIdv8oeuzah6w1a3q9cmxzcv" Type="http://schemas.openxmlformats.org/officeDocument/2006/relationships/hyperlink" Target="https://clutch.co/agencies/video-production/pricing" TargetMode="External"/><Relationship Id="rId8c6lofx3gjk9kgdr9euf_" Type="http://schemas.openxmlformats.org/officeDocument/2006/relationships/hyperlink" Target="https://support.google.com/localservices/answer/6224841?hl=en" TargetMode="External"/><Relationship Id="rIdbdd-d6aggtew3js15v44k" Type="http://schemas.openxmlformats.org/officeDocument/2006/relationships/hyperlink" Target="https://support.google.com/google-ads/answer/16297775?hl=en" TargetMode="External"/><Relationship Id="rIdw3pd73xgh4qkebdp7pjju" Type="http://schemas.openxmlformats.org/officeDocument/2006/relationships/hyperlink" Target="https://openai.com/index/new-chatgpt-ads-format-and-measurement/" TargetMode="External"/><Relationship Id="rIdeuz6w_afcg57bwmia4tfh" Type="http://schemas.openxmlformats.org/officeDocument/2006/relationships/hyperlink" Target="https://about.ads.microsoft.com/en/blog/post/march-2025/transforming-the-future-of-audience-engagement" TargetMode="External"/><Relationship Id="rIdj3kuq-t0hk5mkxre5hqpb" Type="http://schemas.openxmlformats.org/officeDocument/2006/relationships/hyperlink" Target="https://www.facebook.com/business/news/q1-2025-earnings-advertiser-takeaways" TargetMode="External"/><Relationship Id="rIdhubrmhiuy_6q-egghdjld" Type="http://schemas.openxmlformats.org/officeDocument/2006/relationships/hyperlink" Target="https://www.wordstream.com/blog/2025-google-ads-benchmarks" TargetMode="External"/><Relationship Id="rIdvjvzoyzklgmbjgmvyvgab" Type="http://schemas.openxmlformats.org/officeDocument/2006/relationships/hyperlink" Target="https://support.google.com/localservices/answer/6224841?hl=en" TargetMode="External"/><Relationship Id="rIdzlz2gmalyx6bn-rstxvep" Type="http://schemas.openxmlformats.org/officeDocument/2006/relationships/hyperlink" Target="https://hookagency.com/blog/digital-marketing-costs-for-home-service-businesses-in-2026/" TargetMode="External"/><Relationship Id="rIdtk6qh1q-uupf5w0pmn8sh" Type="http://schemas.openxmlformats.org/officeDocument/2006/relationships/hyperlink" Target="https://clicksgeek.com/ppc-agency-for-home-services/" TargetMode="External"/><Relationship Id="rIdbxtyzqzvfllofi6q_j79t" Type="http://schemas.openxmlformats.org/officeDocument/2006/relationships/hyperlink" Target="https://blog.google/products-and-platforms/products/maps/google-business-profiles-ai-fake-reviews/" TargetMode="External"/><Relationship Id="rIdjjdxutdej_qtwdal_nowk" Type="http://schemas.openxmlformats.org/officeDocument/2006/relationships/hyperlink" Target="https://www.ftc.gov/business-guidance/resources/consumer-reviews-testimonials-rule-questions-answers" TargetMode="External"/><Relationship Id="rIdekrc51j77vhxhrjbwlol3" Type="http://schemas.openxmlformats.org/officeDocument/2006/relationships/hyperlink" Target="https://www.brightlocal.com/research/local-consumer-review-survey-2025/" TargetMode="External"/><Relationship Id="rIdnifbykrt4afh_6pslofvf" Type="http://schemas.openxmlformats.org/officeDocument/2006/relationships/hyperlink" Target="https://www.brightlocal.com/research/lcrs-ai-trust/" TargetMode="External"/><Relationship Id="rIdmqpkq8g9z8aty8avgv335" Type="http://schemas.openxmlformats.org/officeDocument/2006/relationships/hyperlink" Target="https://www.salesforce.com/news/stories/state-of-marketing-2026/" TargetMode="External"/><Relationship Id="rIddk39d36k2mjsqbmj6bhjj" Type="http://schemas.openxmlformats.org/officeDocument/2006/relationships/hyperlink" Target="https://www.twilio.com/en-us/press/releases/socer-2025" TargetMode="External"/><Relationship Id="rIdszdf8zxz6zwirkj4uoap8" Type="http://schemas.openxmlformats.org/officeDocument/2006/relationships/hyperlink" Target="https://www.getjobber.com/pricing/" TargetMode="External"/><Relationship Id="rIdg1hcqqf3ugma_p5anhz1e" Type="http://schemas.openxmlformats.org/officeDocument/2006/relationships/hyperlink" Target="https://www.callrail.com/pricing" TargetMode="External"/><Relationship Id="rIduqicpxr7igzeineoezxzp" Type="http://schemas.openxmlformats.org/officeDocument/2006/relationships/hyperlink" Target="https://ahrefs.com/blog/seo-pricing/" TargetMode="External"/><Relationship Id="rIdpw543mprerk4t0dkt9tmh" Type="http://schemas.openxmlformats.org/officeDocument/2006/relationships/hyperlink" Target="https://seranking.com/blog/seo-pricing/" TargetMode="External"/><Relationship Id="rIdbnj2kofgcqcaxvlmufnwr" Type="http://schemas.openxmlformats.org/officeDocument/2006/relationships/hyperlink" Target="https://ahrefs.com/blog/seo-pricing/" TargetMode="External"/><Relationship Id="rIdlhbeogno0tatcvqmrdf7y" Type="http://schemas.openxmlformats.org/officeDocument/2006/relationships/hyperlink" Target="https://seranking.com/blog/seo-pricing/" TargetMode="External"/><Relationship Id="rIdfdtcbun7v5t2o_uaarf6l" Type="http://schemas.openxmlformats.org/officeDocument/2006/relationships/hyperlink" Target="https://hookagency.com/blog/digital-marketing-costs-for-home-service-businesses-in-2026/" TargetMode="External"/><Relationship Id="rId2njtuyebzii64bd425cuy" Type="http://schemas.openxmlformats.org/officeDocument/2006/relationships/hyperlink" Target="https://clutch.co/agencies/video-production/pricing" TargetMode="External"/><Relationship Id="rIdadef97vgkeka8mva4svsx" Type="http://schemas.openxmlformats.org/officeDocument/2006/relationships/hyperlink" Target="https://support.google.com/localservices/answer/6224841?hl=en" TargetMode="External"/><Relationship Id="rIdxnmwa-5xew8f8hcvhskak" Type="http://schemas.openxmlformats.org/officeDocument/2006/relationships/hyperlink" Target="https://clicksgeek.com/ppc-agency-for-home-services/" TargetMode="External"/><Relationship Id="rIdh0mblznmpjr2rbgfwcftd" Type="http://schemas.openxmlformats.org/officeDocument/2006/relationships/hyperlink" Target="https://www.callrail.com/pricing" TargetMode="External"/><Relationship Id="rIdojctzeelwvraadwb7f7-x" Type="http://schemas.openxmlformats.org/officeDocument/2006/relationships/hyperlink" Target="https://help.getjobber.com/en/articles/receptionistpowered-by-jobber-ai/" TargetMode="External"/><Relationship Id="rIdhgz-qab6b4wtfne5zm33t" Type="http://schemas.openxmlformats.org/officeDocument/2006/relationships/hyperlink" Target="https://blogs.bing.com/search/2025/10/Introducing-the-New-Bing-Places-for-Business-Built-for-Business-Owners%2C-Powered-by-Research/" TargetMode="External"/><Relationship Id="rId-1ujye30_msyihdz0kepl" Type="http://schemas.openxmlformats.org/officeDocument/2006/relationships/hyperlink" Target="https://business.google.com/us/business-profile/" TargetMode="External"/><Relationship Id="rIdbij6ssir4tkmm9ht7eick" Type="http://schemas.openxmlformats.org/officeDocument/2006/relationships/hyperlink" Target="https://www.callrail.com/pricing" TargetMode="External"/><Relationship Id="rId0ubshm7zuezdwsoybisfi" Type="http://schemas.openxmlformats.org/officeDocument/2006/relationships/hyperlink" Target="https://www.getjobber.com/pricing/" TargetMode="External"/><Relationship Id="rIde1kqkiiglwrup86yj1b4a" Type="http://schemas.openxmlformats.org/officeDocument/2006/relationships/hyperlink" Target="https://www.wordstream.com/blog/2025-google-ads-benchmarks" TargetMode="External"/><Relationship Id="rIddcoixretlnnatjxn81ij_" Type="http://schemas.openxmlformats.org/officeDocument/2006/relationships/hyperlink" Target="https://clicksgeek.com/ppc-agency-for-home-services/" TargetMode="External"/><Relationship Id="rIdrqnbh6msvpp_6rkjcjoyg" Type="http://schemas.openxmlformats.org/officeDocument/2006/relationships/hyperlink" Target="https://developers.google.com/search/docs/appearance/ai-features" TargetMode="External"/><Relationship Id="rIdi0ovtm_tme6gxoxlekeav" Type="http://schemas.openxmlformats.org/officeDocument/2006/relationships/hyperlink" Target="https://developers.google.com/search/docs/fundamentals/using-gen-ai-content" TargetMode="External"/><Relationship Id="rIdoyvzdf9gozpjkv6zgh49z" Type="http://schemas.openxmlformats.org/officeDocument/2006/relationships/hyperlink" Target="https://25649.fs1.hubspotusercontent-na2.net/hub/25649/file-13535879-pdf/docs/mit_study.pdf" TargetMode="External"/><Relationship Id="rIdnekctsbpdgpnocff3u8tf" Type="http://schemas.openxmlformats.org/officeDocument/2006/relationships/hyperlink" Target="https://www.callrail.com/pricing" TargetMode="External"/><Relationship Id="rIdgyglkgj_wge5t3swhcque" Type="http://schemas.openxmlformats.org/officeDocument/2006/relationships/hyperlink" Target="https://openai.com/index/new-chatgpt-ads-format-and-measurement/" TargetMode="External"/><Relationship Id="rId6zafj5tf9ilgjp1gtkf4q" Type="http://schemas.openxmlformats.org/officeDocument/2006/relationships/hyperlink" Target="https://support.google.com/google-ads/answer/16297775?hl=en" TargetMode="External"/><Relationship Id="rIdsolixrfonlqcv2a9ebvng" Type="http://schemas.openxmlformats.org/officeDocument/2006/relationships/hyperlink" Target="https://www.brightlocal.com/research/lcrs-ai-trust/" TargetMode="External"/><Relationship Id="rId7xbawv5pk-1hyzd7jxn91" Type="http://schemas.openxmlformats.org/officeDocument/2006/relationships/hyperlink" Target="https://www.pewresearch.org/short-reads/2025/07/22/google-users-are-less-likely-to-click-on-links-when-an-ai-summary-appears-in-the-results/" TargetMode="External"/><Relationship Id="rIdbjt5dmawdst_za-pm5vli" Type="http://schemas.openxmlformats.org/officeDocument/2006/relationships/hyperlink" Target="https://developers.google.com/search/docs/appearance/ai-features" TargetMode="External"/><Relationship Id="rIdhunpb4uaknsvflepcdiwh" Type="http://schemas.openxmlformats.org/officeDocument/2006/relationships/hyperlink" Target="https://seranking.com/blog/seo-pricing/" TargetMode="External"/><Relationship Id="rId-ytvvktlwy4rewz3swptl" Type="http://schemas.openxmlformats.org/officeDocument/2006/relationships/hyperlink" Target="https://www.salesforce.com/news/stories/state-of-marketing-2026/" TargetMode="External"/><Relationship Id="rIdpzsxtxezhftp53myacdnk" Type="http://schemas.openxmlformats.org/officeDocument/2006/relationships/hyperlink" Target="https://www.brightlocal.com/research/lcrs-ai-trust/" TargetMode="External"/><Relationship Id="rId7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2026-10-12T18:39:02.545Z</dcterms:created>
  <dcterms:modified xsi:type="dcterms:W3CDTF">2026-10-12T18:39:02.545Z</dcterms:modified>
</cp:coreProperties>
</file>

<file path=docProps/custom.xml><?xml version="1.0" encoding="utf-8"?>
<Properties xmlns="http://schemas.openxmlformats.org/officeDocument/2006/custom-properties" xmlns:vt="http://schemas.openxmlformats.org/officeDocument/2006/docPropsVTypes"/>
</file>