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41" w:rsidRDefault="001C5950" w:rsidP="001C5950">
      <w:pPr>
        <w:jc w:val="center"/>
      </w:pPr>
      <w:r>
        <w:t>Типовой перечень работ по техническому обслуживанию КИПиА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5308"/>
        <w:gridCol w:w="3078"/>
        <w:gridCol w:w="3078"/>
        <w:gridCol w:w="3078"/>
      </w:tblGrid>
      <w:tr w:rsidR="001C5950" w:rsidTr="001C5950">
        <w:tc>
          <w:tcPr>
            <w:tcW w:w="846" w:type="dxa"/>
          </w:tcPr>
          <w:p w:rsidR="001C5950" w:rsidRDefault="001C5950" w:rsidP="001C5950">
            <w:pPr>
              <w:jc w:val="center"/>
            </w:pPr>
            <w:r>
              <w:t>№ п/п</w:t>
            </w:r>
          </w:p>
        </w:tc>
        <w:tc>
          <w:tcPr>
            <w:tcW w:w="5308" w:type="dxa"/>
          </w:tcPr>
          <w:p w:rsidR="001C5950" w:rsidRDefault="001C5950" w:rsidP="001C5950">
            <w:pPr>
              <w:jc w:val="center"/>
            </w:pPr>
            <w:r>
              <w:t>Наименование</w:t>
            </w:r>
          </w:p>
          <w:p w:rsidR="001C5950" w:rsidRDefault="001C5950" w:rsidP="001C5950">
            <w:pPr>
              <w:jc w:val="center"/>
            </w:pPr>
            <w:r>
              <w:t>оборудования</w:t>
            </w: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  <w:r>
              <w:t>Вид работ</w:t>
            </w: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  <w:r>
              <w:t>Периодичность</w:t>
            </w:r>
          </w:p>
          <w:p w:rsidR="001C5950" w:rsidRDefault="001C5950" w:rsidP="001C5950">
            <w:pPr>
              <w:jc w:val="center"/>
            </w:pPr>
            <w:r>
              <w:t>Выполнения работ</w:t>
            </w: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  <w:r>
              <w:t>Примечание</w:t>
            </w:r>
          </w:p>
        </w:tc>
      </w:tr>
      <w:tr w:rsidR="001C5950" w:rsidTr="001C5950">
        <w:tc>
          <w:tcPr>
            <w:tcW w:w="846" w:type="dxa"/>
          </w:tcPr>
          <w:p w:rsidR="001C5950" w:rsidRDefault="001C5950" w:rsidP="001C5950">
            <w:pPr>
              <w:jc w:val="center"/>
            </w:pPr>
            <w:bookmarkStart w:id="0" w:name="_GoBack" w:colFirst="1" w:colLast="1"/>
            <w:r>
              <w:t>1</w:t>
            </w:r>
          </w:p>
        </w:tc>
        <w:tc>
          <w:tcPr>
            <w:tcW w:w="5308" w:type="dxa"/>
            <w:vMerge w:val="restart"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  <w:r>
              <w:t>1 раз в месяц</w:t>
            </w: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</w:tr>
      <w:bookmarkEnd w:id="0"/>
      <w:tr w:rsidR="001C5950" w:rsidTr="001C5950">
        <w:tc>
          <w:tcPr>
            <w:tcW w:w="846" w:type="dxa"/>
          </w:tcPr>
          <w:p w:rsidR="001C5950" w:rsidRDefault="001C5950" w:rsidP="001C5950">
            <w:pPr>
              <w:jc w:val="center"/>
            </w:pPr>
            <w:r>
              <w:t>2</w:t>
            </w:r>
          </w:p>
        </w:tc>
        <w:tc>
          <w:tcPr>
            <w:tcW w:w="5308" w:type="dxa"/>
            <w:vMerge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  <w:r>
              <w:t>1  раз в год</w:t>
            </w: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</w:tr>
      <w:tr w:rsidR="001C5950" w:rsidTr="001C5950">
        <w:tc>
          <w:tcPr>
            <w:tcW w:w="846" w:type="dxa"/>
          </w:tcPr>
          <w:p w:rsidR="001C5950" w:rsidRDefault="001C5950" w:rsidP="001C5950">
            <w:pPr>
              <w:jc w:val="center"/>
            </w:pPr>
            <w:r>
              <w:t>3</w:t>
            </w:r>
          </w:p>
        </w:tc>
        <w:tc>
          <w:tcPr>
            <w:tcW w:w="5308" w:type="dxa"/>
            <w:vMerge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  <w:r>
              <w:t>1 раз в сутки</w:t>
            </w: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</w:tr>
      <w:tr w:rsidR="001C5950" w:rsidTr="001C5950">
        <w:tc>
          <w:tcPr>
            <w:tcW w:w="846" w:type="dxa"/>
          </w:tcPr>
          <w:p w:rsidR="001C5950" w:rsidRDefault="001C5950" w:rsidP="001C5950">
            <w:pPr>
              <w:jc w:val="center"/>
            </w:pPr>
            <w:r>
              <w:t>4</w:t>
            </w:r>
          </w:p>
        </w:tc>
        <w:tc>
          <w:tcPr>
            <w:tcW w:w="5308" w:type="dxa"/>
            <w:vMerge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  <w:r>
              <w:t>1 раз в квартал</w:t>
            </w: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</w:tr>
      <w:tr w:rsidR="001C5950" w:rsidTr="001C5950">
        <w:tc>
          <w:tcPr>
            <w:tcW w:w="846" w:type="dxa"/>
          </w:tcPr>
          <w:p w:rsidR="001C5950" w:rsidRDefault="001C5950" w:rsidP="001C5950">
            <w:pPr>
              <w:jc w:val="center"/>
            </w:pPr>
            <w:r>
              <w:t>5</w:t>
            </w:r>
          </w:p>
        </w:tc>
        <w:tc>
          <w:tcPr>
            <w:tcW w:w="5308" w:type="dxa"/>
            <w:vMerge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  <w:r>
              <w:t>При необходимости</w:t>
            </w: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</w:tr>
      <w:tr w:rsidR="001C5950" w:rsidTr="001C5950">
        <w:tc>
          <w:tcPr>
            <w:tcW w:w="846" w:type="dxa"/>
          </w:tcPr>
          <w:p w:rsidR="001C5950" w:rsidRDefault="001C5950" w:rsidP="001C5950">
            <w:pPr>
              <w:jc w:val="center"/>
            </w:pPr>
            <w:r>
              <w:t>6</w:t>
            </w:r>
          </w:p>
        </w:tc>
        <w:tc>
          <w:tcPr>
            <w:tcW w:w="5308" w:type="dxa"/>
            <w:vMerge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  <w:r>
              <w:t>Перед поверкой</w:t>
            </w: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</w:tr>
      <w:tr w:rsidR="001C5950" w:rsidTr="001C5950">
        <w:tc>
          <w:tcPr>
            <w:tcW w:w="846" w:type="dxa"/>
          </w:tcPr>
          <w:p w:rsidR="001C5950" w:rsidRDefault="001C5950" w:rsidP="001C5950">
            <w:pPr>
              <w:jc w:val="center"/>
            </w:pPr>
            <w:r>
              <w:t>7</w:t>
            </w:r>
          </w:p>
        </w:tc>
        <w:tc>
          <w:tcPr>
            <w:tcW w:w="5308" w:type="dxa"/>
            <w:vMerge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  <w:r>
              <w:t>После поверки</w:t>
            </w: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</w:tr>
      <w:tr w:rsidR="001C5950" w:rsidTr="001C5950">
        <w:tc>
          <w:tcPr>
            <w:tcW w:w="846" w:type="dxa"/>
          </w:tcPr>
          <w:p w:rsidR="001C5950" w:rsidRDefault="001C5950" w:rsidP="001C5950">
            <w:pPr>
              <w:jc w:val="center"/>
            </w:pPr>
            <w:r>
              <w:t>8</w:t>
            </w:r>
          </w:p>
        </w:tc>
        <w:tc>
          <w:tcPr>
            <w:tcW w:w="5308" w:type="dxa"/>
            <w:vMerge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  <w:r>
              <w:t>1 раз в год</w:t>
            </w:r>
          </w:p>
        </w:tc>
        <w:tc>
          <w:tcPr>
            <w:tcW w:w="3078" w:type="dxa"/>
          </w:tcPr>
          <w:p w:rsidR="001C5950" w:rsidRDefault="001C5950" w:rsidP="001C5950">
            <w:pPr>
              <w:jc w:val="center"/>
            </w:pPr>
          </w:p>
        </w:tc>
      </w:tr>
    </w:tbl>
    <w:p w:rsidR="001C5950" w:rsidRDefault="001C5950" w:rsidP="001C5950">
      <w:pPr>
        <w:jc w:val="center"/>
      </w:pPr>
    </w:p>
    <w:sectPr w:rsidR="001C5950" w:rsidSect="001C5950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99"/>
    <w:rsid w:val="001C26BE"/>
    <w:rsid w:val="001C5950"/>
    <w:rsid w:val="0033076B"/>
    <w:rsid w:val="00977B75"/>
    <w:rsid w:val="00B07641"/>
    <w:rsid w:val="00C1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61AE"/>
  <w15:chartTrackingRefBased/>
  <w15:docId w15:val="{6B1A5F94-9710-4F0C-A0CD-6F33A08A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76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C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</cp:revision>
  <dcterms:created xsi:type="dcterms:W3CDTF">2022-05-20T04:23:00Z</dcterms:created>
  <dcterms:modified xsi:type="dcterms:W3CDTF">2022-05-20T04:31:00Z</dcterms:modified>
</cp:coreProperties>
</file>