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BC" w:rsidRPr="00A90904" w:rsidRDefault="00A90904" w:rsidP="00A90904">
      <w:pPr>
        <w:rPr>
          <w:b/>
        </w:rPr>
      </w:pPr>
      <w:r w:rsidRPr="00A90904">
        <w:rPr>
          <w:b/>
        </w:rPr>
        <w:t>1 ИЗУЧЕНИЕ ОБЩЕЙ ХАРАКТЕРИСТИКИ ПРОИЗВОДСТВА</w:t>
      </w:r>
    </w:p>
    <w:p w:rsidR="007D47FC" w:rsidRDefault="007D47FC" w:rsidP="007D47FC">
      <w:r>
        <w:t>Сэвилен представляет собой высокомолекулярный продукт сополимеризации этилена СН</w:t>
      </w:r>
      <w:r>
        <w:rPr>
          <w:vertAlign w:val="subscript"/>
        </w:rPr>
        <w:t>2</w:t>
      </w:r>
      <w:r>
        <w:t>=СН</w:t>
      </w:r>
      <w:r>
        <w:rPr>
          <w:vertAlign w:val="subscript"/>
        </w:rPr>
        <w:t>2</w:t>
      </w:r>
      <w:r>
        <w:t xml:space="preserve"> с винилацетатом СН</w:t>
      </w:r>
      <w:r>
        <w:rPr>
          <w:vertAlign w:val="subscript"/>
        </w:rPr>
        <w:t>2</w:t>
      </w:r>
      <w:r>
        <w:t>=СН-</w:t>
      </w:r>
      <w:r>
        <w:rPr>
          <w:lang w:val="en-US"/>
        </w:rPr>
        <w:t>OCOCH</w:t>
      </w:r>
      <w:r>
        <w:rPr>
          <w:vertAlign w:val="subscript"/>
        </w:rPr>
        <w:t>3</w:t>
      </w:r>
      <w:r>
        <w:t xml:space="preserve"> при высоких давлениях и температурах:</w:t>
      </w:r>
    </w:p>
    <w:p w:rsidR="007D47FC" w:rsidRDefault="007D47FC" w:rsidP="007D47FC">
      <w:r>
        <w:t>Упрощенная химическая формула сэвилена: [(СН</w:t>
      </w:r>
      <w:r>
        <w:rPr>
          <w:vertAlign w:val="subscript"/>
        </w:rPr>
        <w:t>2</w:t>
      </w:r>
      <w:r>
        <w:t xml:space="preserve"> – СН</w:t>
      </w:r>
      <w:proofErr w:type="gramStart"/>
      <w:r>
        <w:rPr>
          <w:vertAlign w:val="subscript"/>
        </w:rPr>
        <w:t>2</w:t>
      </w:r>
      <w:r>
        <w:t>)</w:t>
      </w:r>
      <w:r>
        <w:rPr>
          <w:lang w:val="en-US"/>
        </w:rPr>
        <w:t>n</w:t>
      </w:r>
      <w:proofErr w:type="gramEnd"/>
      <w:r>
        <w:t xml:space="preserve"> – (СН</w:t>
      </w:r>
      <w:r>
        <w:rPr>
          <w:vertAlign w:val="subscript"/>
        </w:rPr>
        <w:t>2</w:t>
      </w:r>
      <w:r>
        <w:t xml:space="preserve"> –СН – ) </w:t>
      </w:r>
      <w:r>
        <w:rPr>
          <w:lang w:val="en-US"/>
        </w:rPr>
        <w:t>m</w:t>
      </w:r>
      <w:r>
        <w:t xml:space="preserve"> ]</w:t>
      </w:r>
      <w:r>
        <w:rPr>
          <w:lang w:val="en-US"/>
        </w:rPr>
        <w:t>g</w:t>
      </w:r>
      <w:r>
        <w:t xml:space="preserve"> </w:t>
      </w:r>
      <w:r>
        <w:t>|</w:t>
      </w:r>
      <w:bookmarkStart w:id="0" w:name="_Toc117627772"/>
      <w:r>
        <w:t xml:space="preserve"> </w:t>
      </w:r>
      <w:r>
        <w:t>ОСОСН</w:t>
      </w:r>
      <w:r>
        <w:rPr>
          <w:vertAlign w:val="subscript"/>
        </w:rPr>
        <w:t>3</w:t>
      </w:r>
      <w:bookmarkEnd w:id="0"/>
    </w:p>
    <w:p w:rsidR="007D47FC" w:rsidRDefault="007D47FC" w:rsidP="007D47FC">
      <w:r>
        <w:t>По внешнему виду сэвилен (сополимер этилена с винилацетатом) - бесцветное, эластичное вещество, прозрачное в пленках, без запаха, не ядовит, не оказывает вредного воздействия на человеческий организм, горючее вещество.</w:t>
      </w:r>
    </w:p>
    <w:p w:rsidR="007D47FC" w:rsidRDefault="007D47FC" w:rsidP="007D47FC">
      <w:r>
        <w:t>Введение в молекулу полиэтилена винилацетатного звена приводит к нарушению кристаллической структуры молекулы вследствие чего, существенно изменяются свойства продукта.</w:t>
      </w:r>
    </w:p>
    <w:p w:rsidR="007D47FC" w:rsidRDefault="007D47FC" w:rsidP="007D47FC">
      <w:r>
        <w:t xml:space="preserve">Сэвилен имеет высокую ударную прочность, повышенную устойчивость к растрескиванию под нагрузкой, хорошую морозостойкость, хорошо перерабатывается. Свойства сэвилена по мере увеличения содержания в нем винилацетата изменяются в следующем порядке: сополимеры, содержащие до 20% винилацетата, представляют собой прочные пластики, сходные с полиэтиленом низкой плотности, но отличающиеся от него более высокой эластичностью, прозрачностью и пониженной температурой плавления. При содержании винилацетата (30-35) % образуются </w:t>
      </w:r>
      <w:proofErr w:type="spellStart"/>
      <w:r>
        <w:t>каучукоподобные</w:t>
      </w:r>
      <w:proofErr w:type="spellEnd"/>
      <w:r>
        <w:t xml:space="preserve"> продукты.</w:t>
      </w:r>
    </w:p>
    <w:p w:rsidR="007D47FC" w:rsidRDefault="007D47FC" w:rsidP="007D47FC">
      <w:r>
        <w:t>Сополимеры этилена с винилацетатом не требуют применения пластификаторов, хорошо совмещаются со многими смолами, канифолью, парафином, восками, а также минеральными маслами, содержащими более 40% ароматических углеводородов.</w:t>
      </w:r>
    </w:p>
    <w:p w:rsidR="007D47FC" w:rsidRDefault="007D47FC" w:rsidP="007D47FC">
      <w:r>
        <w:t>Сэвилен устойчив к воздействию разбавленных растворов кислот и щелочей. Растворимость сэвилена в таких растворителях, как бензол, ксилол, толуол, четырех хлористый углерод, спирт, ацетон повышается с увеличением содержания винилацетата.</w:t>
      </w:r>
    </w:p>
    <w:p w:rsidR="007D47FC" w:rsidRDefault="007D47FC" w:rsidP="007D47FC">
      <w:r>
        <w:t>Сэвилен имеет сравнительно худшие диэлектрические свойства, чем полиэтилен низкой плотности, что вызвано введением полярного заместителя - винилацетата в полиэтиленовую цепь.</w:t>
      </w:r>
    </w:p>
    <w:p w:rsidR="007D47FC" w:rsidRDefault="007D47FC" w:rsidP="007D47FC">
      <w:r>
        <w:t>Сэвилен (сополимер этилена с винилацетатом) характеризуется следующими свойствами</w:t>
      </w:r>
    </w:p>
    <w:tbl>
      <w:tblPr>
        <w:tblW w:w="8660" w:type="dxa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392"/>
        <w:gridCol w:w="2268"/>
      </w:tblGrid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firstLine="0"/>
              <w:rPr>
                <w:sz w:val="24"/>
              </w:rPr>
            </w:pPr>
            <w:r>
              <w:t>Содержание винилацетата, % вес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left="72" w:hanging="72"/>
            </w:pPr>
            <w:r>
              <w:t>5÷30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firstLine="0"/>
            </w:pPr>
            <w:r>
              <w:t>Плотность, г/см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left="72" w:hanging="72"/>
            </w:pPr>
            <w:r>
              <w:t>0,922÷0,955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firstLine="0"/>
            </w:pPr>
            <w:r>
              <w:t>Показатель текучести расплава, г/10 мин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left="72" w:hanging="72"/>
            </w:pPr>
            <w:r>
              <w:t>0,5÷40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firstLine="0"/>
            </w:pPr>
            <w:r>
              <w:t>Прочность при разрыве, МПа (кгс/см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C37843">
            <w:pPr>
              <w:spacing w:line="360" w:lineRule="auto"/>
              <w:ind w:left="72" w:hanging="72"/>
              <w:jc w:val="center"/>
            </w:pPr>
            <w:r>
              <w:t xml:space="preserve">4,5÷14,0(50÷143) 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firstLine="0"/>
            </w:pPr>
            <w:r>
              <w:t>Относительное удлинение при разрыве, %, не менее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left="72" w:hanging="72"/>
            </w:pPr>
            <w:r>
              <w:t>600-650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firstLine="0"/>
            </w:pPr>
            <w:r>
              <w:t xml:space="preserve">Температура размягчения по Вика, </w:t>
            </w:r>
            <w:r>
              <w:rPr>
                <w:vertAlign w:val="superscript"/>
              </w:rPr>
              <w:t>0</w:t>
            </w:r>
            <w:r>
              <w:t>С, не менее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left="72" w:hanging="72"/>
            </w:pPr>
            <w:r>
              <w:t>27÷70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firstLine="0"/>
            </w:pPr>
            <w:r>
              <w:lastRenderedPageBreak/>
              <w:t xml:space="preserve">Морозостойкость, 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left="72" w:hanging="72"/>
            </w:pPr>
            <w:r>
              <w:t>(-65) ÷ (-75)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firstLine="0"/>
            </w:pPr>
            <w:r>
              <w:t xml:space="preserve">Твердость по </w:t>
            </w:r>
            <w:proofErr w:type="spellStart"/>
            <w:r>
              <w:t>Шору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left="72" w:hanging="72"/>
            </w:pPr>
            <w:r>
              <w:t>85÷95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ind w:firstLine="0"/>
            </w:pPr>
            <w:r>
              <w:t xml:space="preserve">Стойкость к </w:t>
            </w:r>
            <w:proofErr w:type="spellStart"/>
            <w:r>
              <w:t>термоокислительному</w:t>
            </w:r>
            <w:proofErr w:type="spellEnd"/>
            <w:r>
              <w:t xml:space="preserve"> старению, час, не менее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ind w:left="72" w:hanging="72"/>
            </w:pPr>
            <w:r>
              <w:t>6÷8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hd w:val="clear" w:color="auto" w:fill="FFFFFF"/>
              <w:ind w:firstLine="0"/>
            </w:pPr>
            <w:r>
              <w:t>Диэлектрическая проницаемость,</w:t>
            </w:r>
            <w:r>
              <w:t xml:space="preserve"> </w:t>
            </w:r>
            <w:r>
              <w:t>при частоте1 •10</w:t>
            </w:r>
            <w:r>
              <w:rPr>
                <w:vertAlign w:val="superscript"/>
              </w:rPr>
              <w:t>-3</w:t>
            </w:r>
            <w:r>
              <w:t xml:space="preserve"> Гц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left="72" w:hanging="72"/>
            </w:pPr>
            <w:r>
              <w:t>2,4÷3,1</w:t>
            </w:r>
          </w:p>
        </w:tc>
      </w:tr>
      <w:tr w:rsidR="007D47FC" w:rsidTr="007D47FC">
        <w:tc>
          <w:tcPr>
            <w:tcW w:w="6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hd w:val="clear" w:color="auto" w:fill="FFFFFF"/>
              <w:ind w:firstLine="0"/>
            </w:pPr>
            <w:r>
              <w:t>Тангенс угла диэлектрических потерь,</w:t>
            </w:r>
            <w:r>
              <w:t xml:space="preserve"> </w:t>
            </w:r>
            <w:r>
              <w:t>при частоте10</w:t>
            </w:r>
            <w:r>
              <w:rPr>
                <w:vertAlign w:val="superscript"/>
              </w:rPr>
              <w:t>-3</w:t>
            </w:r>
            <w:r>
              <w:t xml:space="preserve"> Гц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D47FC" w:rsidRDefault="007D47FC" w:rsidP="007D47FC">
            <w:pPr>
              <w:spacing w:line="360" w:lineRule="auto"/>
              <w:ind w:left="72" w:hanging="72"/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 xml:space="preserve">,3 </w:t>
            </w:r>
            <w:r>
              <w:t>÷</w:t>
            </w:r>
            <w:r>
              <w:rPr>
                <w:lang w:val="en-US"/>
              </w:rPr>
              <w:t xml:space="preserve"> 5,0)·l</w:t>
            </w:r>
            <w:r>
              <w:t>0</w:t>
            </w:r>
            <w:r>
              <w:rPr>
                <w:vertAlign w:val="superscript"/>
              </w:rPr>
              <w:t>-2</w:t>
            </w:r>
          </w:p>
        </w:tc>
      </w:tr>
    </w:tbl>
    <w:p w:rsidR="007D47FC" w:rsidRDefault="007D47FC" w:rsidP="007D47FC"/>
    <w:p w:rsidR="007D47FC" w:rsidRDefault="007D47FC" w:rsidP="007D47FC">
      <w:pPr>
        <w:rPr>
          <w:b/>
          <w:color w:val="000000"/>
          <w:sz w:val="24"/>
          <w:szCs w:val="24"/>
          <w:u w:val="single"/>
        </w:rPr>
      </w:pPr>
      <w:r>
        <w:rPr>
          <w:b/>
          <w:u w:val="single"/>
        </w:rPr>
        <w:t>Сополимер этилена с винилацетатом (сэвилен).</w:t>
      </w:r>
    </w:p>
    <w:p w:rsidR="007D47FC" w:rsidRDefault="007D47FC" w:rsidP="007D47FC">
      <w:pPr>
        <w:rPr>
          <w:b/>
          <w:color w:val="000000"/>
        </w:rPr>
      </w:pPr>
      <w:r>
        <w:rPr>
          <w:color w:val="000000"/>
        </w:rPr>
        <w:t>По внешнему виду - вещество молочного белого цвета. Плотность в зависи</w:t>
      </w:r>
      <w:r>
        <w:rPr>
          <w:color w:val="000000"/>
        </w:rPr>
        <w:t>мости от состава: 0,92-0,96г/см</w:t>
      </w:r>
      <w:r>
        <w:rPr>
          <w:color w:val="000000"/>
        </w:rPr>
        <w:t>, температура размягчения 30-90°С, Свойства сэвилена определяется содержанием винилацетата:</w:t>
      </w:r>
    </w:p>
    <w:p w:rsidR="007D47FC" w:rsidRDefault="007D47FC" w:rsidP="007D47FC">
      <w:r>
        <w:rPr>
          <w:color w:val="000000"/>
        </w:rPr>
        <w:t>сополимеры, содержащие до 10-12% винилацетата, представляют собой прочные пластики, сходные с полиэтиленом низкой</w:t>
      </w:r>
    </w:p>
    <w:p w:rsidR="007D47FC" w:rsidRDefault="007D47FC" w:rsidP="007D47FC">
      <w:r>
        <w:rPr>
          <w:color w:val="000000"/>
        </w:rPr>
        <w:t>плотности, но отличающиеся от него более высокой эластичностью, прозрач</w:t>
      </w:r>
      <w:r>
        <w:rPr>
          <w:color w:val="000000"/>
        </w:rPr>
        <w:softHyphen/>
        <w:t>ностью и пониженной температурой плавления;</w:t>
      </w:r>
    </w:p>
    <w:p w:rsidR="007D47FC" w:rsidRDefault="007D47FC" w:rsidP="007D47FC">
      <w:pPr>
        <w:rPr>
          <w:color w:val="000000"/>
        </w:rPr>
      </w:pPr>
      <w:r>
        <w:rPr>
          <w:color w:val="000000"/>
        </w:rPr>
        <w:t>при содержании винилацетата 13-25</w:t>
      </w:r>
      <w:r>
        <w:rPr>
          <w:color w:val="000000"/>
        </w:rPr>
        <w:t>% сополимеры представляют собой каучук подобные</w:t>
      </w:r>
      <w:r>
        <w:rPr>
          <w:color w:val="000000"/>
        </w:rPr>
        <w:t xml:space="preserve"> продукты;</w:t>
      </w:r>
    </w:p>
    <w:p w:rsidR="007D47FC" w:rsidRDefault="007D47FC" w:rsidP="007D47FC">
      <w:pPr>
        <w:rPr>
          <w:color w:val="000000"/>
        </w:rPr>
      </w:pPr>
      <w:r>
        <w:rPr>
          <w:color w:val="000000"/>
        </w:rPr>
        <w:t>при содержании винилацетата выше 30% - мягкие и клейкие при комнатной температуре смолы.</w:t>
      </w:r>
    </w:p>
    <w:p w:rsidR="007D47FC" w:rsidRDefault="007D47FC" w:rsidP="007D47FC">
      <w:pPr>
        <w:rPr>
          <w:color w:val="000000"/>
        </w:rPr>
      </w:pPr>
      <w:r>
        <w:rPr>
          <w:color w:val="000000"/>
        </w:rPr>
        <w:t xml:space="preserve">Из сэвилена во время его переработки при повышенной температуре в воздух производственных помещений могут выделяться винилацетат, ацетальдегид и уксусная кислота. </w:t>
      </w:r>
    </w:p>
    <w:tbl>
      <w:tblPr>
        <w:tblW w:w="0" w:type="auto"/>
        <w:tblInd w:w="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3"/>
        <w:gridCol w:w="1068"/>
      </w:tblGrid>
      <w:tr w:rsidR="007D47FC" w:rsidTr="007D47FC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7FC" w:rsidRDefault="007D47FC" w:rsidP="007D47FC">
            <w:pPr>
              <w:ind w:firstLine="0"/>
              <w:rPr>
                <w:color w:val="000000"/>
                <w:kern w:val="28"/>
                <w:sz w:val="24"/>
              </w:rPr>
            </w:pPr>
            <w:r>
              <w:rPr>
                <w:color w:val="000000"/>
                <w:kern w:val="28"/>
              </w:rPr>
              <w:t>ПДК в мг/</w:t>
            </w:r>
            <w:proofErr w:type="gramStart"/>
            <w:r>
              <w:rPr>
                <w:color w:val="000000"/>
                <w:kern w:val="28"/>
              </w:rPr>
              <w:t>м :</w:t>
            </w:r>
            <w:proofErr w:type="gramEnd"/>
          </w:p>
          <w:p w:rsidR="007D47FC" w:rsidRDefault="007D47FC" w:rsidP="007D47FC">
            <w:pPr>
              <w:ind w:firstLine="0"/>
              <w:rPr>
                <w:b/>
                <w:color w:val="000000"/>
                <w:kern w:val="28"/>
              </w:rPr>
            </w:pPr>
            <w:r>
              <w:rPr>
                <w:color w:val="000000"/>
                <w:kern w:val="28"/>
              </w:rPr>
              <w:t xml:space="preserve">винилацетата </w:t>
            </w:r>
          </w:p>
          <w:p w:rsidR="007D47FC" w:rsidRDefault="007D47FC" w:rsidP="007D47FC">
            <w:pPr>
              <w:ind w:firstLine="0"/>
              <w:rPr>
                <w:b/>
                <w:color w:val="000000"/>
                <w:kern w:val="28"/>
              </w:rPr>
            </w:pPr>
            <w:r>
              <w:rPr>
                <w:color w:val="000000"/>
                <w:kern w:val="28"/>
              </w:rPr>
              <w:t xml:space="preserve">ацетальдегида </w:t>
            </w:r>
          </w:p>
          <w:p w:rsidR="007D47FC" w:rsidRDefault="007D47FC" w:rsidP="007D47FC">
            <w:pPr>
              <w:ind w:firstLine="0"/>
              <w:rPr>
                <w:b/>
                <w:color w:val="000000"/>
                <w:kern w:val="28"/>
              </w:rPr>
            </w:pPr>
            <w:r>
              <w:rPr>
                <w:color w:val="000000"/>
                <w:kern w:val="28"/>
              </w:rPr>
              <w:t>уксусной кислоты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FC" w:rsidRDefault="007D47FC" w:rsidP="007D47FC">
            <w:pPr>
              <w:rPr>
                <w:color w:val="000000"/>
                <w:kern w:val="28"/>
              </w:rPr>
            </w:pPr>
          </w:p>
          <w:p w:rsidR="007D47FC" w:rsidRDefault="007D47FC" w:rsidP="007D47FC">
            <w:pPr>
              <w:ind w:firstLine="0"/>
              <w:rPr>
                <w:color w:val="000000"/>
                <w:kern w:val="28"/>
              </w:rPr>
            </w:pPr>
            <w:r>
              <w:rPr>
                <w:color w:val="000000"/>
                <w:kern w:val="28"/>
              </w:rPr>
              <w:t>10</w:t>
            </w:r>
          </w:p>
          <w:p w:rsidR="007D47FC" w:rsidRDefault="007D47FC" w:rsidP="007D47FC">
            <w:pPr>
              <w:ind w:firstLine="0"/>
              <w:rPr>
                <w:color w:val="000000"/>
                <w:kern w:val="28"/>
              </w:rPr>
            </w:pPr>
            <w:r>
              <w:rPr>
                <w:color w:val="000000"/>
                <w:kern w:val="28"/>
              </w:rPr>
              <w:t>5</w:t>
            </w:r>
          </w:p>
          <w:p w:rsidR="007D47FC" w:rsidRDefault="007D47FC" w:rsidP="007D47FC">
            <w:pPr>
              <w:ind w:firstLine="0"/>
              <w:rPr>
                <w:color w:val="000000"/>
                <w:kern w:val="28"/>
              </w:rPr>
            </w:pPr>
            <w:r>
              <w:rPr>
                <w:color w:val="000000"/>
                <w:kern w:val="28"/>
              </w:rPr>
              <w:t>5</w:t>
            </w:r>
          </w:p>
        </w:tc>
      </w:tr>
    </w:tbl>
    <w:p w:rsidR="007D47FC" w:rsidRDefault="007D47FC" w:rsidP="007D47FC">
      <w:pPr>
        <w:rPr>
          <w:color w:val="000000"/>
        </w:rPr>
      </w:pPr>
      <w:r>
        <w:rPr>
          <w:color w:val="000000"/>
        </w:rPr>
        <w:t xml:space="preserve">Комплекс летучих продуктов, выделяющихся из сэвилена, </w:t>
      </w:r>
      <w:r>
        <w:rPr>
          <w:color w:val="000000"/>
        </w:rPr>
        <w:t>в концентрациях,</w:t>
      </w:r>
      <w:r>
        <w:rPr>
          <w:color w:val="000000"/>
        </w:rPr>
        <w:t xml:space="preserve"> превышающих предельно-допустимые, оказывает раздражающее действие на слизистые оболочки верхних дыхательных путей и глаз. При поднесении открытого пламени сэвилен загорается с образованием расплава с выделе</w:t>
      </w:r>
      <w:r>
        <w:rPr>
          <w:color w:val="000000"/>
        </w:rPr>
        <w:softHyphen/>
        <w:t>нием газообразных продуктов. Сэвилен горит коптящим пламенем, загорается без взрыва.</w:t>
      </w:r>
    </w:p>
    <w:p w:rsidR="007D47FC" w:rsidRDefault="007D47FC" w:rsidP="007D47FC">
      <w:pPr>
        <w:rPr>
          <w:color w:val="000000"/>
        </w:rPr>
      </w:pPr>
      <w:r>
        <w:rPr>
          <w:color w:val="000000"/>
        </w:rPr>
        <w:t>Температура разложения сэвилена - 350 °С. При загорании тушить всеми известными средствами пожаротушения.</w:t>
      </w:r>
    </w:p>
    <w:p w:rsidR="007D47FC" w:rsidRDefault="007D47FC">
      <w:pPr>
        <w:spacing w:after="160" w:line="259" w:lineRule="auto"/>
        <w:ind w:firstLine="0"/>
        <w:jc w:val="left"/>
      </w:pPr>
    </w:p>
    <w:p w:rsidR="007D47FC" w:rsidRDefault="007D47FC">
      <w:pPr>
        <w:spacing w:after="160" w:line="259" w:lineRule="auto"/>
        <w:ind w:firstLine="0"/>
        <w:jc w:val="left"/>
      </w:pPr>
    </w:p>
    <w:p w:rsidR="00F20304" w:rsidRDefault="00F20304">
      <w:pPr>
        <w:spacing w:after="160" w:line="259" w:lineRule="auto"/>
        <w:ind w:firstLine="0"/>
        <w:jc w:val="left"/>
      </w:pPr>
      <w:r>
        <w:br w:type="page"/>
      </w:r>
    </w:p>
    <w:p w:rsidR="00F20304" w:rsidRDefault="00F20304" w:rsidP="00F20304">
      <w:pPr>
        <w:rPr>
          <w:b/>
        </w:rPr>
      </w:pPr>
      <w:r>
        <w:rPr>
          <w:b/>
        </w:rPr>
        <w:lastRenderedPageBreak/>
        <w:t xml:space="preserve">2 </w:t>
      </w:r>
      <w:r w:rsidRPr="00F20304">
        <w:rPr>
          <w:b/>
        </w:rPr>
        <w:t>И</w:t>
      </w:r>
      <w:r w:rsidR="00AA41CF">
        <w:rPr>
          <w:b/>
        </w:rPr>
        <w:t>ЗУЧЕНИЕ ТЕХНОЛОГИИ ПРОИЗВОДСТВА</w:t>
      </w:r>
      <w:r w:rsidRPr="00F20304">
        <w:rPr>
          <w:b/>
        </w:rPr>
        <w:t xml:space="preserve"> И ЕГО АВТОМАТИЗАЦИИ</w:t>
      </w:r>
    </w:p>
    <w:p w:rsidR="002462E8" w:rsidRPr="005D11F0" w:rsidRDefault="002462E8" w:rsidP="002462E8">
      <w:r w:rsidRPr="005D11F0">
        <w:t>Технологический процесс получения сэвилена</w:t>
      </w:r>
      <w:r>
        <w:t xml:space="preserve"> </w:t>
      </w:r>
      <w:r w:rsidRPr="005D11F0">
        <w:t>основан на реакции</w:t>
      </w:r>
      <w:r>
        <w:t xml:space="preserve"> </w:t>
      </w:r>
      <w:r w:rsidRPr="005D11F0">
        <w:t>сополимеризации этилена</w:t>
      </w:r>
      <w:r>
        <w:t xml:space="preserve"> с винилацетатом СН</w:t>
      </w:r>
      <w:r w:rsidRPr="001F3C7E">
        <w:rPr>
          <w:vertAlign w:val="subscript"/>
        </w:rPr>
        <w:t>2</w:t>
      </w:r>
      <w:r>
        <w:t>=</w:t>
      </w:r>
      <w:r w:rsidRPr="00507401">
        <w:t>СН</w:t>
      </w:r>
      <w:r>
        <w:t>–(</w:t>
      </w:r>
      <w:r w:rsidRPr="00507401">
        <w:t>ОСОСН</w:t>
      </w:r>
      <w:r w:rsidRPr="00507401">
        <w:rPr>
          <w:vertAlign w:val="subscript"/>
        </w:rPr>
        <w:t>3</w:t>
      </w:r>
      <w:r>
        <w:t xml:space="preserve">), </w:t>
      </w:r>
      <w:r w:rsidRPr="005D11F0">
        <w:t xml:space="preserve">а </w:t>
      </w:r>
      <w:r>
        <w:t xml:space="preserve">процесс получения </w:t>
      </w:r>
      <w:r w:rsidRPr="005D11F0">
        <w:t xml:space="preserve">полиэтилена высокого давления (низкой плотности) основан на реакции полимеризации </w:t>
      </w:r>
      <w:r w:rsidRPr="00507401">
        <w:t>этилена (СН</w:t>
      </w:r>
      <w:r w:rsidRPr="00507401">
        <w:rPr>
          <w:vertAlign w:val="subscript"/>
        </w:rPr>
        <w:t>2</w:t>
      </w:r>
      <w:r w:rsidRPr="00507401">
        <w:t>=СН</w:t>
      </w:r>
      <w:r w:rsidRPr="00507401">
        <w:rPr>
          <w:vertAlign w:val="subscript"/>
        </w:rPr>
        <w:t>2</w:t>
      </w:r>
      <w:r w:rsidRPr="00507401">
        <w:t>),</w:t>
      </w:r>
      <w:r w:rsidRPr="005D11F0">
        <w:t xml:space="preserve"> которые протекают в трубчатом реакторе при высоком давлении и высокой температуре.</w:t>
      </w:r>
      <w:bookmarkStart w:id="1" w:name="_GoBack"/>
      <w:bookmarkEnd w:id="1"/>
    </w:p>
    <w:p w:rsidR="002462E8" w:rsidRPr="005D11F0" w:rsidRDefault="002462E8" w:rsidP="002462E8">
      <w:r w:rsidRPr="005D11F0">
        <w:t xml:space="preserve">Получение сэвилена осуществляется при давлении до </w:t>
      </w:r>
      <w:r>
        <w:t>150 МПа (</w:t>
      </w:r>
      <w:r w:rsidRPr="005D11F0">
        <w:t>1500 кгс/см</w:t>
      </w:r>
      <w:r w:rsidRPr="005D11F0">
        <w:rPr>
          <w:vertAlign w:val="superscript"/>
        </w:rPr>
        <w:t>2</w:t>
      </w:r>
      <w:r>
        <w:t>)</w:t>
      </w:r>
      <w:r w:rsidRPr="005D11F0">
        <w:t xml:space="preserve"> и темпе</w:t>
      </w:r>
      <w:r>
        <w:t>ратуре (160÷26</w:t>
      </w:r>
      <w:r w:rsidRPr="005D11F0">
        <w:t>0)</w:t>
      </w:r>
      <w:r>
        <w:rPr>
          <w:vertAlign w:val="superscript"/>
        </w:rPr>
        <w:t>0</w:t>
      </w:r>
      <w:r w:rsidRPr="005D11F0">
        <w:t>С.Полиэтил</w:t>
      </w:r>
      <w:r>
        <w:t xml:space="preserve">ен </w:t>
      </w:r>
      <w:r w:rsidRPr="005D11F0">
        <w:t xml:space="preserve">высокого давления </w:t>
      </w:r>
      <w:r>
        <w:t xml:space="preserve">получается при том же давлении </w:t>
      </w:r>
      <w:r w:rsidRPr="005D11F0">
        <w:t>и температуре (180 ÷ 280)</w:t>
      </w:r>
      <w:r>
        <w:rPr>
          <w:vertAlign w:val="superscript"/>
        </w:rPr>
        <w:t>0</w:t>
      </w:r>
      <w:r w:rsidRPr="005D11F0">
        <w:t>С.</w:t>
      </w:r>
    </w:p>
    <w:p w:rsidR="002462E8" w:rsidRPr="005D11F0" w:rsidRDefault="002462E8" w:rsidP="002462E8">
      <w:r w:rsidRPr="005D11F0">
        <w:t xml:space="preserve">В качестве инициатора процессов сополимеризации </w:t>
      </w:r>
      <w:r>
        <w:t xml:space="preserve">и </w:t>
      </w:r>
      <w:r w:rsidRPr="005D11F0">
        <w:t>полимеризации применяется ки</w:t>
      </w:r>
      <w:r>
        <w:t>слород (при сополимеризации дополнительно применяются</w:t>
      </w:r>
      <w:r w:rsidRPr="005D11F0">
        <w:t xml:space="preserve"> и органически</w:t>
      </w:r>
      <w:r>
        <w:t>е</w:t>
      </w:r>
      <w:r w:rsidRPr="005D11F0">
        <w:t xml:space="preserve"> пероксид</w:t>
      </w:r>
      <w:r>
        <w:t>ы</w:t>
      </w:r>
      <w:r w:rsidRPr="005D11F0">
        <w:t>).</w:t>
      </w:r>
    </w:p>
    <w:p w:rsidR="002462E8" w:rsidRPr="005D11F0" w:rsidRDefault="002462E8" w:rsidP="002462E8">
      <w:r>
        <w:t>Соп</w:t>
      </w:r>
      <w:r w:rsidRPr="005D11F0">
        <w:t>олимеризация и полимеризация протекают при непрерывной подаче реакционной смеси в реактор и непрерывной</w:t>
      </w:r>
      <w:r>
        <w:t xml:space="preserve"> выгрузке из него полимера и не</w:t>
      </w:r>
      <w:r w:rsidRPr="005D11F0">
        <w:t xml:space="preserve">прореагировавшего этилена (в случае получения полиэтилена) или </w:t>
      </w:r>
      <w:r>
        <w:t>смеси не</w:t>
      </w:r>
      <w:r w:rsidRPr="005D11F0">
        <w:t>прореагировавших этилена с винилацетатом – (в случае получения сэвилена).</w:t>
      </w:r>
    </w:p>
    <w:p w:rsidR="002462E8" w:rsidRDefault="002462E8" w:rsidP="002462E8">
      <w:r w:rsidRPr="00003549">
        <w:t>Реакция сополимеризации этилена</w:t>
      </w:r>
      <w:r w:rsidRPr="00DD2F59">
        <w:t xml:space="preserve"> </w:t>
      </w:r>
      <w:r w:rsidRPr="008437EA">
        <w:t>с винилацетатом протекает в три стадии: инициирование, рост цепи, обрыв цепи.</w:t>
      </w:r>
    </w:p>
    <w:p w:rsidR="002462E8" w:rsidRPr="00805B02" w:rsidRDefault="002462E8" w:rsidP="002462E8">
      <w:pPr>
        <w:rPr>
          <w:szCs w:val="28"/>
        </w:rPr>
      </w:pPr>
      <w:r w:rsidRPr="00805B02">
        <w:rPr>
          <w:szCs w:val="28"/>
        </w:rPr>
        <w:t xml:space="preserve">Узел дозировки винилацетата является общим для двух потоков (систем). </w:t>
      </w:r>
      <w:r w:rsidRPr="00805B02">
        <w:t>Свежий</w:t>
      </w:r>
      <w:r>
        <w:t xml:space="preserve"> </w:t>
      </w:r>
      <w:r w:rsidRPr="00805B02">
        <w:t>винилацетат</w:t>
      </w:r>
      <w:r w:rsidRPr="00805B02">
        <w:rPr>
          <w:szCs w:val="28"/>
        </w:rPr>
        <w:t xml:space="preserve"> с установки ректификации или из ёмкостей хран</w:t>
      </w:r>
      <w:r>
        <w:rPr>
          <w:szCs w:val="28"/>
        </w:rPr>
        <w:t xml:space="preserve">ения подаётся по трубопроводу в </w:t>
      </w:r>
      <w:r w:rsidRPr="00805B02">
        <w:rPr>
          <w:szCs w:val="28"/>
        </w:rPr>
        <w:t>приёмник винилацетата (поз. С-</w:t>
      </w:r>
      <w:r w:rsidRPr="00805B02">
        <w:rPr>
          <w:szCs w:val="28"/>
          <w:lang w:val="en-US"/>
        </w:rPr>
        <w:t>I</w:t>
      </w:r>
      <w:r w:rsidRPr="00805B02">
        <w:rPr>
          <w:szCs w:val="28"/>
        </w:rPr>
        <w:t xml:space="preserve">), откуда самотёком через фильтры (поз. С 3/1÷2) поступает на всасывание дозировочных насосов (поз. С 4/1÷4).  Два насоса - рабочие, два - резервных. </w:t>
      </w:r>
    </w:p>
    <w:p w:rsidR="002462E8" w:rsidRPr="00805B02" w:rsidRDefault="002462E8" w:rsidP="002462E8">
      <w:pPr>
        <w:rPr>
          <w:szCs w:val="28"/>
        </w:rPr>
      </w:pPr>
      <w:r w:rsidRPr="00805B02">
        <w:rPr>
          <w:szCs w:val="28"/>
        </w:rPr>
        <w:t xml:space="preserve">Дозировочными насосами (поз. С 4/1÷4) винилацетат непрерывно подается в линию возвратной смеси высокого давления, выходящей из газоочистителя поз. 4/3.5. Производительность дозировочного насоса винилацетата изменяется вручную за </w:t>
      </w:r>
      <w:r w:rsidRPr="00805B02">
        <w:t>счет</w:t>
      </w:r>
      <w:r w:rsidRPr="00805B02">
        <w:rPr>
          <w:szCs w:val="28"/>
        </w:rPr>
        <w:t xml:space="preserve"> изменения количества ходов насоса со щита управления в корп.0504, в зависимости от содержания винилацетата в </w:t>
      </w:r>
      <w:proofErr w:type="spellStart"/>
      <w:r w:rsidRPr="00805B02">
        <w:rPr>
          <w:szCs w:val="28"/>
        </w:rPr>
        <w:t>сэвилене</w:t>
      </w:r>
      <w:proofErr w:type="spellEnd"/>
    </w:p>
    <w:p w:rsidR="002462E8" w:rsidRPr="003D368A" w:rsidRDefault="002462E8" w:rsidP="002462E8">
      <w:r w:rsidRPr="003D368A">
        <w:t>Трубопровод от отделителей высокого давления до первого по ходу газа сепаратора (4/3.4.1а) за счет оснащения рубашкой, в которую подается горячая вода с температурой (145-175)</w:t>
      </w:r>
      <w:r w:rsidRPr="003D368A">
        <w:rPr>
          <w:vertAlign w:val="superscript"/>
        </w:rPr>
        <w:t>0</w:t>
      </w:r>
      <w:r w:rsidRPr="003D368A">
        <w:t>С, снижает температуру газового потока на входе в систему очистки и охлаждения этилен-винил ацетатной смеси высокого давления до (180-190)</w:t>
      </w:r>
      <w:r w:rsidRPr="003D368A">
        <w:rPr>
          <w:vertAlign w:val="superscript"/>
        </w:rPr>
        <w:t>0</w:t>
      </w:r>
      <w:r w:rsidRPr="003D368A">
        <w:t>С. Это позволяет выделить не только НМСЭВ, но и большую часть сэвилена, унесенного газовым потоком из отделителя высокого давле</w:t>
      </w:r>
      <w:r>
        <w:t>ния. В сепараторе (поз. 4/3.4.1</w:t>
      </w:r>
      <w:r w:rsidRPr="003D368A">
        <w:t xml:space="preserve">) сэвилен собирается в нижней части и через клапан </w:t>
      </w:r>
      <w:r>
        <w:t xml:space="preserve">№ </w:t>
      </w:r>
      <w:r w:rsidRPr="003D368A">
        <w:t>104а, управляемый автоматически со щита управления системы «А» сбрасывается в существующую линию сброса низкомолекулярного сэвилена в емкость поз. С-31. Продувка от низкомолекулярного сэв</w:t>
      </w:r>
      <w:r>
        <w:t>илена сепараторов (поз. 4/3.4.1</w:t>
      </w:r>
      <w:r w:rsidRPr="003D368A">
        <w:t>, 4/3.4.1-3) и газоочистителя системы «А» осуществляется вручную, открытием клапанов №104а, 104-107 со щита управления системы «А».</w:t>
      </w:r>
    </w:p>
    <w:p w:rsidR="002462E8" w:rsidRPr="003D368A" w:rsidRDefault="002462E8" w:rsidP="002462E8">
      <w:r>
        <w:lastRenderedPageBreak/>
        <w:t>Из сепаратора (поз. 4/3.4.1</w:t>
      </w:r>
      <w:r w:rsidRPr="003D368A">
        <w:t xml:space="preserve">) возвратная смесь через первую ступень холодильника (поз. 4/3.1) направляется в сепаратор (поз. 4/3.4.1). Дальнейшее описание системы очистки возвратного газа высокого давления приведено ниже, в подпункте Б). </w:t>
      </w:r>
    </w:p>
    <w:p w:rsidR="002462E8" w:rsidRPr="003D368A" w:rsidRDefault="002462E8" w:rsidP="002462E8">
      <w:pPr>
        <w:rPr>
          <w:b/>
        </w:rPr>
      </w:pPr>
      <w:r w:rsidRPr="003D368A">
        <w:t>Циклонные сепараторы высокого давления служат для отделения возвратного газа от уносимого им низкомолекулярного сэвилена.</w:t>
      </w:r>
    </w:p>
    <w:p w:rsidR="002462E8" w:rsidRPr="003D368A" w:rsidRDefault="002462E8" w:rsidP="002462E8">
      <w:pPr>
        <w:rPr>
          <w:b/>
        </w:rPr>
      </w:pPr>
      <w:r w:rsidRPr="003D368A">
        <w:t>Сепараторы обогреваются горячей водой с температурой около (145-175)</w:t>
      </w:r>
      <w:r w:rsidRPr="003D368A">
        <w:rPr>
          <w:vertAlign w:val="superscript"/>
        </w:rPr>
        <w:t>0</w:t>
      </w:r>
      <w:r w:rsidRPr="003D368A">
        <w:t>С, поступающей в рубашки сепараторов из зоны охлаждения реактора. После первой ступени холодильника возвратный газ охлаждается до 150</w:t>
      </w:r>
      <w:r w:rsidRPr="003D368A">
        <w:rPr>
          <w:vertAlign w:val="superscript"/>
        </w:rPr>
        <w:t>0</w:t>
      </w:r>
      <w:r w:rsidRPr="003D368A">
        <w:t>С, после второй ступени - до (80÷120)</w:t>
      </w:r>
      <w:r w:rsidRPr="003D368A">
        <w:rPr>
          <w:vertAlign w:val="superscript"/>
        </w:rPr>
        <w:t>0</w:t>
      </w:r>
      <w:r w:rsidRPr="003D368A">
        <w:t xml:space="preserve">С, после третьей ступени до (30-65) </w:t>
      </w:r>
      <w:r w:rsidRPr="003D368A">
        <w:rPr>
          <w:vertAlign w:val="superscript"/>
        </w:rPr>
        <w:t>0</w:t>
      </w:r>
      <w:r w:rsidRPr="003D368A">
        <w:t>С. Система регулировки расхода воды на холодильнике ручная, отдельная для всех трех секций.</w:t>
      </w:r>
    </w:p>
    <w:p w:rsidR="002462E8" w:rsidRPr="003D368A" w:rsidRDefault="002462E8" w:rsidP="002462E8">
      <w:r w:rsidRPr="003D368A">
        <w:t xml:space="preserve">Каждая секция холодильника с циклонным сепаратором может быть первой по ходу горячего возвратного газа. Для переключения секций имеется система соединительных перемычек и запорных вентилей. Возможен вариант работы без переключения секций. В этом случае газ последовательно проходит через сепараторы, между которыми расположены </w:t>
      </w:r>
      <w:r w:rsidRPr="003D368A">
        <w:rPr>
          <w:lang w:val="en-US"/>
        </w:rPr>
        <w:t>I</w:t>
      </w:r>
      <w:r w:rsidRPr="003D368A">
        <w:t xml:space="preserve">, </w:t>
      </w:r>
      <w:r w:rsidRPr="003D368A">
        <w:rPr>
          <w:lang w:val="en-US"/>
        </w:rPr>
        <w:t>II</w:t>
      </w:r>
      <w:r w:rsidRPr="003D368A">
        <w:t xml:space="preserve">, </w:t>
      </w:r>
      <w:r w:rsidRPr="003D368A">
        <w:rPr>
          <w:lang w:val="en-US"/>
        </w:rPr>
        <w:t>III</w:t>
      </w:r>
      <w:r w:rsidRPr="003D368A">
        <w:t xml:space="preserve"> секции холодильника. После третьей ступени холодильника (поз. 4/3.1) возвратный газ высокого давления поступает в газоочиститель (поз. 4/3.5). Откуда возвратный газ высокого давления </w:t>
      </w:r>
      <w:r w:rsidRPr="003D368A">
        <w:rPr>
          <w:bCs/>
        </w:rPr>
        <w:t>поступает в отделение компрессии на металлические фильтры (поз. 3/3.9), где очищается от твердых частиц сэвилена, после чего подается в смеситель высокого давления (поз. 3/3.5).</w:t>
      </w:r>
    </w:p>
    <w:p w:rsidR="002462E8" w:rsidRPr="003D368A" w:rsidRDefault="002462E8" w:rsidP="002462E8">
      <w:pPr>
        <w:rPr>
          <w:b/>
        </w:rPr>
      </w:pPr>
      <w:r w:rsidRPr="003D368A">
        <w:t>Узел очистки и охлаждения этилен-винил ацетатной смеси низкого давления является общим для двух потоков (систем). Этилен-винил ацетатная смесь низкого давления из отделителя низкого давления (поз. 4А/1) и из сборника низкомолекулярного сополимера (поз. С-31) поступает в сепаратор (поз. С-32), где происходит частичное отделение газа от низкомолекулярного сополимера за счет снижения температуры. Из сепаратора (поз. С-32) возвратный газ низкого давления поступает в водяной холодильник (поз. С-33), состоящий из 2-х секций.</w:t>
      </w:r>
    </w:p>
    <w:p w:rsidR="002462E8" w:rsidRPr="003D368A" w:rsidRDefault="002462E8" w:rsidP="002462E8">
      <w:pPr>
        <w:rPr>
          <w:b/>
        </w:rPr>
      </w:pPr>
      <w:r w:rsidRPr="003D368A">
        <w:t>В 1-ой секции смесь охлаждается до (60-70)</w:t>
      </w:r>
      <w:r w:rsidRPr="003D368A">
        <w:rPr>
          <w:vertAlign w:val="superscript"/>
        </w:rPr>
        <w:t>0</w:t>
      </w:r>
      <w:r w:rsidRPr="003D368A">
        <w:t>С и поступает в отделитель низкомолекулярного сополимера (поз. С-34), где газ отделяется от низкомолекулярного сополимера (винилацетат при этой температуре практически не конденсируется).</w:t>
      </w:r>
    </w:p>
    <w:p w:rsidR="002462E8" w:rsidRPr="003D368A" w:rsidRDefault="002462E8" w:rsidP="002462E8">
      <w:r w:rsidRPr="003D368A">
        <w:t>Далее смесь поступает во 2-ю секцию водяного холодильника, где охлаждается до (40-50)</w:t>
      </w:r>
      <w:r w:rsidRPr="003D368A">
        <w:rPr>
          <w:vertAlign w:val="superscript"/>
        </w:rPr>
        <w:t>0</w:t>
      </w:r>
      <w:r w:rsidRPr="003D368A">
        <w:t>С, и частично, конденсируется винилацетат.</w:t>
      </w:r>
    </w:p>
    <w:p w:rsidR="002462E8" w:rsidRPr="003D368A" w:rsidRDefault="002462E8" w:rsidP="002462E8">
      <w:r w:rsidRPr="003D368A">
        <w:t>Сконденсированный винилацетат с газом поступает в отделитель винилацетата (поз. С-35), где происходит отделение винилацетата от газовой смеси, а газ сверху выходит в рассольный холодильник поз. С-36/1-2, состоящий из двух секций, для охлаждения до (минус 5 - 0)</w:t>
      </w:r>
      <w:r w:rsidRPr="003D368A">
        <w:rPr>
          <w:vertAlign w:val="superscript"/>
        </w:rPr>
        <w:t>0</w:t>
      </w:r>
      <w:r w:rsidRPr="003D368A">
        <w:t>С и конденсации винилацетата.</w:t>
      </w:r>
    </w:p>
    <w:p w:rsidR="002462E8" w:rsidRPr="003D368A" w:rsidRDefault="002462E8" w:rsidP="002462E8">
      <w:r w:rsidRPr="003D368A">
        <w:t>После каждой секции рассольного холодильника установлены отделители винилацетата (поз. С-37/1-2)</w:t>
      </w:r>
      <w:r w:rsidRPr="003D368A">
        <w:rPr>
          <w:vertAlign w:val="subscript"/>
        </w:rPr>
        <w:t>,</w:t>
      </w:r>
      <w:r w:rsidRPr="003D368A">
        <w:t xml:space="preserve"> где сконденсированный винилацетат отделяется. Из отделителей (поз. С-35 и </w:t>
      </w:r>
      <w:r w:rsidRPr="003D368A">
        <w:rPr>
          <w:lang w:val="en-US"/>
        </w:rPr>
        <w:t>C</w:t>
      </w:r>
      <w:r w:rsidRPr="003D368A">
        <w:t xml:space="preserve">-37/1-2) винилацетат через отсечные клапаны сбрасывается в сборник отработанного винилацетата (поз. С-38). </w:t>
      </w:r>
      <w:r w:rsidRPr="003D368A">
        <w:lastRenderedPageBreak/>
        <w:t xml:space="preserve">Уровень винилацетата в отделителях (поз. С-35 и </w:t>
      </w:r>
      <w:r w:rsidRPr="003D368A">
        <w:rPr>
          <w:lang w:val="en-US"/>
        </w:rPr>
        <w:t>C</w:t>
      </w:r>
      <w:r w:rsidRPr="003D368A">
        <w:t>-37) поддерживается в пределах (10-40) % с помощью клапанов поз. 234С и поз. 286</w:t>
      </w:r>
      <w:r w:rsidRPr="003D368A">
        <w:rPr>
          <w:lang w:val="en-US"/>
        </w:rPr>
        <w:t>C</w:t>
      </w:r>
      <w:r w:rsidRPr="003D368A">
        <w:t>.</w:t>
      </w:r>
    </w:p>
    <w:p w:rsidR="002462E8" w:rsidRPr="003D368A" w:rsidRDefault="002462E8" w:rsidP="002462E8">
      <w:r w:rsidRPr="003D368A">
        <w:t xml:space="preserve">Выходящий из отделителя (поз. С-37) возвратный газ низкого давления содержащий (5-10) % винилацетата, поступает </w:t>
      </w:r>
      <w:r w:rsidRPr="003D368A">
        <w:rPr>
          <w:bCs/>
        </w:rPr>
        <w:t xml:space="preserve">на окончательную очистку </w:t>
      </w:r>
      <w:r w:rsidRPr="003D368A">
        <w:t xml:space="preserve">в металлокерамический фильтр (поз. С-40/1-2), где </w:t>
      </w:r>
      <w:r w:rsidRPr="003D368A">
        <w:rPr>
          <w:bCs/>
        </w:rPr>
        <w:t xml:space="preserve">происходит отделение </w:t>
      </w:r>
      <w:r w:rsidRPr="003D368A">
        <w:t>газа от при</w:t>
      </w:r>
      <w:r w:rsidRPr="003D368A">
        <w:rPr>
          <w:bCs/>
        </w:rPr>
        <w:t xml:space="preserve">месей и низкомолекулярного </w:t>
      </w:r>
      <w:r w:rsidRPr="003D368A">
        <w:t>сэвилена.</w:t>
      </w:r>
    </w:p>
    <w:p w:rsidR="002462E8" w:rsidRPr="003D368A" w:rsidRDefault="002462E8" w:rsidP="002462E8">
      <w:r w:rsidRPr="003D368A">
        <w:rPr>
          <w:bCs/>
        </w:rPr>
        <w:t>Во всей системе очистки возвратного газа низкого давления давление</w:t>
      </w:r>
      <w:r w:rsidRPr="003D368A">
        <w:t xml:space="preserve"> поддерживается в предел (0,15-0,9) МПа (1,5-9 кгс/см</w:t>
      </w:r>
      <w:r w:rsidRPr="003D368A">
        <w:rPr>
          <w:vertAlign w:val="superscript"/>
        </w:rPr>
        <w:t>2</w:t>
      </w:r>
      <w:r w:rsidRPr="003D368A">
        <w:t>) с помощью клапана, установленного после фильтров (поз. С-40/1-2). После клапана давление в линии газа низкого давления составляет 0,005 МПа (0,05кгс/см</w:t>
      </w:r>
      <w:r w:rsidRPr="003D368A">
        <w:rPr>
          <w:vertAlign w:val="superscript"/>
        </w:rPr>
        <w:t>2</w:t>
      </w:r>
      <w:r w:rsidRPr="003D368A">
        <w:t>).</w:t>
      </w:r>
    </w:p>
    <w:p w:rsidR="002462E8" w:rsidRPr="003D368A" w:rsidRDefault="002462E8" w:rsidP="002462E8">
      <w:r w:rsidRPr="003D368A">
        <w:t xml:space="preserve">Предусмотрена возможность </w:t>
      </w:r>
      <w:proofErr w:type="spellStart"/>
      <w:r w:rsidRPr="003D368A">
        <w:t>сдувки</w:t>
      </w:r>
      <w:proofErr w:type="spellEnd"/>
      <w:r w:rsidRPr="003D368A">
        <w:t xml:space="preserve"> части </w:t>
      </w:r>
      <w:r w:rsidRPr="003D368A">
        <w:rPr>
          <w:bCs/>
        </w:rPr>
        <w:t xml:space="preserve">возвратного газа низкого давления </w:t>
      </w:r>
      <w:r w:rsidRPr="003D368A">
        <w:t xml:space="preserve">на факел для исключения накопления </w:t>
      </w:r>
      <w:proofErr w:type="spellStart"/>
      <w:r w:rsidRPr="003D368A">
        <w:t>инертов</w:t>
      </w:r>
      <w:proofErr w:type="spellEnd"/>
      <w:r w:rsidRPr="003D368A">
        <w:t xml:space="preserve"> (метан, этан и др.) в реакционном газе в количестве 15кг/ч с одной системы. Накопление </w:t>
      </w:r>
      <w:proofErr w:type="spellStart"/>
      <w:r w:rsidRPr="003D368A">
        <w:t>инертов</w:t>
      </w:r>
      <w:proofErr w:type="spellEnd"/>
      <w:r w:rsidRPr="003D368A">
        <w:t xml:space="preserve"> приводит к ухудшению качества сэвилена и снижению производительности.</w:t>
      </w:r>
    </w:p>
    <w:p w:rsidR="002462E8" w:rsidRDefault="002462E8" w:rsidP="003A48AC">
      <w:pPr>
        <w:ind w:firstLine="0"/>
      </w:pPr>
      <w:r w:rsidRPr="003D368A">
        <w:t>Отработанный винилацетат по мере заполнения сборника (поз. С-38) периодически перекачивается насосами (поз. С-39) на установку ректификации. Для подачи масла в торцевое уплотнение насоса (поз. С-39) служит термосифон (поз. С-42).</w:t>
      </w:r>
    </w:p>
    <w:p w:rsidR="002462E8" w:rsidRDefault="002462E8">
      <w:pPr>
        <w:spacing w:after="160" w:line="259" w:lineRule="auto"/>
        <w:ind w:firstLine="0"/>
        <w:jc w:val="left"/>
      </w:pPr>
      <w:r>
        <w:br w:type="page"/>
      </w:r>
    </w:p>
    <w:p w:rsidR="003A48AC" w:rsidRPr="003A48AC" w:rsidRDefault="003A48AC" w:rsidP="003A48AC">
      <w:pPr>
        <w:suppressAutoHyphens/>
        <w:rPr>
          <w:b/>
          <w:sz w:val="26"/>
          <w:szCs w:val="26"/>
        </w:rPr>
      </w:pPr>
      <w:r w:rsidRPr="003A48AC">
        <w:rPr>
          <w:b/>
        </w:rPr>
        <w:lastRenderedPageBreak/>
        <w:t>3 ИЗУЧЕНИЕ МЕТРОЛОГИЧЕСКОГО ОБЕСПЕЧЕНИЯ И ЭКСПЛУАТАЦИЮ СИСТЕМ АВТОМАТИЗАЦИИ</w:t>
      </w:r>
    </w:p>
    <w:p w:rsidR="0043765B" w:rsidRDefault="0043765B" w:rsidP="00F91DEE">
      <w:pPr>
        <w:rPr>
          <w:lang w:eastAsia="ru-RU"/>
        </w:rPr>
      </w:pPr>
    </w:p>
    <w:p w:rsidR="0043765B" w:rsidRDefault="0043765B" w:rsidP="00F91DEE">
      <w:pPr>
        <w:rPr>
          <w:lang w:eastAsia="ru-RU"/>
        </w:rPr>
      </w:pPr>
    </w:p>
    <w:p w:rsidR="002462E8" w:rsidRDefault="002462E8" w:rsidP="00F91DEE">
      <w:pPr>
        <w:rPr>
          <w:lang w:eastAsia="ru-RU"/>
        </w:rPr>
      </w:pPr>
    </w:p>
    <w:p w:rsidR="002462E8" w:rsidRDefault="002462E8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3765B" w:rsidRDefault="0043765B" w:rsidP="0043765B">
      <w:pPr>
        <w:rPr>
          <w:b/>
        </w:rPr>
      </w:pPr>
      <w:r w:rsidRPr="0043765B">
        <w:rPr>
          <w:b/>
          <w:lang w:eastAsia="ru-RU"/>
        </w:rPr>
        <w:lastRenderedPageBreak/>
        <w:t xml:space="preserve">4 </w:t>
      </w:r>
      <w:r w:rsidRPr="0043765B">
        <w:rPr>
          <w:b/>
        </w:rPr>
        <w:t>ИЗУЧЕНИЕ ОРГАНИЗАЦИИ РАБОТ ПО МОНТАЖУ, РЕМОНТУ И НАЛАДКЕ СРЕДСТВ ИЗМЕРЕНИЙ, СИСТЕМ АВТОМАТИЗАЦИИ, МЕХАТРОННЫХ СИСТЕМ</w:t>
      </w:r>
    </w:p>
    <w:p w:rsidR="002462E8" w:rsidRPr="007533FB" w:rsidRDefault="002462E8" w:rsidP="002462E8">
      <w:r w:rsidRPr="007533FB">
        <w:t>При подготовке монтажной организации к производству необходимо:</w:t>
      </w:r>
    </w:p>
    <w:p w:rsidR="002462E8" w:rsidRDefault="002462E8" w:rsidP="002462E8">
      <w:r>
        <w:t xml:space="preserve">1) проверить наличие согласованного с монтажной </w:t>
      </w:r>
      <w:proofErr w:type="spellStart"/>
      <w:r>
        <w:t>организ</w:t>
      </w:r>
      <w:proofErr w:type="spellEnd"/>
      <w:r>
        <w:t>. проекта организации строительства (ПОС);</w:t>
      </w:r>
    </w:p>
    <w:p w:rsidR="002462E8" w:rsidRDefault="002462E8" w:rsidP="002462E8">
      <w:r>
        <w:t>2) получить рабочую документацию по акту;</w:t>
      </w:r>
    </w:p>
    <w:p w:rsidR="002462E8" w:rsidRDefault="002462E8" w:rsidP="002462E8">
      <w:r>
        <w:t>3) разработать и утвердить проект производства работ (ППР);</w:t>
      </w:r>
    </w:p>
    <w:p w:rsidR="002462E8" w:rsidRDefault="002462E8" w:rsidP="002462E8">
      <w:r>
        <w:t>4) произвести приемку строительной и технологической готовности объекта к монтажу систем автоматизации</w:t>
      </w:r>
    </w:p>
    <w:p w:rsidR="002462E8" w:rsidRDefault="002462E8" w:rsidP="002462E8">
      <w:r>
        <w:t>5) произв. приемку оборудования изделий и материалов от заказчика и генподрядчика</w:t>
      </w:r>
    </w:p>
    <w:p w:rsidR="002462E8" w:rsidRDefault="002462E8" w:rsidP="002462E8">
      <w:r>
        <w:t>6) произвести вне зоны монтажа укрупнительную сборку узлов и блоков с повышенной степенью монтажной готовности</w:t>
      </w:r>
    </w:p>
    <w:p w:rsidR="002462E8" w:rsidRDefault="002462E8" w:rsidP="002462E8">
      <w:r>
        <w:t xml:space="preserve">7) выполнить предусмотренные нормами правилами мероприятия по охране труда противопожарной безопасности и охране </w:t>
      </w:r>
      <w:proofErr w:type="spellStart"/>
      <w:r>
        <w:t>окр</w:t>
      </w:r>
      <w:proofErr w:type="spellEnd"/>
      <w:r>
        <w:t>. среды</w:t>
      </w:r>
    </w:p>
    <w:p w:rsidR="002462E8" w:rsidRDefault="002462E8" w:rsidP="002462E8">
      <w:pPr>
        <w:rPr>
          <w:sz w:val="24"/>
        </w:rPr>
      </w:pPr>
      <w:r>
        <w:t>В зависимости от структуры предприятия участок ремонта средств КИПиА так же, как и участок эксплуатации КИПиА, относится к цеху КИПиА или отделу метрологии.</w:t>
      </w:r>
    </w:p>
    <w:p w:rsidR="002462E8" w:rsidRDefault="002462E8" w:rsidP="002462E8">
      <w:r>
        <w:t>Руководство ремонтным участком КИПиА осуществляет начальник участка или старший мастер. Штатное расписание участка зависит от номенклатуры эксплуатируемых средств контроля, измерения и регулирования, а также объема выполняемых работ. На больших предприятиях при широкой номенклатуре средств КИПиА в состав ремонтного участка входят ряд специализированных подразделений ремонта: приборов измерения и регулирования температуры; приборов давления, расхода и уровня; аналитических приборов; приборов измерения физико-химических параметров; электроизмерительных и электронных приборов.</w:t>
      </w:r>
    </w:p>
    <w:p w:rsidR="002462E8" w:rsidRPr="007533FB" w:rsidRDefault="002462E8" w:rsidP="002462E8">
      <w:r w:rsidRPr="007533FB">
        <w:t>Капитальный ремонт регламентирует полную разборку прибора или регулятора с заменой деталей и узлов, пришедших в негодность; градуировку, изготовление новых шкал и опробование прибора после ремонта на испытательных стендах с последующей поверкой (государственной или ведомственной).</w:t>
      </w:r>
    </w:p>
    <w:p w:rsidR="002462E8" w:rsidRPr="007533FB" w:rsidRDefault="002462E8" w:rsidP="002462E8">
      <w:r w:rsidRPr="007533FB">
        <w:t>Поверка прибора — определение соответствия прибора всем техническим требованиям, предъявляемым к прибору. Методы поверки определяются заводскими техническими условиями, инструкциями и методическими указаниями Государственного комитета стандартов. Метрологический надзор осуществляют проведением поверок средств контроля, измерений, метрологической ревизией и метрологической экспертизой.</w:t>
      </w:r>
    </w:p>
    <w:p w:rsidR="002462E8" w:rsidRPr="007533FB" w:rsidRDefault="002462E8" w:rsidP="002462E8">
      <w:r w:rsidRPr="007533FB">
        <w:t xml:space="preserve">Метрологический надзор осуществляется единой метрологической службой. Государственная поверка приборов осуществляется метрологической службой Государственного комитета стандартов. Кроме того, отдельным предприятиям дается право на проведение ведомственной </w:t>
      </w:r>
      <w:r w:rsidRPr="007533FB">
        <w:lastRenderedPageBreak/>
        <w:t>поверки определенных групп приборов. При этом предприятиям, имеющим право ведомственной поверки, выдается специальное клеймо.</w:t>
      </w:r>
    </w:p>
    <w:p w:rsidR="002462E8" w:rsidRDefault="002462E8" w:rsidP="002462E8">
      <w:r w:rsidRPr="007533FB">
        <w:t xml:space="preserve">После удовлетворительных результатов поверки на лицевую часть прибора или стекло наносится оттиск </w:t>
      </w:r>
      <w:proofErr w:type="spellStart"/>
      <w:r w:rsidRPr="007533FB">
        <w:t>поверительного</w:t>
      </w:r>
      <w:proofErr w:type="spellEnd"/>
      <w:r w:rsidRPr="007533FB">
        <w:t xml:space="preserve"> клейма.</w:t>
      </w:r>
    </w:p>
    <w:p w:rsidR="002462E8" w:rsidRDefault="002462E8">
      <w:pPr>
        <w:spacing w:after="160" w:line="259" w:lineRule="auto"/>
        <w:ind w:firstLine="0"/>
        <w:jc w:val="left"/>
      </w:pPr>
      <w:r>
        <w:br w:type="page"/>
      </w:r>
    </w:p>
    <w:p w:rsidR="0043765B" w:rsidRPr="0043765B" w:rsidRDefault="0043765B" w:rsidP="0043765B">
      <w:pPr>
        <w:rPr>
          <w:b/>
        </w:rPr>
      </w:pPr>
      <w:r w:rsidRPr="0043765B">
        <w:rPr>
          <w:b/>
        </w:rPr>
        <w:lastRenderedPageBreak/>
        <w:t>5 ЭКОНОМИКА И ОРГАНИЗАЦИЯ ПРОИЗВОДСТВА</w:t>
      </w:r>
    </w:p>
    <w:p w:rsidR="009222DE" w:rsidRDefault="009222DE" w:rsidP="009222DE">
      <w:pPr>
        <w:rPr>
          <w:rFonts w:eastAsiaTheme="minorEastAsia"/>
        </w:rPr>
      </w:pPr>
      <w:r>
        <w:t xml:space="preserve">Товарная продукция (ТП) - это продукция, изготовленная в течение определенного времени и предназначенная для реализации за пределами предприятия. </w:t>
      </w:r>
      <m:oMath>
        <m:r>
          <w:rPr>
            <w:rFonts w:ascii="Cambria Math" w:hAnsi="Cambria Math"/>
          </w:rPr>
          <m:t xml:space="preserve">ТП=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стр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пф реал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раб</m:t>
            </m:r>
          </m:sub>
        </m:sSub>
      </m:oMath>
    </w:p>
    <w:p w:rsidR="009222DE" w:rsidRDefault="009222DE" w:rsidP="009222DE">
      <w:r>
        <w:t>Отличается от валовой продукции тем, что в нее не включаются остатки незавершенного производства и внутрихозяйственный оборот.</w:t>
      </w:r>
    </w:p>
    <w:p w:rsidR="009222DE" w:rsidRPr="009222DE" w:rsidRDefault="009222DE" w:rsidP="009222DE">
      <w:r>
        <w:t xml:space="preserve"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 </w:t>
      </w:r>
      <m:oMath>
        <m:r>
          <w:rPr>
            <w:rFonts w:ascii="Cambria Math" w:hAnsi="Cambria Math"/>
          </w:rPr>
          <m:t xml:space="preserve">ВП=ТП+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НП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НП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пф сас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</w:rPr>
              <m:t>зак</m:t>
            </m:r>
          </m:sub>
        </m:sSub>
      </m:oMath>
    </w:p>
    <w:p w:rsidR="009222DE" w:rsidRDefault="009222DE" w:rsidP="009222DE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 xml:space="preserve">на начало и на конец отчетного периода,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9222DE" w:rsidRPr="009222DE" w:rsidRDefault="009222DE" w:rsidP="009222DE">
      <w:r>
        <w:t>Чистая продукция (ЧП</w:t>
      </w:r>
      <w:r w:rsidRPr="00B90002">
        <w:t>) рассчитывается по формуле:</w:t>
      </w:r>
      <w:r>
        <w:t xml:space="preserve"> </w:t>
      </w:r>
      <m:oMath>
        <m:r>
          <w:rPr>
            <w:rFonts w:ascii="Cambria Math" w:hAnsi="Cambria Math"/>
          </w:rPr>
          <m:t xml:space="preserve">ЧП=ТП-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затр</m:t>
            </m:r>
          </m:sub>
        </m:sSub>
      </m:oMath>
    </w:p>
    <w:p w:rsidR="009222DE" w:rsidRDefault="009222DE" w:rsidP="009222DE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ПБ=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др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вр</m:t>
            </m:r>
          </m:sub>
        </m:sSub>
      </m:oMath>
    </w:p>
    <w:p w:rsidR="009222DE" w:rsidRPr="009222DE" w:rsidRDefault="009222DE" w:rsidP="009222DE">
      <w:r>
        <w:t xml:space="preserve">Чистая прибыль (ПЧ) - это прибыль после уплаты — налогов, экономических санкций и отчислений в благотворительные. фонды. </w:t>
      </w:r>
      <w:r w:rsidRPr="00605CA0">
        <w:t>Рассчитывается по формуле:</w:t>
      </w:r>
      <w:r>
        <w:t xml:space="preserve"> </w:t>
      </w:r>
      <m:oMath>
        <m:r>
          <w:rPr>
            <w:rFonts w:ascii="Cambria Math" w:hAnsi="Cambria Math"/>
          </w:rPr>
          <m:t>ПЧ=ПБ-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</w:p>
    <w:p w:rsidR="009222DE" w:rsidRPr="009222DE" w:rsidRDefault="009222DE" w:rsidP="009222DE">
      <w:r>
        <w:t xml:space="preserve">Эффективность работы предприятия обычно выражается в виде отношения стоимости реализованной продукции (РП) к затратам на ее производство (С): </w:t>
      </w:r>
      <m:oMath>
        <m:r>
          <w:rPr>
            <w:rFonts w:ascii="Cambria Math" w:hAnsi="Cambria Math"/>
          </w:rPr>
          <m:t xml:space="preserve">Э=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РП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:rsidR="009222DE" w:rsidRDefault="009222DE" w:rsidP="009222DE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</w:t>
      </w:r>
      <w:r>
        <w:rPr>
          <w:rFonts w:eastAsiaTheme="minorEastAsia"/>
        </w:rPr>
        <w:t>.</w:t>
      </w:r>
    </w:p>
    <w:p w:rsidR="009222DE" w:rsidRPr="009222DE" w:rsidRDefault="009222DE" w:rsidP="009222DE">
      <w:pPr>
        <w:rPr>
          <w:rFonts w:eastAsiaTheme="minorEastAsia"/>
        </w:rPr>
      </w:pPr>
      <w:r>
        <w:rPr>
          <w:rFonts w:eastAsiaTheme="minorEastAsia"/>
        </w:rPr>
        <w:t>П</w:t>
      </w:r>
      <w:r w:rsidRPr="00513F33">
        <w:rPr>
          <w:rFonts w:eastAsiaTheme="minorEastAsia"/>
        </w:rPr>
        <w:t>оказателей экономической эффективности деятельности фирмы принимает вид: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Э=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е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y</m:t>
        </m:r>
      </m:oMath>
    </w:p>
    <w:p w:rsidR="009222DE" w:rsidRPr="00BE10DB" w:rsidRDefault="009222DE" w:rsidP="009222DE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9222DE" w:rsidRDefault="009222DE" w:rsidP="009222DE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фкг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фнг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фпост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О</m:t>
            </m:r>
          </m:e>
          <m:sub>
            <m:r>
              <w:rPr>
                <w:rFonts w:ascii="Cambria Math" w:eastAsiaTheme="minorEastAsia" w:hAnsi="Cambria Math"/>
              </w:rPr>
              <m:t>фвыб</m:t>
            </m:r>
          </m:sub>
        </m:sSub>
      </m:oMath>
    </w:p>
    <w:p w:rsidR="009222DE" w:rsidRPr="009222DE" w:rsidRDefault="009222DE" w:rsidP="009222DE">
      <w:r>
        <w:t>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 xml:space="preserve">) определяет отношение стоимости вновь поступивших основных фондов. к стоимости основных фондов. на конец отчетного периода: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пост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фпост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фкг</m:t>
                </m:r>
              </m:sub>
            </m:sSub>
          </m:den>
        </m:f>
      </m:oMath>
    </w:p>
    <w:p w:rsidR="009222DE" w:rsidRPr="00C12DE2" w:rsidRDefault="009222DE" w:rsidP="009222DE">
      <w:pPr>
        <w:rPr>
          <w:rFonts w:eastAsiaTheme="minorEastAsia"/>
        </w:rPr>
      </w:pP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отчетного периода: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выб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фвыб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>
                <m:r>
                  <w:rPr>
                    <w:rFonts w:ascii="Cambria Math" w:hAnsi="Cambria Math"/>
                  </w:rPr>
                  <m:t>фнг</m:t>
                </m:r>
              </m:sub>
            </m:sSub>
          </m:den>
        </m:f>
      </m:oMath>
    </w:p>
    <w:p w:rsidR="009222DE" w:rsidRPr="00C2314A" w:rsidRDefault="009222DE" w:rsidP="009222DE">
      <w:pPr>
        <w:rPr>
          <w:rFonts w:eastAsiaTheme="minorEastAsia"/>
        </w:rPr>
      </w:pPr>
      <w:r w:rsidRPr="00B0527A">
        <w:rPr>
          <w:rFonts w:eastAsiaTheme="minorEastAsia"/>
        </w:rPr>
        <w:t>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ин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выб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</w:rPr>
                  <m:t>пост</m:t>
                </m:r>
              </m:sub>
            </m:sSub>
          </m:den>
        </m:f>
      </m:oMath>
    </w:p>
    <w:p w:rsidR="001C67FB" w:rsidRPr="00C2314A" w:rsidRDefault="001C67FB" w:rsidP="001C67FB">
      <w:pPr>
        <w:spacing w:line="360" w:lineRule="auto"/>
        <w:rPr>
          <w:rFonts w:eastAsiaTheme="minorEastAsia"/>
        </w:rPr>
      </w:pPr>
      <w:r w:rsidRPr="001C67FB">
        <w:rPr>
          <w:rFonts w:eastAsiaTheme="minorEastAsia"/>
        </w:rPr>
        <w:lastRenderedPageBreak/>
        <w:t>Коэффициент износа (К) характеризует долю изношенной части основных фондов в</w:t>
      </w:r>
      <w:r>
        <w:rPr>
          <w:rFonts w:eastAsiaTheme="minorEastAsia"/>
        </w:rPr>
        <w:t xml:space="preserve"> общей стоимости основных фондов: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и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ОФ</m:t>
            </m:r>
          </m:den>
        </m:f>
      </m:oMath>
    </w:p>
    <w:p w:rsidR="009222DE" w:rsidRPr="00585238" w:rsidRDefault="009222DE" w:rsidP="009222DE">
      <w:pPr>
        <w:rPr>
          <w:rFonts w:eastAsiaTheme="minorEastAsia"/>
        </w:rPr>
      </w:pPr>
    </w:p>
    <w:p w:rsidR="001C67FB" w:rsidRPr="001C67FB" w:rsidRDefault="001C67FB" w:rsidP="001C67FB">
      <w:pPr>
        <w:rPr>
          <w:b/>
        </w:rPr>
      </w:pPr>
      <w:r w:rsidRPr="001C67FB">
        <w:rPr>
          <w:b/>
        </w:rPr>
        <w:t>6 ИЗУЧЕНИЕ ДОЛЖНОСТНЫХ ОБЯЗАННОСТЕЙ МАСТЕРА КИП И А</w:t>
      </w:r>
    </w:p>
    <w:p w:rsidR="0043765B" w:rsidRDefault="0043765B" w:rsidP="001C67FB"/>
    <w:p w:rsidR="001C67FB" w:rsidRDefault="001C67FB" w:rsidP="001C67FB"/>
    <w:p w:rsidR="001C67FB" w:rsidRDefault="001C67FB" w:rsidP="001C67FB"/>
    <w:p w:rsidR="001C67FB" w:rsidRDefault="001C67FB" w:rsidP="001C67FB">
      <w:pPr>
        <w:rPr>
          <w:b/>
        </w:rPr>
      </w:pPr>
      <w:r w:rsidRPr="001C67FB">
        <w:rPr>
          <w:b/>
        </w:rPr>
        <w:t>7 ПЛАНИРОВАНИЕ И ОРГАНИЗАЦИЯ СОВМЕСТНОЙ РАБОТЫ ПЕРСОНАЛА СТРУКТУРНОГО ПОДРАЗДЕЛЕНИЯ</w:t>
      </w:r>
    </w:p>
    <w:p w:rsidR="001C67FB" w:rsidRDefault="001C67FB" w:rsidP="001C67FB"/>
    <w:p w:rsidR="001C67FB" w:rsidRPr="001C67FB" w:rsidRDefault="001C67FB" w:rsidP="001C67FB"/>
    <w:sectPr w:rsidR="001C67FB" w:rsidRPr="001C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1064"/>
    <w:multiLevelType w:val="hybridMultilevel"/>
    <w:tmpl w:val="1F4ADAD4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279600F"/>
    <w:multiLevelType w:val="hybridMultilevel"/>
    <w:tmpl w:val="E36C5E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721752C"/>
    <w:multiLevelType w:val="hybridMultilevel"/>
    <w:tmpl w:val="EE56FC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6A0E32"/>
    <w:multiLevelType w:val="hybridMultilevel"/>
    <w:tmpl w:val="A5066AD2"/>
    <w:lvl w:ilvl="0" w:tplc="CFAA52D8">
      <w:start w:val="1"/>
      <w:numFmt w:val="bullet"/>
      <w:lvlText w:val="–"/>
      <w:lvlJc w:val="left"/>
      <w:pPr>
        <w:tabs>
          <w:tab w:val="num" w:pos="1437"/>
        </w:tabs>
        <w:ind w:left="143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57"/>
        </w:tabs>
        <w:ind w:left="21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7"/>
        </w:tabs>
        <w:ind w:left="43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77"/>
        </w:tabs>
        <w:ind w:left="64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97"/>
        </w:tabs>
        <w:ind w:left="7197" w:hanging="360"/>
      </w:pPr>
      <w:rPr>
        <w:rFonts w:ascii="Wingdings" w:hAnsi="Wingdings" w:hint="default"/>
      </w:rPr>
    </w:lvl>
  </w:abstractNum>
  <w:abstractNum w:abstractNumId="5" w15:restartNumberingAfterBreak="0">
    <w:nsid w:val="5217723E"/>
    <w:multiLevelType w:val="hybridMultilevel"/>
    <w:tmpl w:val="07A49200"/>
    <w:lvl w:ilvl="0" w:tplc="873CA8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4E4680B"/>
    <w:multiLevelType w:val="hybridMultilevel"/>
    <w:tmpl w:val="7A1ABB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57708CF"/>
    <w:multiLevelType w:val="hybridMultilevel"/>
    <w:tmpl w:val="A5985D04"/>
    <w:lvl w:ilvl="0" w:tplc="4DF88A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F63B7"/>
    <w:multiLevelType w:val="hybridMultilevel"/>
    <w:tmpl w:val="4484CB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9451C88"/>
    <w:multiLevelType w:val="hybridMultilevel"/>
    <w:tmpl w:val="EBF82B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EA375AD"/>
    <w:multiLevelType w:val="hybridMultilevel"/>
    <w:tmpl w:val="85BACB6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19"/>
    <w:rsid w:val="00045151"/>
    <w:rsid w:val="001C67FB"/>
    <w:rsid w:val="002462E8"/>
    <w:rsid w:val="003A48AC"/>
    <w:rsid w:val="00425D15"/>
    <w:rsid w:val="0043765B"/>
    <w:rsid w:val="004973DC"/>
    <w:rsid w:val="005C742C"/>
    <w:rsid w:val="006876C8"/>
    <w:rsid w:val="007D47FC"/>
    <w:rsid w:val="00901C76"/>
    <w:rsid w:val="009222DE"/>
    <w:rsid w:val="00A90904"/>
    <w:rsid w:val="00AA41CF"/>
    <w:rsid w:val="00B12719"/>
    <w:rsid w:val="00C46C9F"/>
    <w:rsid w:val="00D95D6A"/>
    <w:rsid w:val="00F20304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D32D"/>
  <w15:chartTrackingRefBased/>
  <w15:docId w15:val="{7CE91F17-A9FA-42F0-9471-6DB65D10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151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A48AC"/>
    <w:pPr>
      <w:tabs>
        <w:tab w:val="center" w:pos="4677"/>
        <w:tab w:val="right" w:pos="9355"/>
      </w:tabs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3A4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A48AC"/>
    <w:pPr>
      <w:ind w:left="720"/>
      <w:contextualSpacing/>
    </w:pPr>
  </w:style>
  <w:style w:type="paragraph" w:styleId="a6">
    <w:name w:val="No Spacing"/>
    <w:uiPriority w:val="1"/>
    <w:qFormat/>
    <w:rsid w:val="001C67F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10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8</cp:revision>
  <dcterms:created xsi:type="dcterms:W3CDTF">2023-05-05T19:20:00Z</dcterms:created>
  <dcterms:modified xsi:type="dcterms:W3CDTF">2023-05-07T19:31:00Z</dcterms:modified>
</cp:coreProperties>
</file>